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ＭＳ 明朝"/>
                <w:lang w:eastAsia="ja-JP"/>
              </w:rPr>
            </w:pPr>
            <w:r>
              <w:rPr>
                <w:rFonts w:eastAsia="ＭＳ 明朝"/>
                <w:lang w:eastAsia="ja-JP"/>
              </w:rPr>
              <w:t>Qualcomm</w:t>
            </w:r>
          </w:p>
        </w:tc>
        <w:tc>
          <w:tcPr>
            <w:tcW w:w="7415" w:type="dxa"/>
          </w:tcPr>
          <w:p w14:paraId="74E38537" w14:textId="0C4837F8" w:rsidR="003068B4" w:rsidRPr="00963C87" w:rsidRDefault="00755EF3" w:rsidP="00BC5C6A">
            <w:pPr>
              <w:pStyle w:val="TAL"/>
              <w:rPr>
                <w:rFonts w:eastAsia="ＭＳ 明朝"/>
                <w:lang w:eastAsia="ja-JP"/>
              </w:rPr>
            </w:pPr>
            <w:r>
              <w:rPr>
                <w:rFonts w:eastAsia="ＭＳ 明朝"/>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ＭＳ 明朝"/>
                <w:lang w:eastAsia="ja-JP"/>
              </w:rPr>
            </w:pPr>
            <w:r>
              <w:rPr>
                <w:rFonts w:eastAsia="ＭＳ 明朝"/>
                <w:lang w:eastAsia="ja-JP"/>
              </w:rPr>
              <w:t>Intel</w:t>
            </w:r>
          </w:p>
        </w:tc>
        <w:tc>
          <w:tcPr>
            <w:tcW w:w="7415" w:type="dxa"/>
          </w:tcPr>
          <w:p w14:paraId="004F9E56" w14:textId="01397C38" w:rsidR="00BF428D" w:rsidRDefault="005F7430" w:rsidP="00BF428D">
            <w:pPr>
              <w:pStyle w:val="TAL"/>
              <w:rPr>
                <w:rFonts w:eastAsia="ＭＳ 明朝"/>
                <w:lang w:eastAsia="ja-JP"/>
              </w:rPr>
            </w:pPr>
            <w:r>
              <w:rPr>
                <w:rFonts w:eastAsia="ＭＳ 明朝"/>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ＭＳ 明朝" w:hint="eastAsia"/>
                <w:lang w:eastAsia="ja-JP"/>
              </w:rPr>
            </w:pPr>
            <w:r>
              <w:rPr>
                <w:rFonts w:eastAsia="ＭＳ 明朝"/>
                <w:lang w:eastAsia="ja-JP"/>
              </w:rPr>
              <w:t>Yosuke.akimoto@g.softbank.co.jp</w:t>
            </w:r>
            <w:bookmarkStart w:id="1" w:name="_GoBack"/>
            <w:bookmarkEnd w:id="1"/>
          </w:p>
        </w:tc>
      </w:tr>
      <w:tr w:rsidR="00BF428D" w14:paraId="2A92641E" w14:textId="77777777" w:rsidTr="00BC5C6A">
        <w:tc>
          <w:tcPr>
            <w:tcW w:w="1647" w:type="dxa"/>
          </w:tcPr>
          <w:p w14:paraId="183B0CEB" w14:textId="3FC2F2D9" w:rsidR="00BF428D" w:rsidRDefault="00BF428D" w:rsidP="00BF428D">
            <w:pPr>
              <w:pStyle w:val="TAL"/>
              <w:rPr>
                <w:rFonts w:eastAsia="SimSun"/>
                <w:lang w:eastAsia="zh-CN"/>
              </w:rPr>
            </w:pPr>
          </w:p>
        </w:tc>
        <w:tc>
          <w:tcPr>
            <w:tcW w:w="7415" w:type="dxa"/>
          </w:tcPr>
          <w:p w14:paraId="2C6B4713" w14:textId="19C899DA" w:rsidR="00BF428D" w:rsidRDefault="00BF428D" w:rsidP="00BF428D">
            <w:pPr>
              <w:pStyle w:val="TAL"/>
              <w:rPr>
                <w:rFonts w:eastAsia="SimSun"/>
                <w:lang w:eastAsia="zh-CN"/>
              </w:rPr>
            </w:pPr>
          </w:p>
        </w:tc>
      </w:tr>
      <w:tr w:rsidR="00BF428D" w14:paraId="521AF5CA" w14:textId="77777777" w:rsidTr="00BC5C6A">
        <w:tc>
          <w:tcPr>
            <w:tcW w:w="1647" w:type="dxa"/>
          </w:tcPr>
          <w:p w14:paraId="379734AE" w14:textId="40194E20" w:rsidR="00BF428D" w:rsidRDefault="00BF428D" w:rsidP="00BF428D">
            <w:pPr>
              <w:pStyle w:val="TAL"/>
            </w:pPr>
          </w:p>
        </w:tc>
        <w:tc>
          <w:tcPr>
            <w:tcW w:w="7415" w:type="dxa"/>
          </w:tcPr>
          <w:p w14:paraId="3ECCCE81" w14:textId="34EB4094" w:rsidR="00BF428D" w:rsidRDefault="00BF428D" w:rsidP="00BF428D">
            <w:pPr>
              <w:pStyle w:val="TAL"/>
            </w:pPr>
          </w:p>
        </w:tc>
      </w:tr>
      <w:tr w:rsidR="00BF428D" w14:paraId="1EA5014E" w14:textId="77777777" w:rsidTr="00F93253">
        <w:tc>
          <w:tcPr>
            <w:tcW w:w="1647" w:type="dxa"/>
          </w:tcPr>
          <w:p w14:paraId="21889236" w14:textId="411E3110" w:rsidR="00BF428D" w:rsidRDefault="00BF428D" w:rsidP="00BF428D">
            <w:pPr>
              <w:pStyle w:val="TAL"/>
            </w:pPr>
          </w:p>
        </w:tc>
        <w:tc>
          <w:tcPr>
            <w:tcW w:w="7415" w:type="dxa"/>
          </w:tcPr>
          <w:p w14:paraId="0F5DDAF1" w14:textId="25D6EBBB" w:rsidR="00BF428D" w:rsidRDefault="00BF428D" w:rsidP="00BF428D">
            <w:pPr>
              <w:pStyle w:val="TAL"/>
            </w:pPr>
          </w:p>
        </w:tc>
      </w:tr>
      <w:tr w:rsidR="00BF428D" w14:paraId="4F883CEA" w14:textId="77777777" w:rsidTr="00F93253">
        <w:tc>
          <w:tcPr>
            <w:tcW w:w="1647" w:type="dxa"/>
          </w:tcPr>
          <w:p w14:paraId="6C73FFAE" w14:textId="2A505258" w:rsidR="00BF428D" w:rsidRDefault="00BF428D" w:rsidP="00BF428D">
            <w:pPr>
              <w:pStyle w:val="TAL"/>
            </w:pPr>
          </w:p>
        </w:tc>
        <w:tc>
          <w:tcPr>
            <w:tcW w:w="7415" w:type="dxa"/>
          </w:tcPr>
          <w:p w14:paraId="3924B032" w14:textId="3E4CFB45" w:rsidR="00BF428D" w:rsidRDefault="00BF428D" w:rsidP="00BF428D">
            <w:pPr>
              <w:pStyle w:val="TAL"/>
            </w:pPr>
          </w:p>
        </w:tc>
      </w:tr>
      <w:tr w:rsidR="00BF428D" w14:paraId="083D2284" w14:textId="77777777" w:rsidTr="00F93253">
        <w:tc>
          <w:tcPr>
            <w:tcW w:w="1647" w:type="dxa"/>
          </w:tcPr>
          <w:p w14:paraId="5C6EC074" w14:textId="040D43D3" w:rsidR="00BF428D" w:rsidRDefault="00BF428D" w:rsidP="00BF428D">
            <w:pPr>
              <w:pStyle w:val="TAL"/>
              <w:rPr>
                <w:lang w:eastAsia="zh-CN"/>
              </w:rPr>
            </w:pPr>
          </w:p>
        </w:tc>
        <w:tc>
          <w:tcPr>
            <w:tcW w:w="7415" w:type="dxa"/>
          </w:tcPr>
          <w:p w14:paraId="1FD9F949" w14:textId="6673D05C" w:rsidR="00BF428D" w:rsidRDefault="00BF428D" w:rsidP="00BF428D">
            <w:pPr>
              <w:pStyle w:val="TAL"/>
              <w:rPr>
                <w:lang w:eastAsia="zh-CN"/>
              </w:rPr>
            </w:pPr>
          </w:p>
        </w:tc>
      </w:tr>
      <w:tr w:rsidR="00BF428D" w14:paraId="2A0B605B" w14:textId="77777777" w:rsidTr="00F93253">
        <w:tc>
          <w:tcPr>
            <w:tcW w:w="1647" w:type="dxa"/>
          </w:tcPr>
          <w:p w14:paraId="7795D0B8" w14:textId="77777777" w:rsidR="00BF428D" w:rsidRDefault="00BF428D" w:rsidP="00BF428D">
            <w:pPr>
              <w:pStyle w:val="TAL"/>
              <w:rPr>
                <w:lang w:eastAsia="zh-CN"/>
              </w:rPr>
            </w:pPr>
          </w:p>
        </w:tc>
        <w:tc>
          <w:tcPr>
            <w:tcW w:w="7415" w:type="dxa"/>
          </w:tcPr>
          <w:p w14:paraId="497509F2" w14:textId="77777777" w:rsidR="00BF428D" w:rsidRDefault="00BF428D" w:rsidP="00BF428D">
            <w:pPr>
              <w:pStyle w:val="TAL"/>
              <w:rPr>
                <w:lang w:eastAsia="zh-CN"/>
              </w:rPr>
            </w:pPr>
          </w:p>
        </w:tc>
      </w:tr>
      <w:tr w:rsidR="00BF428D" w14:paraId="39D1C0AD" w14:textId="77777777" w:rsidTr="00F93253">
        <w:tc>
          <w:tcPr>
            <w:tcW w:w="1647" w:type="dxa"/>
          </w:tcPr>
          <w:p w14:paraId="1515EAE2" w14:textId="77777777" w:rsidR="00BF428D" w:rsidRDefault="00BF428D" w:rsidP="00BF428D">
            <w:pPr>
              <w:pStyle w:val="TAL"/>
              <w:rPr>
                <w:lang w:eastAsia="zh-CN"/>
              </w:rPr>
            </w:pPr>
          </w:p>
        </w:tc>
        <w:tc>
          <w:tcPr>
            <w:tcW w:w="7415" w:type="dxa"/>
          </w:tcPr>
          <w:p w14:paraId="04E0A976" w14:textId="77777777" w:rsidR="00BF428D" w:rsidRDefault="00BF428D" w:rsidP="00BF428D">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w:t>
      </w:r>
      <w:proofErr w:type="gramStart"/>
      <w:r w:rsidRPr="00F26694">
        <w:rPr>
          <w:i/>
        </w:rPr>
        <w:t>A majority of</w:t>
      </w:r>
      <w:proofErr w:type="gramEnd"/>
      <w:r w:rsidRPr="00F26694">
        <w:rPr>
          <w:i/>
        </w:rPr>
        <w:t xml:space="preserve">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w:t>
      </w:r>
      <w:proofErr w:type="gramStart"/>
      <w:r w:rsidRPr="00F26694">
        <w:rPr>
          <w:i/>
        </w:rPr>
        <w:t>step, and</w:t>
      </w:r>
      <w:proofErr w:type="gramEnd"/>
      <w:r w:rsidRPr="00F26694">
        <w:rPr>
          <w:i/>
        </w:rPr>
        <w:t xml:space="preserve">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w:t>
      </w:r>
      <w:proofErr w:type="gramStart"/>
      <w:r>
        <w:rPr>
          <w:color w:val="000000"/>
        </w:rPr>
        <w:t>in order to</w:t>
      </w:r>
      <w:proofErr w:type="gramEnd"/>
      <w:r>
        <w:rPr>
          <w:color w:val="000000"/>
        </w:rPr>
        <w:t xml:space="preserve"> have </w:t>
      </w:r>
      <w:r>
        <w:t>NR URLLC UE categories/profiles.</w:t>
      </w:r>
    </w:p>
    <w:p w14:paraId="66E7774F" w14:textId="51193DA0" w:rsidR="00296392" w:rsidRDefault="00296392" w:rsidP="00296392">
      <w:r>
        <w:rPr>
          <w:color w:val="000000"/>
        </w:rPr>
        <w:t xml:space="preserve">RP-212109 [2] further suggests that </w:t>
      </w:r>
      <w:proofErr w:type="gramStart"/>
      <w:r>
        <w:rPr>
          <w:color w:val="000000"/>
        </w:rPr>
        <w:t>in order to</w:t>
      </w:r>
      <w:proofErr w:type="gramEnd"/>
      <w:r>
        <w:rPr>
          <w:color w:val="000000"/>
        </w:rPr>
        <w:t xml:space="preserve">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ac"/>
          </w:rPr>
          <w:t>TR38.822</w:t>
        </w:r>
      </w:hyperlink>
      <w:r>
        <w:t xml:space="preserve"> and suggest to capture the Rel-15 UE capabilities relevant for URLLC operation as an informative annex in TS38.306 (e.g. as illustrated in </w:t>
      </w:r>
      <w:hyperlink r:id="rId11"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ＭＳ 明朝"/>
              </w:rPr>
            </w:pPr>
            <w:r>
              <w:rPr>
                <w:rFonts w:eastAsia="ＭＳ 明朝"/>
              </w:rPr>
              <w:t>Qualcomm</w:t>
            </w:r>
          </w:p>
        </w:tc>
        <w:tc>
          <w:tcPr>
            <w:tcW w:w="1331" w:type="dxa"/>
          </w:tcPr>
          <w:p w14:paraId="300AE057" w14:textId="4947ED88" w:rsidR="002677D3" w:rsidRPr="00963C87" w:rsidRDefault="00431444" w:rsidP="00DD7234">
            <w:pPr>
              <w:rPr>
                <w:rFonts w:eastAsia="ＭＳ 明朝"/>
              </w:rPr>
            </w:pPr>
            <w:r>
              <w:rPr>
                <w:rFonts w:eastAsia="ＭＳ 明朝"/>
              </w:rPr>
              <w:t>Alt 3</w:t>
            </w:r>
          </w:p>
        </w:tc>
        <w:tc>
          <w:tcPr>
            <w:tcW w:w="6367" w:type="dxa"/>
          </w:tcPr>
          <w:p w14:paraId="2C4D3373" w14:textId="4129FA99" w:rsidR="002677D3" w:rsidRPr="00963C87" w:rsidRDefault="00431444" w:rsidP="00DD7234">
            <w:pPr>
              <w:rPr>
                <w:rFonts w:eastAsia="ＭＳ 明朝"/>
              </w:rPr>
            </w:pPr>
            <w:r>
              <w:rPr>
                <w:rFonts w:eastAsia="ＭＳ 明朝"/>
              </w:rPr>
              <w:t xml:space="preserve">Alt 1 and Alt 2 are already precluded as per the previous conclusions. None of the alternatives are strictly speaking necessary but we can accept Alt 3 </w:t>
            </w:r>
            <w:proofErr w:type="gramStart"/>
            <w:r>
              <w:rPr>
                <w:rFonts w:eastAsia="ＭＳ 明朝"/>
              </w:rPr>
              <w:t>in order to</w:t>
            </w:r>
            <w:proofErr w:type="gramEnd"/>
            <w:r>
              <w:rPr>
                <w:rFonts w:eastAsia="ＭＳ 明朝"/>
              </w:rPr>
              <w:t xml:space="preserve">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 xml:space="preserve">Implementors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w:t>
            </w:r>
            <w:proofErr w:type="gramStart"/>
            <w:r>
              <w:rPr>
                <w:lang w:eastAsia="zh-CN"/>
              </w:rPr>
              <w:t>Thus</w:t>
            </w:r>
            <w:proofErr w:type="gramEnd"/>
            <w:r>
              <w:rPr>
                <w:lang w:eastAsia="zh-CN"/>
              </w:rPr>
              <w:t xml:space="preserve">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w:t>
            </w:r>
            <w:proofErr w:type="gramStart"/>
            <w:r>
              <w:rPr>
                <w:lang w:eastAsia="zh-CN"/>
              </w:rPr>
              <w:t>becomes</w:t>
            </w:r>
            <w:proofErr w:type="gramEnd"/>
            <w:r>
              <w:rPr>
                <w:lang w:eastAsia="zh-CN"/>
              </w:rPr>
              <w:t xml:space="preserve">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lastRenderedPageBreak/>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ＭＳ 明朝" w:hint="eastAsia"/>
              </w:rPr>
              <w:t>D</w:t>
            </w:r>
            <w:r>
              <w:rPr>
                <w:rFonts w:eastAsia="ＭＳ 明朝"/>
              </w:rPr>
              <w:t>OCOMO</w:t>
            </w:r>
          </w:p>
        </w:tc>
        <w:tc>
          <w:tcPr>
            <w:tcW w:w="1331" w:type="dxa"/>
          </w:tcPr>
          <w:p w14:paraId="7D76C1B9" w14:textId="173CF0CC" w:rsidR="00BF428D" w:rsidRDefault="00BF428D" w:rsidP="00BF428D">
            <w:r>
              <w:rPr>
                <w:rFonts w:eastAsia="ＭＳ 明朝" w:hint="eastAsia"/>
              </w:rPr>
              <w:t>A</w:t>
            </w:r>
            <w:r>
              <w:rPr>
                <w:rFonts w:eastAsia="ＭＳ 明朝"/>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w:t>
            </w:r>
            <w:proofErr w:type="gramStart"/>
            <w:r w:rsidR="0061049C">
              <w:t>for the purpose of</w:t>
            </w:r>
            <w:proofErr w:type="gramEnd"/>
            <w:r w:rsidR="0061049C">
              <w:t xml:space="preserve">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ＭＳ 明朝"/>
              </w:rPr>
            </w:pPr>
            <w:r>
              <w:rPr>
                <w:rFonts w:eastAsia="ＭＳ 明朝" w:hint="eastAsia"/>
              </w:rPr>
              <w:t>S</w:t>
            </w:r>
            <w:r>
              <w:rPr>
                <w:rFonts w:eastAsia="ＭＳ 明朝"/>
              </w:rPr>
              <w:t>oftBank</w:t>
            </w:r>
          </w:p>
        </w:tc>
        <w:tc>
          <w:tcPr>
            <w:tcW w:w="1331" w:type="dxa"/>
          </w:tcPr>
          <w:p w14:paraId="24335803" w14:textId="1549FB3D" w:rsidR="00BF428D" w:rsidRDefault="006276B3" w:rsidP="00BF428D">
            <w:pPr>
              <w:rPr>
                <w:rFonts w:eastAsia="ＭＳ 明朝"/>
              </w:rPr>
            </w:pPr>
            <w:r>
              <w:rPr>
                <w:rFonts w:eastAsia="ＭＳ 明朝"/>
              </w:rPr>
              <w:t>OK to choose the least controversial one.</w:t>
            </w:r>
          </w:p>
        </w:tc>
        <w:tc>
          <w:tcPr>
            <w:tcW w:w="6367" w:type="dxa"/>
          </w:tcPr>
          <w:p w14:paraId="70D2C089" w14:textId="77777777" w:rsidR="006276B3" w:rsidRDefault="006276B3" w:rsidP="006276B3">
            <w:pPr>
              <w:rPr>
                <w:rFonts w:eastAsia="ＭＳ 明朝"/>
              </w:rPr>
            </w:pPr>
            <w:r>
              <w:rPr>
                <w:rFonts w:eastAsia="ＭＳ 明朝" w:hint="eastAsia"/>
              </w:rPr>
              <w:t>I</w:t>
            </w:r>
            <w:r>
              <w:rPr>
                <w:rFonts w:eastAsia="ＭＳ 明朝"/>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ＭＳ 明朝"/>
              </w:rPr>
            </w:pPr>
          </w:p>
          <w:p w14:paraId="5AC8CE0D" w14:textId="77777777" w:rsidR="006276B3" w:rsidRDefault="006276B3" w:rsidP="006276B3">
            <w:pPr>
              <w:rPr>
                <w:rFonts w:eastAsia="ＭＳ 明朝"/>
              </w:rPr>
            </w:pPr>
            <w:r>
              <w:rPr>
                <w:rFonts w:eastAsia="ＭＳ 明朝" w:hint="eastAsia"/>
              </w:rPr>
              <w:t>&lt;</w:t>
            </w:r>
            <w:r>
              <w:rPr>
                <w:rFonts w:eastAsia="ＭＳ 明朝"/>
              </w:rPr>
              <w:t>Comment to Ericsson&gt;</w:t>
            </w:r>
          </w:p>
          <w:p w14:paraId="6495B405" w14:textId="77777777" w:rsidR="006276B3" w:rsidRDefault="006276B3" w:rsidP="006276B3">
            <w:pPr>
              <w:rPr>
                <w:rFonts w:eastAsia="ＭＳ 明朝"/>
              </w:rPr>
            </w:pPr>
            <w:r>
              <w:rPr>
                <w:rFonts w:eastAsia="ＭＳ 明朝" w:hint="eastAsia"/>
              </w:rPr>
              <w:t>I</w:t>
            </w:r>
            <w:r>
              <w:rPr>
                <w:rFonts w:eastAsia="ＭＳ 明朝"/>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ＭＳ 明朝"/>
              </w:rPr>
            </w:pPr>
            <w:r>
              <w:rPr>
                <w:rFonts w:eastAsia="ＭＳ 明朝" w:hint="eastAsia"/>
              </w:rPr>
              <w:t>&lt;</w:t>
            </w:r>
            <w:r>
              <w:rPr>
                <w:rFonts w:eastAsia="ＭＳ 明朝"/>
              </w:rPr>
              <w:t>Comment to vivo&gt;</w:t>
            </w:r>
          </w:p>
          <w:p w14:paraId="3FDBE076" w14:textId="77777777" w:rsidR="006276B3" w:rsidRDefault="006276B3" w:rsidP="006276B3">
            <w:pPr>
              <w:rPr>
                <w:rFonts w:eastAsia="ＭＳ 明朝"/>
              </w:rPr>
            </w:pPr>
            <w:r>
              <w:rPr>
                <w:rFonts w:eastAsia="ＭＳ 明朝"/>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ＭＳ 明朝"/>
              </w:rPr>
            </w:pPr>
          </w:p>
        </w:tc>
      </w:tr>
      <w:tr w:rsidR="00BF428D" w14:paraId="26B97BDA" w14:textId="77777777" w:rsidTr="00503FD1">
        <w:tc>
          <w:tcPr>
            <w:tcW w:w="1364" w:type="dxa"/>
          </w:tcPr>
          <w:p w14:paraId="5CE3B782" w14:textId="4B30A1D8" w:rsidR="00BF428D" w:rsidRDefault="00BF428D" w:rsidP="00BF428D">
            <w:pPr>
              <w:rPr>
                <w:lang w:eastAsia="zh-CN"/>
              </w:rPr>
            </w:pPr>
          </w:p>
        </w:tc>
        <w:tc>
          <w:tcPr>
            <w:tcW w:w="1331" w:type="dxa"/>
          </w:tcPr>
          <w:p w14:paraId="2703D7DC" w14:textId="798DACF1" w:rsidR="00BF428D" w:rsidRDefault="00BF428D" w:rsidP="00BF428D">
            <w:pPr>
              <w:rPr>
                <w:lang w:eastAsia="zh-CN"/>
              </w:rPr>
            </w:pPr>
          </w:p>
        </w:tc>
        <w:tc>
          <w:tcPr>
            <w:tcW w:w="6367" w:type="dxa"/>
          </w:tcPr>
          <w:p w14:paraId="597CE066" w14:textId="41D09269" w:rsidR="00BF428D" w:rsidRDefault="00BF428D" w:rsidP="00BF428D">
            <w:pPr>
              <w:rPr>
                <w:lang w:eastAsia="zh-CN"/>
              </w:rPr>
            </w:pPr>
          </w:p>
        </w:tc>
      </w:tr>
      <w:tr w:rsidR="00BF428D" w14:paraId="7412F03F" w14:textId="77777777" w:rsidTr="00503FD1">
        <w:tc>
          <w:tcPr>
            <w:tcW w:w="1364" w:type="dxa"/>
          </w:tcPr>
          <w:p w14:paraId="737C9830" w14:textId="5ECA4428" w:rsidR="00BF428D" w:rsidRDefault="00BF428D" w:rsidP="00BF428D">
            <w:pPr>
              <w:rPr>
                <w:lang w:eastAsia="zh-CN"/>
              </w:rPr>
            </w:pPr>
          </w:p>
        </w:tc>
        <w:tc>
          <w:tcPr>
            <w:tcW w:w="1331" w:type="dxa"/>
          </w:tcPr>
          <w:p w14:paraId="0DE75543" w14:textId="42374E79" w:rsidR="00BF428D" w:rsidRDefault="00BF428D" w:rsidP="00BF428D">
            <w:pPr>
              <w:rPr>
                <w:lang w:eastAsia="zh-CN"/>
              </w:rPr>
            </w:pPr>
          </w:p>
        </w:tc>
        <w:tc>
          <w:tcPr>
            <w:tcW w:w="6367" w:type="dxa"/>
          </w:tcPr>
          <w:p w14:paraId="7EBEAD7F" w14:textId="23BDC4E5" w:rsidR="00BF428D" w:rsidRDefault="00BF428D" w:rsidP="00BF428D">
            <w:pPr>
              <w:rPr>
                <w:lang w:eastAsia="zh-CN"/>
              </w:rPr>
            </w:pPr>
          </w:p>
        </w:tc>
      </w:tr>
      <w:tr w:rsidR="00BF428D" w14:paraId="3FD8FC2A" w14:textId="77777777" w:rsidTr="00503FD1">
        <w:tc>
          <w:tcPr>
            <w:tcW w:w="1364" w:type="dxa"/>
          </w:tcPr>
          <w:p w14:paraId="3CA5DF22" w14:textId="62EB2FAE" w:rsidR="00BF428D" w:rsidRDefault="00BF428D" w:rsidP="00BF428D"/>
        </w:tc>
        <w:tc>
          <w:tcPr>
            <w:tcW w:w="1331" w:type="dxa"/>
          </w:tcPr>
          <w:p w14:paraId="426DFB7C" w14:textId="3E3719F2" w:rsidR="00BF428D" w:rsidRDefault="00BF428D" w:rsidP="00BF428D"/>
        </w:tc>
        <w:tc>
          <w:tcPr>
            <w:tcW w:w="6367" w:type="dxa"/>
          </w:tcPr>
          <w:p w14:paraId="10559F9D" w14:textId="10A5A852" w:rsidR="00BF428D" w:rsidRDefault="00BF428D" w:rsidP="00BF428D"/>
        </w:tc>
      </w:tr>
      <w:tr w:rsidR="00BF428D" w14:paraId="7AA5A5C2" w14:textId="77777777" w:rsidTr="00503FD1">
        <w:tc>
          <w:tcPr>
            <w:tcW w:w="1364" w:type="dxa"/>
          </w:tcPr>
          <w:p w14:paraId="1E64E34C" w14:textId="5E46290E" w:rsidR="00BF428D" w:rsidRPr="00CD4571" w:rsidRDefault="00BF428D" w:rsidP="00BF428D"/>
        </w:tc>
        <w:tc>
          <w:tcPr>
            <w:tcW w:w="1331" w:type="dxa"/>
          </w:tcPr>
          <w:p w14:paraId="1F709535" w14:textId="1EAFEDE5" w:rsidR="00BF428D" w:rsidRPr="00CD4571" w:rsidRDefault="00BF428D" w:rsidP="00BF428D"/>
        </w:tc>
        <w:tc>
          <w:tcPr>
            <w:tcW w:w="6367" w:type="dxa"/>
          </w:tcPr>
          <w:p w14:paraId="3D18C761" w14:textId="73910D16" w:rsidR="00BF428D" w:rsidRDefault="00BF428D" w:rsidP="00BF428D"/>
        </w:tc>
      </w:tr>
      <w:tr w:rsidR="00BF428D"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BF428D" w:rsidRDefault="00BF428D" w:rsidP="00BF428D">
            <w:pPr>
              <w:rPr>
                <w:lang w:eastAsia="zh-CN"/>
              </w:rPr>
            </w:pPr>
          </w:p>
        </w:tc>
      </w:tr>
      <w:tr w:rsidR="00BF428D"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BF428D" w:rsidRDefault="00BF428D" w:rsidP="00BF428D">
            <w:pPr>
              <w:rPr>
                <w:lang w:eastAsia="zh-CN"/>
              </w:rPr>
            </w:pPr>
          </w:p>
        </w:tc>
      </w:tr>
      <w:tr w:rsidR="00BF428D"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BF428D" w:rsidRDefault="00BF428D" w:rsidP="00BF428D">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ＭＳ 明朝"/>
              </w:rPr>
            </w:pPr>
            <w:r>
              <w:rPr>
                <w:rFonts w:eastAsia="ＭＳ 明朝"/>
              </w:rPr>
              <w:t>Qualcomm</w:t>
            </w:r>
          </w:p>
        </w:tc>
        <w:tc>
          <w:tcPr>
            <w:tcW w:w="1421" w:type="dxa"/>
          </w:tcPr>
          <w:p w14:paraId="324CF10E" w14:textId="589DF8D5" w:rsidR="00CA1809" w:rsidRPr="00963C87" w:rsidRDefault="0077376F" w:rsidP="00012E49">
            <w:pPr>
              <w:rPr>
                <w:rFonts w:eastAsia="ＭＳ 明朝"/>
              </w:rPr>
            </w:pPr>
            <w:r>
              <w:rPr>
                <w:rFonts w:eastAsia="ＭＳ 明朝"/>
              </w:rPr>
              <w:t>Yes</w:t>
            </w:r>
          </w:p>
        </w:tc>
        <w:tc>
          <w:tcPr>
            <w:tcW w:w="6277" w:type="dxa"/>
          </w:tcPr>
          <w:p w14:paraId="7367CABD" w14:textId="5503C136" w:rsidR="00CA1809" w:rsidRDefault="0077376F" w:rsidP="00012E49">
            <w:pPr>
              <w:rPr>
                <w:rFonts w:eastAsia="ＭＳ 明朝"/>
              </w:rPr>
            </w:pPr>
            <w:r>
              <w:rPr>
                <w:rFonts w:eastAsia="ＭＳ 明朝"/>
              </w:rPr>
              <w:t>We support discussing and solv</w:t>
            </w:r>
            <w:r w:rsidR="00431444">
              <w:rPr>
                <w:rFonts w:eastAsia="ＭＳ 明朝"/>
              </w:rPr>
              <w:t>ing</w:t>
            </w:r>
            <w:r>
              <w:rPr>
                <w:rFonts w:eastAsia="ＭＳ 明朝"/>
              </w:rPr>
              <w:t xml:space="preserve"> this issue in RAN#93e.</w:t>
            </w:r>
          </w:p>
          <w:p w14:paraId="4CC87CED" w14:textId="15A664AC" w:rsidR="0077376F" w:rsidRPr="00963C87" w:rsidRDefault="00431444" w:rsidP="00012E49">
            <w:pPr>
              <w:rPr>
                <w:rFonts w:eastAsia="ＭＳ 明朝"/>
              </w:rPr>
            </w:pPr>
            <w:r>
              <w:rPr>
                <w:rFonts w:eastAsia="ＭＳ 明朝"/>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ＭＳ 明朝"/>
              </w:rPr>
              <w:t xml:space="preserve"> to maintain consistency and avoid under reporting</w:t>
            </w:r>
            <w:r w:rsidR="0056182E">
              <w:rPr>
                <w:rFonts w:eastAsia="ＭＳ 明朝"/>
              </w:rPr>
              <w:t xml:space="preserve"> by the UE</w:t>
            </w:r>
            <w:r>
              <w:rPr>
                <w:rFonts w:eastAsia="ＭＳ 明朝"/>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lastRenderedPageBreak/>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w:t>
            </w:r>
            <w:proofErr w:type="gramStart"/>
            <w:r>
              <w:rPr>
                <w:lang w:eastAsia="zh-CN"/>
              </w:rPr>
              <w:t>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ＭＳ 明朝" w:hint="eastAsia"/>
              </w:rPr>
              <w:lastRenderedPageBreak/>
              <w:t>D</w:t>
            </w:r>
            <w:r>
              <w:rPr>
                <w:rFonts w:eastAsia="ＭＳ 明朝"/>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BF428D" w14:paraId="3FF2B42A" w14:textId="77777777" w:rsidTr="00CA1809">
        <w:tc>
          <w:tcPr>
            <w:tcW w:w="1364" w:type="dxa"/>
          </w:tcPr>
          <w:p w14:paraId="57186AC0" w14:textId="77777777" w:rsidR="00BF428D" w:rsidRDefault="00BF428D" w:rsidP="00BF428D"/>
        </w:tc>
        <w:tc>
          <w:tcPr>
            <w:tcW w:w="1421" w:type="dxa"/>
          </w:tcPr>
          <w:p w14:paraId="5EC43704" w14:textId="77777777" w:rsidR="00BF428D" w:rsidRDefault="00BF428D" w:rsidP="00BF428D"/>
        </w:tc>
        <w:tc>
          <w:tcPr>
            <w:tcW w:w="6277" w:type="dxa"/>
          </w:tcPr>
          <w:p w14:paraId="287F8A8B" w14:textId="77777777" w:rsidR="00BF428D" w:rsidRDefault="00BF428D" w:rsidP="00BF428D"/>
        </w:tc>
      </w:tr>
      <w:tr w:rsidR="00BF428D" w14:paraId="10E6AC2B" w14:textId="77777777" w:rsidTr="00CA1809">
        <w:tc>
          <w:tcPr>
            <w:tcW w:w="1364" w:type="dxa"/>
          </w:tcPr>
          <w:p w14:paraId="5CF6758A" w14:textId="77777777" w:rsidR="00BF428D" w:rsidRDefault="00BF428D" w:rsidP="00BF428D"/>
        </w:tc>
        <w:tc>
          <w:tcPr>
            <w:tcW w:w="1421" w:type="dxa"/>
          </w:tcPr>
          <w:p w14:paraId="76081781" w14:textId="77777777" w:rsidR="00BF428D" w:rsidRDefault="00BF428D" w:rsidP="00BF428D"/>
        </w:tc>
        <w:tc>
          <w:tcPr>
            <w:tcW w:w="6277" w:type="dxa"/>
          </w:tcPr>
          <w:p w14:paraId="2F7AB10A" w14:textId="77777777" w:rsidR="00BF428D" w:rsidRDefault="00BF428D" w:rsidP="00BF428D"/>
        </w:tc>
      </w:tr>
      <w:tr w:rsidR="00BF428D" w14:paraId="14FFB666" w14:textId="77777777" w:rsidTr="00CA1809">
        <w:tc>
          <w:tcPr>
            <w:tcW w:w="1364" w:type="dxa"/>
          </w:tcPr>
          <w:p w14:paraId="7C67B7CC" w14:textId="77777777" w:rsidR="00BF428D" w:rsidRDefault="00BF428D" w:rsidP="00BF428D">
            <w:pPr>
              <w:rPr>
                <w:rFonts w:eastAsia="ＭＳ 明朝"/>
              </w:rPr>
            </w:pPr>
          </w:p>
        </w:tc>
        <w:tc>
          <w:tcPr>
            <w:tcW w:w="1421" w:type="dxa"/>
          </w:tcPr>
          <w:p w14:paraId="32030692" w14:textId="77777777" w:rsidR="00BF428D" w:rsidRDefault="00BF428D" w:rsidP="00BF428D">
            <w:pPr>
              <w:rPr>
                <w:rFonts w:eastAsia="ＭＳ 明朝"/>
              </w:rPr>
            </w:pPr>
          </w:p>
        </w:tc>
        <w:tc>
          <w:tcPr>
            <w:tcW w:w="6277" w:type="dxa"/>
          </w:tcPr>
          <w:p w14:paraId="391FD373" w14:textId="77777777" w:rsidR="00BF428D" w:rsidRDefault="00BF428D" w:rsidP="00BF428D">
            <w:pPr>
              <w:rPr>
                <w:rFonts w:eastAsia="ＭＳ 明朝"/>
              </w:rPr>
            </w:pPr>
          </w:p>
        </w:tc>
      </w:tr>
      <w:tr w:rsidR="00BF428D" w14:paraId="369B0A10" w14:textId="77777777" w:rsidTr="00CA1809">
        <w:tc>
          <w:tcPr>
            <w:tcW w:w="1364" w:type="dxa"/>
          </w:tcPr>
          <w:p w14:paraId="310535CE" w14:textId="77777777" w:rsidR="00BF428D" w:rsidRDefault="00BF428D" w:rsidP="00BF428D">
            <w:pPr>
              <w:rPr>
                <w:lang w:eastAsia="zh-CN"/>
              </w:rPr>
            </w:pPr>
          </w:p>
        </w:tc>
        <w:tc>
          <w:tcPr>
            <w:tcW w:w="1421" w:type="dxa"/>
          </w:tcPr>
          <w:p w14:paraId="2FEDF601" w14:textId="77777777" w:rsidR="00BF428D" w:rsidRDefault="00BF428D" w:rsidP="00BF428D">
            <w:pPr>
              <w:rPr>
                <w:lang w:eastAsia="zh-CN"/>
              </w:rPr>
            </w:pPr>
          </w:p>
        </w:tc>
        <w:tc>
          <w:tcPr>
            <w:tcW w:w="6277" w:type="dxa"/>
          </w:tcPr>
          <w:p w14:paraId="570359DB" w14:textId="77777777" w:rsidR="00BF428D" w:rsidRDefault="00BF428D" w:rsidP="00BF428D">
            <w:pPr>
              <w:rPr>
                <w:lang w:eastAsia="zh-CN"/>
              </w:rPr>
            </w:pPr>
          </w:p>
        </w:tc>
      </w:tr>
      <w:tr w:rsidR="00BF428D" w14:paraId="38DAF251" w14:textId="77777777" w:rsidTr="00CA1809">
        <w:tc>
          <w:tcPr>
            <w:tcW w:w="1364" w:type="dxa"/>
          </w:tcPr>
          <w:p w14:paraId="74DDEA0A" w14:textId="77777777" w:rsidR="00BF428D" w:rsidRDefault="00BF428D" w:rsidP="00BF428D">
            <w:pPr>
              <w:rPr>
                <w:lang w:eastAsia="zh-CN"/>
              </w:rPr>
            </w:pPr>
          </w:p>
        </w:tc>
        <w:tc>
          <w:tcPr>
            <w:tcW w:w="1421" w:type="dxa"/>
          </w:tcPr>
          <w:p w14:paraId="006886DC" w14:textId="77777777" w:rsidR="00BF428D" w:rsidRDefault="00BF428D" w:rsidP="00BF428D">
            <w:pPr>
              <w:rPr>
                <w:lang w:eastAsia="zh-CN"/>
              </w:rPr>
            </w:pPr>
          </w:p>
        </w:tc>
        <w:tc>
          <w:tcPr>
            <w:tcW w:w="6277" w:type="dxa"/>
          </w:tcPr>
          <w:p w14:paraId="450A57E6" w14:textId="77777777" w:rsidR="00BF428D" w:rsidRDefault="00BF428D" w:rsidP="00BF428D">
            <w:pPr>
              <w:rPr>
                <w:lang w:eastAsia="zh-CN"/>
              </w:rPr>
            </w:pPr>
          </w:p>
        </w:tc>
      </w:tr>
      <w:tr w:rsidR="00BF428D" w14:paraId="5C2A8D4F" w14:textId="77777777" w:rsidTr="00CA1809">
        <w:tc>
          <w:tcPr>
            <w:tcW w:w="1364" w:type="dxa"/>
          </w:tcPr>
          <w:p w14:paraId="428ED488" w14:textId="77777777" w:rsidR="00BF428D" w:rsidRDefault="00BF428D" w:rsidP="00BF428D"/>
        </w:tc>
        <w:tc>
          <w:tcPr>
            <w:tcW w:w="1421" w:type="dxa"/>
          </w:tcPr>
          <w:p w14:paraId="7C7C4DB4" w14:textId="77777777" w:rsidR="00BF428D" w:rsidRDefault="00BF428D" w:rsidP="00BF428D"/>
        </w:tc>
        <w:tc>
          <w:tcPr>
            <w:tcW w:w="6277" w:type="dxa"/>
          </w:tcPr>
          <w:p w14:paraId="47BDEC99" w14:textId="77777777" w:rsidR="00BF428D" w:rsidRDefault="00BF428D" w:rsidP="00BF428D"/>
        </w:tc>
      </w:tr>
      <w:tr w:rsidR="00BF428D" w14:paraId="28591A94" w14:textId="77777777" w:rsidTr="00CA1809">
        <w:tc>
          <w:tcPr>
            <w:tcW w:w="1364" w:type="dxa"/>
          </w:tcPr>
          <w:p w14:paraId="677C06D5" w14:textId="77777777" w:rsidR="00BF428D" w:rsidRPr="00CD4571" w:rsidRDefault="00BF428D" w:rsidP="00BF428D"/>
        </w:tc>
        <w:tc>
          <w:tcPr>
            <w:tcW w:w="1421" w:type="dxa"/>
          </w:tcPr>
          <w:p w14:paraId="1C1F123E" w14:textId="77777777" w:rsidR="00BF428D" w:rsidRPr="00CD4571" w:rsidRDefault="00BF428D" w:rsidP="00BF428D"/>
        </w:tc>
        <w:tc>
          <w:tcPr>
            <w:tcW w:w="6277" w:type="dxa"/>
          </w:tcPr>
          <w:p w14:paraId="6F0B8779" w14:textId="77777777" w:rsidR="00BF428D" w:rsidRDefault="00BF428D" w:rsidP="00BF428D"/>
        </w:tc>
      </w:tr>
      <w:tr w:rsidR="00BF428D"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BF428D" w:rsidRDefault="00BF428D" w:rsidP="00BF428D">
            <w:pPr>
              <w:rPr>
                <w:lang w:eastAsia="zh-CN"/>
              </w:rPr>
            </w:pPr>
          </w:p>
        </w:tc>
      </w:tr>
      <w:tr w:rsidR="00BF428D"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BF428D" w:rsidRDefault="00BF428D" w:rsidP="00BF428D">
            <w:pPr>
              <w:rPr>
                <w:lang w:eastAsia="zh-CN"/>
              </w:rPr>
            </w:pPr>
          </w:p>
        </w:tc>
      </w:tr>
      <w:tr w:rsidR="00BF428D"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BF428D" w:rsidRDefault="00BF428D" w:rsidP="00BF428D">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1"/>
      </w:pPr>
      <w:r>
        <w:t>Other Rounds</w:t>
      </w:r>
    </w:p>
    <w:p w14:paraId="5C140C91" w14:textId="3C77DB61" w:rsidR="008A0B23" w:rsidRDefault="008A0B23" w:rsidP="00DE1739">
      <w:r>
        <w:t xml:space="preserve">Etc.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A8197" w14:textId="77777777" w:rsidR="00B519A6" w:rsidRDefault="00B519A6" w:rsidP="000274E9">
      <w:pPr>
        <w:spacing w:after="0"/>
      </w:pPr>
      <w:r>
        <w:separator/>
      </w:r>
    </w:p>
  </w:endnote>
  <w:endnote w:type="continuationSeparator" w:id="0">
    <w:p w14:paraId="57FBC36D" w14:textId="77777777" w:rsidR="00B519A6" w:rsidRDefault="00B519A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AE70" w14:textId="77777777" w:rsidR="00B519A6" w:rsidRDefault="00B519A6" w:rsidP="000274E9">
      <w:pPr>
        <w:spacing w:after="0"/>
      </w:pPr>
      <w:r>
        <w:separator/>
      </w:r>
    </w:p>
  </w:footnote>
  <w:footnote w:type="continuationSeparator" w:id="0">
    <w:p w14:paraId="3A81F59A" w14:textId="77777777" w:rsidR="00B519A6" w:rsidRDefault="00B519A6"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ＭＳ ゴシック" w:hAnsi="Times New Roman" w:cs="Times New Roman" w:hint="default"/>
      </w:rPr>
    </w:lvl>
    <w:lvl w:ilvl="1" w:tplc="4DC04F8C">
      <w:numFmt w:val="bullet"/>
      <w:lvlText w:val="-"/>
      <w:lvlJc w:val="left"/>
      <w:pPr>
        <w:ind w:left="840" w:hanging="420"/>
      </w:pPr>
      <w:rPr>
        <w:rFonts w:ascii="Times New Roman" w:eastAsia="ＭＳ ゴシック" w:hAnsi="Times New Roman" w:cs="Times New Roman" w:hint="default"/>
      </w:rPr>
    </w:lvl>
    <w:lvl w:ilvl="2" w:tplc="4DC04F8C">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4525B"/>
    <w:rsid w:val="001453C1"/>
    <w:rsid w:val="001531CE"/>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96997"/>
    <w:rsid w:val="003A4AED"/>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22627"/>
    <w:rsid w:val="0062749E"/>
    <w:rsid w:val="006276B3"/>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4785"/>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D4539"/>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519A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0AAF"/>
    <w:rsid w:val="00C819E0"/>
    <w:rsid w:val="00C82579"/>
    <w:rsid w:val="00C82EC5"/>
    <w:rsid w:val="00C876F1"/>
    <w:rsid w:val="00C95162"/>
    <w:rsid w:val="00CA1809"/>
    <w:rsid w:val="00CB31B2"/>
    <w:rsid w:val="00CB66CA"/>
    <w:rsid w:val="00CD4571"/>
    <w:rsid w:val="00CE43BB"/>
    <w:rsid w:val="00CE552E"/>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4384"/>
    <w:rsid w:val="00DD7234"/>
    <w:rsid w:val="00DE1739"/>
    <w:rsid w:val="00DE7423"/>
    <w:rsid w:val="00DF0755"/>
    <w:rsid w:val="00E05833"/>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1924</Words>
  <Characters>10973</Characters>
  <Application>Microsoft Office Word</Application>
  <DocSecurity>0</DocSecurity>
  <Lines>91</Lines>
  <Paragraphs>25</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秋元 陽介(SB 渉外本部)</cp:lastModifiedBy>
  <cp:revision>29</cp:revision>
  <dcterms:created xsi:type="dcterms:W3CDTF">2021-09-14T02:08:00Z</dcterms:created>
  <dcterms:modified xsi:type="dcterms:W3CDTF">2021-09-14T07:07:00Z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