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bookmarkStart w:id="1" w:name="_GoBack"/>
      <w:bookmarkEnd w:id="1"/>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2F23D760" w:rsidR="003068B4" w:rsidRPr="00963C87" w:rsidRDefault="003068B4" w:rsidP="00BC5C6A">
            <w:pPr>
              <w:pStyle w:val="TAL"/>
              <w:rPr>
                <w:rFonts w:eastAsia="MS Mincho"/>
                <w:lang w:eastAsia="ja-JP"/>
              </w:rPr>
            </w:pPr>
          </w:p>
        </w:tc>
        <w:tc>
          <w:tcPr>
            <w:tcW w:w="7415" w:type="dxa"/>
          </w:tcPr>
          <w:p w14:paraId="74E38537" w14:textId="73A57FC6" w:rsidR="003068B4" w:rsidRPr="00963C87" w:rsidRDefault="003068B4" w:rsidP="00BC5C6A">
            <w:pPr>
              <w:pStyle w:val="TAL"/>
              <w:rPr>
                <w:rFonts w:eastAsia="MS Mincho"/>
                <w:lang w:eastAsia="ja-JP"/>
              </w:rPr>
            </w:pPr>
          </w:p>
        </w:tc>
      </w:tr>
      <w:tr w:rsidR="003068B4" w14:paraId="4B1ED6CA" w14:textId="77777777" w:rsidTr="00BC5C6A">
        <w:tc>
          <w:tcPr>
            <w:tcW w:w="1647" w:type="dxa"/>
          </w:tcPr>
          <w:p w14:paraId="1491874A" w14:textId="5F80A869" w:rsidR="003068B4" w:rsidRDefault="003068B4" w:rsidP="00BC5C6A">
            <w:pPr>
              <w:pStyle w:val="TAL"/>
            </w:pPr>
          </w:p>
        </w:tc>
        <w:tc>
          <w:tcPr>
            <w:tcW w:w="7415" w:type="dxa"/>
          </w:tcPr>
          <w:p w14:paraId="2DFFD86F" w14:textId="0D0A4EE0" w:rsidR="003068B4" w:rsidRPr="00422A7E" w:rsidRDefault="003068B4" w:rsidP="00BC5C6A">
            <w:pPr>
              <w:pStyle w:val="TAL"/>
              <w:rPr>
                <w:rFonts w:eastAsia="SimSun"/>
                <w:lang w:eastAsia="zh-CN"/>
              </w:rPr>
            </w:pPr>
          </w:p>
        </w:tc>
      </w:tr>
      <w:tr w:rsidR="00551A4E" w14:paraId="264C0103" w14:textId="77777777" w:rsidTr="00BC5C6A">
        <w:tc>
          <w:tcPr>
            <w:tcW w:w="1647" w:type="dxa"/>
          </w:tcPr>
          <w:p w14:paraId="7922F39F" w14:textId="068FF240" w:rsidR="00551A4E" w:rsidRDefault="00551A4E" w:rsidP="00551A4E">
            <w:pPr>
              <w:pStyle w:val="TAL"/>
            </w:pPr>
          </w:p>
        </w:tc>
        <w:tc>
          <w:tcPr>
            <w:tcW w:w="7415" w:type="dxa"/>
          </w:tcPr>
          <w:p w14:paraId="4CE91EB6" w14:textId="65C9B775" w:rsidR="00551A4E" w:rsidRDefault="00551A4E" w:rsidP="00551A4E">
            <w:pPr>
              <w:pStyle w:val="TAL"/>
            </w:pPr>
          </w:p>
        </w:tc>
      </w:tr>
      <w:tr w:rsidR="00551A4E" w14:paraId="05931402" w14:textId="77777777" w:rsidTr="00BC5C6A">
        <w:tc>
          <w:tcPr>
            <w:tcW w:w="1647" w:type="dxa"/>
          </w:tcPr>
          <w:p w14:paraId="4CCFA236" w14:textId="3E98B677" w:rsidR="00551A4E" w:rsidRDefault="00551A4E" w:rsidP="00551A4E">
            <w:pPr>
              <w:pStyle w:val="TAL"/>
            </w:pPr>
          </w:p>
        </w:tc>
        <w:tc>
          <w:tcPr>
            <w:tcW w:w="7415" w:type="dxa"/>
          </w:tcPr>
          <w:p w14:paraId="548ECE74" w14:textId="5B4D468F" w:rsidR="00551A4E" w:rsidRDefault="00551A4E" w:rsidP="00551A4E">
            <w:pPr>
              <w:pStyle w:val="TAL"/>
            </w:pPr>
          </w:p>
        </w:tc>
      </w:tr>
      <w:tr w:rsidR="00551A4E" w14:paraId="470622FA" w14:textId="77777777" w:rsidTr="00BC5C6A">
        <w:tc>
          <w:tcPr>
            <w:tcW w:w="1647" w:type="dxa"/>
          </w:tcPr>
          <w:p w14:paraId="7673385C" w14:textId="2E21237E" w:rsidR="00551A4E" w:rsidRDefault="00551A4E" w:rsidP="00551A4E">
            <w:pPr>
              <w:pStyle w:val="TAL"/>
            </w:pPr>
          </w:p>
        </w:tc>
        <w:tc>
          <w:tcPr>
            <w:tcW w:w="7415" w:type="dxa"/>
          </w:tcPr>
          <w:p w14:paraId="3D4624FF" w14:textId="039CB6E5" w:rsidR="00551A4E" w:rsidRPr="007307AF" w:rsidRDefault="00551A4E" w:rsidP="00551A4E">
            <w:pPr>
              <w:pStyle w:val="TAL"/>
              <w:rPr>
                <w:rFonts w:eastAsia="Malgun Gothic"/>
                <w:lang w:eastAsia="ko-KR"/>
              </w:rPr>
            </w:pPr>
          </w:p>
        </w:tc>
      </w:tr>
      <w:tr w:rsidR="009746C6" w14:paraId="2247984D" w14:textId="77777777" w:rsidTr="00BC5C6A">
        <w:tc>
          <w:tcPr>
            <w:tcW w:w="1647" w:type="dxa"/>
          </w:tcPr>
          <w:p w14:paraId="4B25CF56" w14:textId="760C90EE" w:rsidR="009746C6" w:rsidRDefault="009746C6" w:rsidP="00BC5C6A">
            <w:pPr>
              <w:pStyle w:val="TAL"/>
            </w:pPr>
          </w:p>
        </w:tc>
        <w:tc>
          <w:tcPr>
            <w:tcW w:w="7415" w:type="dxa"/>
          </w:tcPr>
          <w:p w14:paraId="048FF8C7" w14:textId="485B6A5F" w:rsidR="009746C6" w:rsidRDefault="009746C6" w:rsidP="00BC5C6A">
            <w:pPr>
              <w:pStyle w:val="TAL"/>
            </w:pPr>
          </w:p>
        </w:tc>
      </w:tr>
      <w:tr w:rsidR="00257DAB" w14:paraId="0C62FDEE" w14:textId="77777777" w:rsidTr="00BC5C6A">
        <w:tc>
          <w:tcPr>
            <w:tcW w:w="1647" w:type="dxa"/>
          </w:tcPr>
          <w:p w14:paraId="5178B094" w14:textId="1A1DAA71" w:rsidR="00257DAB" w:rsidRDefault="00257DAB" w:rsidP="00257DAB">
            <w:pPr>
              <w:pStyle w:val="TAL"/>
            </w:pPr>
          </w:p>
        </w:tc>
        <w:tc>
          <w:tcPr>
            <w:tcW w:w="7415" w:type="dxa"/>
          </w:tcPr>
          <w:p w14:paraId="1E1AFCDA" w14:textId="5B20F32B" w:rsidR="00257DAB" w:rsidRDefault="00257DAB" w:rsidP="00257DAB">
            <w:pPr>
              <w:pStyle w:val="TAL"/>
            </w:pPr>
          </w:p>
        </w:tc>
      </w:tr>
      <w:tr w:rsidR="009E2C18" w14:paraId="03F7985B" w14:textId="77777777" w:rsidTr="00BC5C6A">
        <w:tc>
          <w:tcPr>
            <w:tcW w:w="1647" w:type="dxa"/>
          </w:tcPr>
          <w:p w14:paraId="7AB42920" w14:textId="183C068A" w:rsidR="009E2C18" w:rsidRDefault="009E2C18" w:rsidP="009E2C18">
            <w:pPr>
              <w:pStyle w:val="TAL"/>
            </w:pPr>
          </w:p>
        </w:tc>
        <w:tc>
          <w:tcPr>
            <w:tcW w:w="7415" w:type="dxa"/>
          </w:tcPr>
          <w:p w14:paraId="6C9AA6A2" w14:textId="7F206127" w:rsidR="009E2C18" w:rsidRDefault="009E2C18" w:rsidP="009E2C18">
            <w:pPr>
              <w:pStyle w:val="TAL"/>
            </w:pPr>
          </w:p>
        </w:tc>
      </w:tr>
      <w:tr w:rsidR="00A9038A" w14:paraId="097A00D8" w14:textId="77777777" w:rsidTr="00BC5C6A">
        <w:tc>
          <w:tcPr>
            <w:tcW w:w="1647" w:type="dxa"/>
          </w:tcPr>
          <w:p w14:paraId="20232BAF" w14:textId="3B3670FC" w:rsidR="00A9038A" w:rsidRDefault="00A9038A" w:rsidP="00A9038A">
            <w:pPr>
              <w:pStyle w:val="TAL"/>
              <w:rPr>
                <w:rFonts w:eastAsia="MS Mincho"/>
                <w:lang w:eastAsia="ja-JP"/>
              </w:rPr>
            </w:pPr>
          </w:p>
        </w:tc>
        <w:tc>
          <w:tcPr>
            <w:tcW w:w="7415" w:type="dxa"/>
          </w:tcPr>
          <w:p w14:paraId="004F9E56" w14:textId="51D388DD" w:rsidR="00A9038A" w:rsidRDefault="00A9038A" w:rsidP="00A9038A">
            <w:pPr>
              <w:pStyle w:val="TAL"/>
              <w:rPr>
                <w:rFonts w:eastAsia="MS Mincho"/>
                <w:lang w:eastAsia="ja-JP"/>
              </w:rPr>
            </w:pPr>
          </w:p>
        </w:tc>
      </w:tr>
      <w:tr w:rsidR="0094250A" w14:paraId="10CDF084" w14:textId="77777777" w:rsidTr="00BC5C6A">
        <w:tc>
          <w:tcPr>
            <w:tcW w:w="1647" w:type="dxa"/>
          </w:tcPr>
          <w:p w14:paraId="7BC7B67C" w14:textId="3C40B766" w:rsidR="0094250A" w:rsidRDefault="0094250A" w:rsidP="00A9038A">
            <w:pPr>
              <w:pStyle w:val="TAL"/>
              <w:rPr>
                <w:rFonts w:eastAsia="SimSun"/>
                <w:lang w:eastAsia="zh-CN"/>
              </w:rPr>
            </w:pPr>
          </w:p>
        </w:tc>
        <w:tc>
          <w:tcPr>
            <w:tcW w:w="7415" w:type="dxa"/>
          </w:tcPr>
          <w:p w14:paraId="37B0B2F3" w14:textId="32994033" w:rsidR="0094250A" w:rsidRDefault="0094250A" w:rsidP="00A9038A">
            <w:pPr>
              <w:pStyle w:val="TAL"/>
              <w:rPr>
                <w:rFonts w:eastAsia="SimSun"/>
                <w:lang w:eastAsia="zh-CN"/>
              </w:rPr>
            </w:pPr>
          </w:p>
        </w:tc>
      </w:tr>
      <w:tr w:rsidR="00C61E17" w14:paraId="2A92641E" w14:textId="77777777" w:rsidTr="00BC5C6A">
        <w:tc>
          <w:tcPr>
            <w:tcW w:w="1647" w:type="dxa"/>
          </w:tcPr>
          <w:p w14:paraId="183B0CEB" w14:textId="3FC2F2D9" w:rsidR="00C61E17" w:rsidRDefault="00C61E17" w:rsidP="00C61E17">
            <w:pPr>
              <w:pStyle w:val="TAL"/>
              <w:rPr>
                <w:rFonts w:eastAsia="SimSun"/>
                <w:lang w:eastAsia="zh-CN"/>
              </w:rPr>
            </w:pPr>
          </w:p>
        </w:tc>
        <w:tc>
          <w:tcPr>
            <w:tcW w:w="7415" w:type="dxa"/>
          </w:tcPr>
          <w:p w14:paraId="2C6B4713" w14:textId="19C899DA" w:rsidR="00C61E17" w:rsidRDefault="00C61E17" w:rsidP="00C61E17">
            <w:pPr>
              <w:pStyle w:val="TAL"/>
              <w:rPr>
                <w:rFonts w:eastAsia="SimSun"/>
                <w:lang w:eastAsia="zh-CN"/>
              </w:rPr>
            </w:pPr>
          </w:p>
        </w:tc>
      </w:tr>
      <w:tr w:rsidR="00605C25" w14:paraId="521AF5CA" w14:textId="77777777" w:rsidTr="00BC5C6A">
        <w:tc>
          <w:tcPr>
            <w:tcW w:w="1647" w:type="dxa"/>
          </w:tcPr>
          <w:p w14:paraId="379734AE" w14:textId="40194E20" w:rsidR="00605C25" w:rsidRDefault="00605C25" w:rsidP="00605C25">
            <w:pPr>
              <w:pStyle w:val="TAL"/>
            </w:pPr>
          </w:p>
        </w:tc>
        <w:tc>
          <w:tcPr>
            <w:tcW w:w="7415" w:type="dxa"/>
          </w:tcPr>
          <w:p w14:paraId="3ECCCE81" w14:textId="34EB4094" w:rsidR="00605C25" w:rsidRDefault="00605C25" w:rsidP="00605C25">
            <w:pPr>
              <w:pStyle w:val="TAL"/>
            </w:pPr>
          </w:p>
        </w:tc>
      </w:tr>
      <w:tr w:rsidR="00F93253" w14:paraId="1EA5014E" w14:textId="77777777" w:rsidTr="00F93253">
        <w:tc>
          <w:tcPr>
            <w:tcW w:w="1647" w:type="dxa"/>
          </w:tcPr>
          <w:p w14:paraId="21889236" w14:textId="411E3110" w:rsidR="00F93253" w:rsidRDefault="00F93253" w:rsidP="00BC5C6A">
            <w:pPr>
              <w:pStyle w:val="TAL"/>
            </w:pPr>
          </w:p>
        </w:tc>
        <w:tc>
          <w:tcPr>
            <w:tcW w:w="7415" w:type="dxa"/>
          </w:tcPr>
          <w:p w14:paraId="0F5DDAF1" w14:textId="25D6EBBB" w:rsidR="00F93253" w:rsidRDefault="00F93253" w:rsidP="00BC5C6A">
            <w:pPr>
              <w:pStyle w:val="TAL"/>
            </w:pPr>
          </w:p>
        </w:tc>
      </w:tr>
      <w:tr w:rsidR="00540EA0" w14:paraId="4F883CEA" w14:textId="77777777" w:rsidTr="00F93253">
        <w:tc>
          <w:tcPr>
            <w:tcW w:w="1647" w:type="dxa"/>
          </w:tcPr>
          <w:p w14:paraId="6C73FFAE" w14:textId="2A505258" w:rsidR="00540EA0" w:rsidRDefault="00540EA0" w:rsidP="00BC5C6A">
            <w:pPr>
              <w:pStyle w:val="TAL"/>
            </w:pPr>
          </w:p>
        </w:tc>
        <w:tc>
          <w:tcPr>
            <w:tcW w:w="7415" w:type="dxa"/>
          </w:tcPr>
          <w:p w14:paraId="3924B032" w14:textId="3E4CFB45" w:rsidR="00540EA0" w:rsidRDefault="00540EA0" w:rsidP="00BC5C6A">
            <w:pPr>
              <w:pStyle w:val="TAL"/>
            </w:pPr>
          </w:p>
        </w:tc>
      </w:tr>
      <w:tr w:rsidR="005F7880" w14:paraId="083D2284" w14:textId="77777777" w:rsidTr="00F93253">
        <w:tc>
          <w:tcPr>
            <w:tcW w:w="1647" w:type="dxa"/>
          </w:tcPr>
          <w:p w14:paraId="5C6EC074" w14:textId="040D43D3" w:rsidR="005F7880" w:rsidRDefault="005F7880" w:rsidP="00BC5C6A">
            <w:pPr>
              <w:pStyle w:val="TAL"/>
              <w:rPr>
                <w:lang w:eastAsia="zh-CN"/>
              </w:rPr>
            </w:pPr>
          </w:p>
        </w:tc>
        <w:tc>
          <w:tcPr>
            <w:tcW w:w="7415" w:type="dxa"/>
          </w:tcPr>
          <w:p w14:paraId="1FD9F949" w14:textId="6673D05C" w:rsidR="005F7880" w:rsidRDefault="005F7880" w:rsidP="00BC5C6A">
            <w:pPr>
              <w:pStyle w:val="TAL"/>
              <w:rPr>
                <w:lang w:eastAsia="zh-CN"/>
              </w:rPr>
            </w:pPr>
          </w:p>
        </w:tc>
      </w:tr>
      <w:tr w:rsidR="00445BD3" w14:paraId="2A0B605B" w14:textId="77777777" w:rsidTr="00F93253">
        <w:tc>
          <w:tcPr>
            <w:tcW w:w="1647" w:type="dxa"/>
          </w:tcPr>
          <w:p w14:paraId="7795D0B8" w14:textId="77777777" w:rsidR="00445BD3" w:rsidRDefault="00445BD3" w:rsidP="00BC5C6A">
            <w:pPr>
              <w:pStyle w:val="TAL"/>
              <w:rPr>
                <w:lang w:eastAsia="zh-CN"/>
              </w:rPr>
            </w:pPr>
          </w:p>
        </w:tc>
        <w:tc>
          <w:tcPr>
            <w:tcW w:w="7415" w:type="dxa"/>
          </w:tcPr>
          <w:p w14:paraId="497509F2" w14:textId="77777777" w:rsidR="00445BD3" w:rsidRDefault="00445BD3" w:rsidP="00BC5C6A">
            <w:pPr>
              <w:pStyle w:val="TAL"/>
              <w:rPr>
                <w:lang w:eastAsia="zh-CN"/>
              </w:rPr>
            </w:pPr>
          </w:p>
        </w:tc>
      </w:tr>
      <w:tr w:rsidR="00445BD3" w14:paraId="39D1C0AD" w14:textId="77777777" w:rsidTr="00F93253">
        <w:tc>
          <w:tcPr>
            <w:tcW w:w="1647" w:type="dxa"/>
          </w:tcPr>
          <w:p w14:paraId="1515EAE2" w14:textId="77777777" w:rsidR="00445BD3" w:rsidRDefault="00445BD3" w:rsidP="00BC5C6A">
            <w:pPr>
              <w:pStyle w:val="TAL"/>
              <w:rPr>
                <w:lang w:eastAsia="zh-CN"/>
              </w:rPr>
            </w:pPr>
          </w:p>
        </w:tc>
        <w:tc>
          <w:tcPr>
            <w:tcW w:w="7415" w:type="dxa"/>
          </w:tcPr>
          <w:p w14:paraId="04E0A976" w14:textId="77777777" w:rsidR="00445BD3" w:rsidRDefault="00445BD3" w:rsidP="00BC5C6A">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w:t>
      </w:r>
      <w:r>
        <w:rPr>
          <w:color w:val="000000"/>
        </w:rPr>
        <w:t xml:space="preserve"> and</w:t>
      </w:r>
      <w:r>
        <w:rPr>
          <w:color w:val="000000"/>
        </w:rPr>
        <w:t xml:space="preserve"> RP-212207 [4]</w:t>
      </w:r>
      <w:r w:rsidR="00503FD1">
        <w:rPr>
          <w:color w:val="000000"/>
        </w:rPr>
        <w:t xml:space="preserve"> (with </w:t>
      </w:r>
      <w:r>
        <w:rPr>
          <w:color w:val="000000"/>
        </w:rPr>
        <w:t xml:space="preserve">CR in </w:t>
      </w:r>
      <w:r>
        <w:rPr>
          <w:color w:val="000000"/>
        </w:rPr>
        <w:t>RP-212206 [3]</w:t>
      </w:r>
      <w:r>
        <w:rPr>
          <w:color w:val="000000"/>
        </w:rPr>
        <w:t>)</w:t>
      </w:r>
      <w:r>
        <w:t xml:space="preserve">, </w:t>
      </w:r>
      <w:r>
        <w:t>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w:t>
      </w:r>
      <w:r w:rsidRPr="00F26694">
        <w:rPr>
          <w:i/>
        </w:rPr>
        <w:t xml:space="preserve">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lastRenderedPageBreak/>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RP-212109 [2]</w:t>
      </w:r>
      <w:r>
        <w:rPr>
          <w:color w:val="000000"/>
        </w:rPr>
        <w:t xml:space="preserve"> suggests that mainly c) above need to be further discussed and addressed in addition to more exactly decide what to specify, in order to have </w:t>
      </w:r>
      <w:r>
        <w:t>NR URLLC UE categories/profiles</w:t>
      </w:r>
      <w:r>
        <w:t>.</w:t>
      </w:r>
    </w:p>
    <w:p w14:paraId="66E7774F" w14:textId="51193DA0" w:rsidR="00296392" w:rsidRDefault="00296392" w:rsidP="00296392">
      <w:r>
        <w:rPr>
          <w:color w:val="000000"/>
        </w:rPr>
        <w:t>RP-212109 [2]</w:t>
      </w:r>
      <w:r>
        <w:rPr>
          <w:color w:val="000000"/>
        </w:rPr>
        <w:t xml:space="preserve"> further suggests that in order to make the work feasible, not full </w:t>
      </w:r>
      <w:r>
        <w:t>NR URLLC UE categories/profiles</w:t>
      </w:r>
      <w:r>
        <w:t xml:space="preserve"> can be specified, e.g. according to examples below (Alt 1, Alt 2) or other way.</w:t>
      </w:r>
      <w:r>
        <w:t xml:space="preserve">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r>
        <w:t>Xxx</w:t>
      </w:r>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w:t>
      </w:r>
      <w:r>
        <w:t xml:space="preserve"> which Rel-15 features are relevant</w:t>
      </w:r>
      <w:r>
        <w:t xml:space="preserve"> to URLLC type of services</w:t>
      </w:r>
      <w:r>
        <w:t xml:space="preserve"> is not currently visible externally, as all Rel-15 features are listed together in </w:t>
      </w:r>
      <w:hyperlink r:id="rId10" w:history="1">
        <w:r w:rsidRPr="008F7F81">
          <w:rPr>
            <w:rStyle w:val="Hyperlink"/>
          </w:rPr>
          <w:t>TR38.822</w:t>
        </w:r>
      </w:hyperlink>
      <w:r>
        <w:t xml:space="preserve"> and suggest to c</w:t>
      </w:r>
      <w:r>
        <w:t xml:space="preserve">apture the Rel-15 UE capabilities relevant for URLLC operation as an informative annex in TS38.306 (e.g. as illustrated in </w:t>
      </w:r>
      <w:hyperlink r:id="rId11" w:history="1">
        <w:r w:rsidRPr="001A22EF">
          <w:rPr>
            <w:rStyle w:val="Hyperlink"/>
          </w:rPr>
          <w:t>RP-212206</w:t>
        </w:r>
      </w:hyperlink>
      <w:r>
        <w:t>)</w:t>
      </w:r>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RP-212109 [2]</w:t>
      </w:r>
      <w:r w:rsidR="00503FD1">
        <w:rPr>
          <w:color w:val="000000"/>
        </w:rPr>
        <w:t xml:space="preserve"> and </w:t>
      </w:r>
      <w:r w:rsidR="00503FD1">
        <w:rPr>
          <w:color w:val="000000"/>
        </w:rPr>
        <w:t>RP-212207 [4]</w:t>
      </w:r>
      <w:r w:rsidR="00503FD1">
        <w:rPr>
          <w:color w:val="000000"/>
        </w:rPr>
        <w:t xml:space="preserve">,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7404F905" w:rsidR="002677D3" w:rsidRPr="00963C87" w:rsidRDefault="002677D3">
            <w:pPr>
              <w:rPr>
                <w:rFonts w:eastAsia="MS Mincho"/>
              </w:rPr>
            </w:pPr>
          </w:p>
        </w:tc>
        <w:tc>
          <w:tcPr>
            <w:tcW w:w="1331" w:type="dxa"/>
          </w:tcPr>
          <w:p w14:paraId="300AE057" w14:textId="6CB19744" w:rsidR="002677D3" w:rsidRPr="00963C87" w:rsidRDefault="002677D3" w:rsidP="00DD7234">
            <w:pPr>
              <w:rPr>
                <w:rFonts w:eastAsia="MS Mincho"/>
              </w:rPr>
            </w:pPr>
          </w:p>
        </w:tc>
        <w:tc>
          <w:tcPr>
            <w:tcW w:w="6367" w:type="dxa"/>
          </w:tcPr>
          <w:p w14:paraId="2C4D3373" w14:textId="5D71AAC8" w:rsidR="002677D3" w:rsidRPr="00963C87" w:rsidRDefault="002677D3" w:rsidP="00DD7234">
            <w:pPr>
              <w:rPr>
                <w:rFonts w:eastAsia="MS Mincho"/>
              </w:rPr>
            </w:pPr>
          </w:p>
        </w:tc>
      </w:tr>
      <w:tr w:rsidR="00422A7E" w14:paraId="069FC11C" w14:textId="77777777" w:rsidTr="00503FD1">
        <w:tc>
          <w:tcPr>
            <w:tcW w:w="1364" w:type="dxa"/>
          </w:tcPr>
          <w:p w14:paraId="3D9E5BBA" w14:textId="6AF60DDE" w:rsidR="00422A7E" w:rsidRDefault="00422A7E" w:rsidP="00422A7E"/>
        </w:tc>
        <w:tc>
          <w:tcPr>
            <w:tcW w:w="1331" w:type="dxa"/>
          </w:tcPr>
          <w:p w14:paraId="7F31B988" w14:textId="045FD188" w:rsidR="00422A7E" w:rsidRDefault="00422A7E" w:rsidP="00422A7E"/>
        </w:tc>
        <w:tc>
          <w:tcPr>
            <w:tcW w:w="6367" w:type="dxa"/>
          </w:tcPr>
          <w:p w14:paraId="31A79F87" w14:textId="7DD2359D" w:rsidR="00422A7E" w:rsidRDefault="00422A7E" w:rsidP="00422A7E"/>
        </w:tc>
      </w:tr>
      <w:tr w:rsidR="002D5A97" w14:paraId="4FFF213C" w14:textId="77777777" w:rsidTr="00503FD1">
        <w:tc>
          <w:tcPr>
            <w:tcW w:w="1364" w:type="dxa"/>
          </w:tcPr>
          <w:p w14:paraId="2FB920E0" w14:textId="5371B546" w:rsidR="002D5A97" w:rsidRDefault="002D5A97" w:rsidP="00BC5C6A">
            <w:pPr>
              <w:rPr>
                <w:lang w:eastAsia="zh-CN"/>
              </w:rPr>
            </w:pPr>
          </w:p>
        </w:tc>
        <w:tc>
          <w:tcPr>
            <w:tcW w:w="1331" w:type="dxa"/>
          </w:tcPr>
          <w:p w14:paraId="6C2EFCC0" w14:textId="2E000FFA" w:rsidR="002D5A97" w:rsidRDefault="002D5A97" w:rsidP="00BC5C6A">
            <w:pPr>
              <w:rPr>
                <w:lang w:eastAsia="zh-CN"/>
              </w:rPr>
            </w:pPr>
          </w:p>
        </w:tc>
        <w:tc>
          <w:tcPr>
            <w:tcW w:w="6367" w:type="dxa"/>
          </w:tcPr>
          <w:p w14:paraId="61A3479C" w14:textId="7C7EF814" w:rsidR="002D5A97" w:rsidRDefault="002D5A97" w:rsidP="00BC5C6A">
            <w:pPr>
              <w:rPr>
                <w:lang w:eastAsia="zh-CN"/>
              </w:rPr>
            </w:pPr>
          </w:p>
        </w:tc>
      </w:tr>
      <w:tr w:rsidR="00EA6892" w14:paraId="16EFBC09" w14:textId="77777777" w:rsidTr="00503FD1">
        <w:tc>
          <w:tcPr>
            <w:tcW w:w="1364" w:type="dxa"/>
          </w:tcPr>
          <w:p w14:paraId="39BFF217" w14:textId="6AE2868E" w:rsidR="00EA6892" w:rsidRDefault="00EA6892" w:rsidP="00EA6892"/>
        </w:tc>
        <w:tc>
          <w:tcPr>
            <w:tcW w:w="1331" w:type="dxa"/>
          </w:tcPr>
          <w:p w14:paraId="13B72890" w14:textId="77777777" w:rsidR="00EA6892" w:rsidRDefault="00EA6892" w:rsidP="00EA6892"/>
        </w:tc>
        <w:tc>
          <w:tcPr>
            <w:tcW w:w="6367" w:type="dxa"/>
          </w:tcPr>
          <w:p w14:paraId="749BC55F" w14:textId="4C4414E6" w:rsidR="00EA6892" w:rsidRDefault="00EA6892" w:rsidP="00EA6892"/>
        </w:tc>
      </w:tr>
      <w:tr w:rsidR="00CF6212" w14:paraId="7745A738" w14:textId="77777777" w:rsidTr="00503FD1">
        <w:tc>
          <w:tcPr>
            <w:tcW w:w="1364" w:type="dxa"/>
          </w:tcPr>
          <w:p w14:paraId="060D55C1" w14:textId="428A066D" w:rsidR="00CF6212" w:rsidRDefault="00CF6212" w:rsidP="00CF6212"/>
        </w:tc>
        <w:tc>
          <w:tcPr>
            <w:tcW w:w="1331" w:type="dxa"/>
          </w:tcPr>
          <w:p w14:paraId="489F6E3B" w14:textId="2EEC83D3" w:rsidR="00CF6212" w:rsidRDefault="00CF6212" w:rsidP="00CF6212"/>
        </w:tc>
        <w:tc>
          <w:tcPr>
            <w:tcW w:w="6367" w:type="dxa"/>
          </w:tcPr>
          <w:p w14:paraId="2754B237" w14:textId="0F50EEF9" w:rsidR="00CF6212" w:rsidRDefault="00CF6212" w:rsidP="00CF6212"/>
        </w:tc>
      </w:tr>
      <w:tr w:rsidR="00EA6892" w14:paraId="21BECB0B" w14:textId="77777777" w:rsidTr="00503FD1">
        <w:tc>
          <w:tcPr>
            <w:tcW w:w="1364" w:type="dxa"/>
          </w:tcPr>
          <w:p w14:paraId="462CF4DF" w14:textId="1CC21087" w:rsidR="00EA6892" w:rsidRDefault="00EA6892" w:rsidP="00EA6892"/>
        </w:tc>
        <w:tc>
          <w:tcPr>
            <w:tcW w:w="1331" w:type="dxa"/>
          </w:tcPr>
          <w:p w14:paraId="45BAEDA5" w14:textId="6764B008" w:rsidR="00EA6892" w:rsidRDefault="00EA6892" w:rsidP="00EA6892"/>
        </w:tc>
        <w:tc>
          <w:tcPr>
            <w:tcW w:w="6367" w:type="dxa"/>
          </w:tcPr>
          <w:p w14:paraId="2F3BBC97" w14:textId="44255618" w:rsidR="00EA6892" w:rsidRDefault="00EA6892" w:rsidP="008A2B07"/>
        </w:tc>
      </w:tr>
      <w:tr w:rsidR="00EA6892" w14:paraId="4EB6EF6B" w14:textId="77777777" w:rsidTr="00503FD1">
        <w:tc>
          <w:tcPr>
            <w:tcW w:w="1364" w:type="dxa"/>
          </w:tcPr>
          <w:p w14:paraId="2F8024D6" w14:textId="1F8C18DD" w:rsidR="00EA6892" w:rsidRPr="007307AF" w:rsidRDefault="00EA6892" w:rsidP="00EA6892">
            <w:pPr>
              <w:rPr>
                <w:rFonts w:eastAsia="Malgun Gothic"/>
                <w:lang w:eastAsia="ko-KR"/>
              </w:rPr>
            </w:pPr>
          </w:p>
        </w:tc>
        <w:tc>
          <w:tcPr>
            <w:tcW w:w="1331" w:type="dxa"/>
          </w:tcPr>
          <w:p w14:paraId="6211F64A" w14:textId="27DB34FA" w:rsidR="00EA6892" w:rsidRPr="007307AF" w:rsidRDefault="00EA6892" w:rsidP="00EA6892">
            <w:pPr>
              <w:rPr>
                <w:rFonts w:eastAsia="Malgun Gothic"/>
                <w:lang w:eastAsia="ko-KR"/>
              </w:rPr>
            </w:pPr>
          </w:p>
        </w:tc>
        <w:tc>
          <w:tcPr>
            <w:tcW w:w="6367" w:type="dxa"/>
          </w:tcPr>
          <w:p w14:paraId="662258D6" w14:textId="5C00DAEA" w:rsidR="007307AF" w:rsidRPr="007307AF" w:rsidRDefault="007307AF" w:rsidP="004052E0">
            <w:pPr>
              <w:rPr>
                <w:rFonts w:eastAsia="Malgun Gothic"/>
                <w:lang w:eastAsia="ko-KR"/>
              </w:rPr>
            </w:pPr>
          </w:p>
        </w:tc>
      </w:tr>
      <w:tr w:rsidR="009746C6" w14:paraId="4599FACB" w14:textId="77777777" w:rsidTr="00503FD1">
        <w:tc>
          <w:tcPr>
            <w:tcW w:w="1364" w:type="dxa"/>
          </w:tcPr>
          <w:p w14:paraId="5B0BC85E" w14:textId="08C10FAE" w:rsidR="009746C6" w:rsidRDefault="009746C6" w:rsidP="009746C6"/>
        </w:tc>
        <w:tc>
          <w:tcPr>
            <w:tcW w:w="1331" w:type="dxa"/>
          </w:tcPr>
          <w:p w14:paraId="6E129896" w14:textId="64D63521" w:rsidR="009746C6" w:rsidRDefault="009746C6" w:rsidP="009746C6"/>
        </w:tc>
        <w:tc>
          <w:tcPr>
            <w:tcW w:w="6367" w:type="dxa"/>
          </w:tcPr>
          <w:p w14:paraId="5A74958C" w14:textId="5CA2990B" w:rsidR="009746C6" w:rsidRDefault="009746C6" w:rsidP="009746C6"/>
        </w:tc>
      </w:tr>
      <w:tr w:rsidR="00257DAB" w14:paraId="2FFEC400" w14:textId="77777777" w:rsidTr="00503FD1">
        <w:tc>
          <w:tcPr>
            <w:tcW w:w="1364" w:type="dxa"/>
          </w:tcPr>
          <w:p w14:paraId="4D457A6F" w14:textId="507FDB2C" w:rsidR="00257DAB" w:rsidRDefault="00257DAB" w:rsidP="009746C6"/>
        </w:tc>
        <w:tc>
          <w:tcPr>
            <w:tcW w:w="1331" w:type="dxa"/>
          </w:tcPr>
          <w:p w14:paraId="7D76C1B9" w14:textId="77777777" w:rsidR="00257DAB" w:rsidRDefault="00257DAB" w:rsidP="009746C6"/>
        </w:tc>
        <w:tc>
          <w:tcPr>
            <w:tcW w:w="6367" w:type="dxa"/>
          </w:tcPr>
          <w:p w14:paraId="4FF2C866" w14:textId="71832DC5" w:rsidR="00257DAB" w:rsidRDefault="00257DAB" w:rsidP="009746C6"/>
        </w:tc>
      </w:tr>
      <w:tr w:rsidR="00E7361A" w14:paraId="61FD54D8" w14:textId="77777777" w:rsidTr="00503FD1">
        <w:tc>
          <w:tcPr>
            <w:tcW w:w="1364" w:type="dxa"/>
          </w:tcPr>
          <w:p w14:paraId="61F4FCDE" w14:textId="770CDD9A" w:rsidR="00E7361A" w:rsidRDefault="00E7361A" w:rsidP="00E7361A"/>
        </w:tc>
        <w:tc>
          <w:tcPr>
            <w:tcW w:w="1331" w:type="dxa"/>
          </w:tcPr>
          <w:p w14:paraId="0E95C3F7" w14:textId="527BEBAB" w:rsidR="00E7361A" w:rsidRDefault="00E7361A" w:rsidP="00E7361A"/>
        </w:tc>
        <w:tc>
          <w:tcPr>
            <w:tcW w:w="6367" w:type="dxa"/>
          </w:tcPr>
          <w:p w14:paraId="228BA31D" w14:textId="54080385" w:rsidR="00E7361A" w:rsidRDefault="00E7361A" w:rsidP="00E7361A"/>
        </w:tc>
      </w:tr>
      <w:tr w:rsidR="00A9038A" w14:paraId="632540AF" w14:textId="77777777" w:rsidTr="00503FD1">
        <w:tc>
          <w:tcPr>
            <w:tcW w:w="1364" w:type="dxa"/>
          </w:tcPr>
          <w:p w14:paraId="0951DA60" w14:textId="5A2B14FA" w:rsidR="00A9038A" w:rsidRDefault="00A9038A" w:rsidP="00A9038A">
            <w:pPr>
              <w:rPr>
                <w:rFonts w:eastAsia="MS Mincho"/>
              </w:rPr>
            </w:pPr>
          </w:p>
        </w:tc>
        <w:tc>
          <w:tcPr>
            <w:tcW w:w="1331" w:type="dxa"/>
          </w:tcPr>
          <w:p w14:paraId="24335803" w14:textId="2DB0293F" w:rsidR="00A9038A" w:rsidRDefault="00A9038A" w:rsidP="00A9038A">
            <w:pPr>
              <w:rPr>
                <w:rFonts w:eastAsia="MS Mincho"/>
              </w:rPr>
            </w:pPr>
          </w:p>
        </w:tc>
        <w:tc>
          <w:tcPr>
            <w:tcW w:w="6367" w:type="dxa"/>
          </w:tcPr>
          <w:p w14:paraId="60C43B56" w14:textId="439E5F05" w:rsidR="00A9038A" w:rsidRDefault="00A9038A" w:rsidP="00A9038A">
            <w:pPr>
              <w:rPr>
                <w:rFonts w:eastAsia="MS Mincho"/>
              </w:rPr>
            </w:pPr>
          </w:p>
        </w:tc>
      </w:tr>
      <w:tr w:rsidR="0094250A" w14:paraId="26B97BDA" w14:textId="77777777" w:rsidTr="00503FD1">
        <w:tc>
          <w:tcPr>
            <w:tcW w:w="1364" w:type="dxa"/>
          </w:tcPr>
          <w:p w14:paraId="5CE3B782" w14:textId="4B30A1D8" w:rsidR="0094250A" w:rsidRDefault="0094250A" w:rsidP="0094250A">
            <w:pPr>
              <w:rPr>
                <w:lang w:eastAsia="zh-CN"/>
              </w:rPr>
            </w:pPr>
          </w:p>
        </w:tc>
        <w:tc>
          <w:tcPr>
            <w:tcW w:w="1331" w:type="dxa"/>
          </w:tcPr>
          <w:p w14:paraId="2703D7DC" w14:textId="798DACF1" w:rsidR="0094250A" w:rsidRDefault="0094250A" w:rsidP="0094250A">
            <w:pPr>
              <w:rPr>
                <w:lang w:eastAsia="zh-CN"/>
              </w:rPr>
            </w:pPr>
          </w:p>
        </w:tc>
        <w:tc>
          <w:tcPr>
            <w:tcW w:w="6367" w:type="dxa"/>
          </w:tcPr>
          <w:p w14:paraId="597CE066" w14:textId="41D09269" w:rsidR="0094250A" w:rsidRDefault="0094250A" w:rsidP="0094250A">
            <w:pPr>
              <w:rPr>
                <w:lang w:eastAsia="zh-CN"/>
              </w:rPr>
            </w:pPr>
          </w:p>
        </w:tc>
      </w:tr>
      <w:tr w:rsidR="001F0607" w14:paraId="7412F03F" w14:textId="77777777" w:rsidTr="00503FD1">
        <w:tc>
          <w:tcPr>
            <w:tcW w:w="1364" w:type="dxa"/>
          </w:tcPr>
          <w:p w14:paraId="737C9830" w14:textId="5ECA4428" w:rsidR="001F0607" w:rsidRDefault="001F0607" w:rsidP="001F0607">
            <w:pPr>
              <w:rPr>
                <w:lang w:eastAsia="zh-CN"/>
              </w:rPr>
            </w:pPr>
          </w:p>
        </w:tc>
        <w:tc>
          <w:tcPr>
            <w:tcW w:w="1331" w:type="dxa"/>
          </w:tcPr>
          <w:p w14:paraId="0DE75543" w14:textId="42374E79" w:rsidR="001F0607" w:rsidRDefault="001F0607" w:rsidP="001F0607">
            <w:pPr>
              <w:rPr>
                <w:lang w:eastAsia="zh-CN"/>
              </w:rPr>
            </w:pPr>
          </w:p>
        </w:tc>
        <w:tc>
          <w:tcPr>
            <w:tcW w:w="6367" w:type="dxa"/>
          </w:tcPr>
          <w:p w14:paraId="7EBEAD7F" w14:textId="23BDC4E5" w:rsidR="001F0607" w:rsidRDefault="001F0607" w:rsidP="001F0607">
            <w:pPr>
              <w:rPr>
                <w:lang w:eastAsia="zh-CN"/>
              </w:rPr>
            </w:pPr>
          </w:p>
        </w:tc>
      </w:tr>
      <w:tr w:rsidR="00CD4571" w14:paraId="3FD8FC2A" w14:textId="77777777" w:rsidTr="00503FD1">
        <w:tc>
          <w:tcPr>
            <w:tcW w:w="1364" w:type="dxa"/>
          </w:tcPr>
          <w:p w14:paraId="3CA5DF22" w14:textId="62EB2FAE" w:rsidR="00CD4571" w:rsidRDefault="00CD4571" w:rsidP="001F0607"/>
        </w:tc>
        <w:tc>
          <w:tcPr>
            <w:tcW w:w="1331" w:type="dxa"/>
          </w:tcPr>
          <w:p w14:paraId="426DFB7C" w14:textId="3E3719F2" w:rsidR="00CD4571" w:rsidRDefault="00CD4571" w:rsidP="001F0607"/>
        </w:tc>
        <w:tc>
          <w:tcPr>
            <w:tcW w:w="6367" w:type="dxa"/>
          </w:tcPr>
          <w:p w14:paraId="10559F9D" w14:textId="10A5A852" w:rsidR="00CD4571" w:rsidRDefault="00CD4571" w:rsidP="00CD4571"/>
        </w:tc>
      </w:tr>
      <w:tr w:rsidR="00605C25" w14:paraId="7AA5A5C2" w14:textId="77777777" w:rsidTr="00503FD1">
        <w:tc>
          <w:tcPr>
            <w:tcW w:w="1364" w:type="dxa"/>
          </w:tcPr>
          <w:p w14:paraId="1E64E34C" w14:textId="5E46290E" w:rsidR="00605C25" w:rsidRPr="00CD4571" w:rsidRDefault="00605C25" w:rsidP="00605C25"/>
        </w:tc>
        <w:tc>
          <w:tcPr>
            <w:tcW w:w="1331" w:type="dxa"/>
          </w:tcPr>
          <w:p w14:paraId="1F709535" w14:textId="1EAFEDE5" w:rsidR="00605C25" w:rsidRPr="00CD4571" w:rsidRDefault="00605C25" w:rsidP="00605C25"/>
        </w:tc>
        <w:tc>
          <w:tcPr>
            <w:tcW w:w="6367" w:type="dxa"/>
          </w:tcPr>
          <w:p w14:paraId="3D18C761" w14:textId="73910D16" w:rsidR="00605C25" w:rsidRDefault="00605C25" w:rsidP="00605C25"/>
        </w:tc>
      </w:tr>
      <w:tr w:rsidR="00F93253"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F93253" w:rsidRDefault="00F93253" w:rsidP="00BC5C6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F93253" w:rsidRDefault="00F93253" w:rsidP="00BC5C6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F93253" w:rsidRDefault="00F93253" w:rsidP="00BC5C6A">
            <w:pPr>
              <w:rPr>
                <w:lang w:eastAsia="zh-CN"/>
              </w:rPr>
            </w:pPr>
          </w:p>
        </w:tc>
      </w:tr>
      <w:tr w:rsidR="00540EA0"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540EA0" w:rsidRDefault="00540EA0" w:rsidP="00BC5C6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540EA0" w:rsidRDefault="00540EA0" w:rsidP="00BC5C6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540EA0" w:rsidRDefault="00540EA0" w:rsidP="00BC5C6A">
            <w:pPr>
              <w:rPr>
                <w:lang w:eastAsia="zh-CN"/>
              </w:rPr>
            </w:pPr>
          </w:p>
        </w:tc>
      </w:tr>
      <w:tr w:rsidR="00FF2D0C"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FF2D0C" w:rsidRDefault="00FF2D0C" w:rsidP="00BC5C6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FF2D0C" w:rsidRDefault="00FF2D0C" w:rsidP="00BC5C6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FF2D0C" w:rsidRDefault="00FF2D0C" w:rsidP="00BC5C6A">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Heading1"/>
      </w:pPr>
      <w:r w:rsidRPr="00CA1809">
        <w:t>UL MIMO coherence capabilities</w:t>
      </w:r>
    </w:p>
    <w:p w14:paraId="7CB53995" w14:textId="09C69C12" w:rsidR="004112A5" w:rsidRDefault="00CA1809" w:rsidP="00DE1739">
      <w:pPr>
        <w:rPr>
          <w:color w:val="000000"/>
        </w:rPr>
      </w:pPr>
      <w:r>
        <w:rPr>
          <w:color w:val="000000"/>
        </w:rPr>
        <w:t>RP-212108 [1]</w:t>
      </w:r>
      <w:r>
        <w:rPr>
          <w:color w:val="000000"/>
        </w:rPr>
        <w:t xml:space="preserve">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w:t>
      </w:r>
      <w:r>
        <w:t xml:space="preserve">on the proposals and discussion in </w:t>
      </w:r>
      <w:r>
        <w:rPr>
          <w:color w:val="000000"/>
        </w:rPr>
        <w:t>RP-212108 [1]</w:t>
      </w:r>
      <w:r>
        <w:rPr>
          <w:color w:val="000000"/>
        </w:rPr>
        <w:t xml:space="preserve">,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w:t>
            </w:r>
            <w:r>
              <w:rPr>
                <w:b/>
                <w:bCs/>
              </w:rPr>
              <w:t>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77777777" w:rsidR="00CA1809" w:rsidRPr="00963C87" w:rsidRDefault="00CA1809" w:rsidP="00012E49">
            <w:pPr>
              <w:rPr>
                <w:rFonts w:eastAsia="MS Mincho"/>
              </w:rPr>
            </w:pPr>
          </w:p>
        </w:tc>
        <w:tc>
          <w:tcPr>
            <w:tcW w:w="1421" w:type="dxa"/>
          </w:tcPr>
          <w:p w14:paraId="324CF10E" w14:textId="77777777" w:rsidR="00CA1809" w:rsidRPr="00963C87" w:rsidRDefault="00CA1809" w:rsidP="00012E49">
            <w:pPr>
              <w:rPr>
                <w:rFonts w:eastAsia="MS Mincho"/>
              </w:rPr>
            </w:pPr>
          </w:p>
        </w:tc>
        <w:tc>
          <w:tcPr>
            <w:tcW w:w="6277" w:type="dxa"/>
          </w:tcPr>
          <w:p w14:paraId="4CC87CED" w14:textId="77777777" w:rsidR="00CA1809" w:rsidRPr="00963C87" w:rsidRDefault="00CA1809" w:rsidP="00012E49">
            <w:pPr>
              <w:rPr>
                <w:rFonts w:eastAsia="MS Mincho"/>
              </w:rPr>
            </w:pPr>
          </w:p>
        </w:tc>
      </w:tr>
      <w:tr w:rsidR="00CA1809" w14:paraId="0107FB2A" w14:textId="77777777" w:rsidTr="00CA1809">
        <w:tc>
          <w:tcPr>
            <w:tcW w:w="1364" w:type="dxa"/>
          </w:tcPr>
          <w:p w14:paraId="7D856B53" w14:textId="77777777" w:rsidR="00CA1809" w:rsidRDefault="00CA1809" w:rsidP="00012E49"/>
        </w:tc>
        <w:tc>
          <w:tcPr>
            <w:tcW w:w="1421" w:type="dxa"/>
          </w:tcPr>
          <w:p w14:paraId="02735B1F" w14:textId="77777777" w:rsidR="00CA1809" w:rsidRDefault="00CA1809" w:rsidP="00012E49"/>
        </w:tc>
        <w:tc>
          <w:tcPr>
            <w:tcW w:w="6277" w:type="dxa"/>
          </w:tcPr>
          <w:p w14:paraId="1E7B736E" w14:textId="77777777" w:rsidR="00CA1809" w:rsidRDefault="00CA1809" w:rsidP="00012E49"/>
        </w:tc>
      </w:tr>
      <w:tr w:rsidR="00CA1809" w14:paraId="49CDFABE" w14:textId="77777777" w:rsidTr="00CA1809">
        <w:tc>
          <w:tcPr>
            <w:tcW w:w="1364" w:type="dxa"/>
          </w:tcPr>
          <w:p w14:paraId="2A3B2737" w14:textId="77777777" w:rsidR="00CA1809" w:rsidRDefault="00CA1809" w:rsidP="00012E49">
            <w:pPr>
              <w:rPr>
                <w:lang w:eastAsia="zh-CN"/>
              </w:rPr>
            </w:pPr>
          </w:p>
        </w:tc>
        <w:tc>
          <w:tcPr>
            <w:tcW w:w="1421" w:type="dxa"/>
          </w:tcPr>
          <w:p w14:paraId="3A5C4239" w14:textId="77777777" w:rsidR="00CA1809" w:rsidRDefault="00CA1809" w:rsidP="00012E49">
            <w:pPr>
              <w:rPr>
                <w:lang w:eastAsia="zh-CN"/>
              </w:rPr>
            </w:pPr>
          </w:p>
        </w:tc>
        <w:tc>
          <w:tcPr>
            <w:tcW w:w="6277" w:type="dxa"/>
          </w:tcPr>
          <w:p w14:paraId="00655080" w14:textId="77777777" w:rsidR="00CA1809" w:rsidRDefault="00CA1809" w:rsidP="00012E49">
            <w:pPr>
              <w:rPr>
                <w:lang w:eastAsia="zh-CN"/>
              </w:rPr>
            </w:pPr>
          </w:p>
        </w:tc>
      </w:tr>
      <w:tr w:rsidR="00CA1809" w14:paraId="266A0AB9" w14:textId="77777777" w:rsidTr="00CA1809">
        <w:tc>
          <w:tcPr>
            <w:tcW w:w="1364" w:type="dxa"/>
          </w:tcPr>
          <w:p w14:paraId="7E19265C" w14:textId="77777777" w:rsidR="00CA1809" w:rsidRDefault="00CA1809" w:rsidP="00012E49"/>
        </w:tc>
        <w:tc>
          <w:tcPr>
            <w:tcW w:w="1421" w:type="dxa"/>
          </w:tcPr>
          <w:p w14:paraId="25E18FC2" w14:textId="77777777" w:rsidR="00CA1809" w:rsidRDefault="00CA1809" w:rsidP="00012E49"/>
        </w:tc>
        <w:tc>
          <w:tcPr>
            <w:tcW w:w="6277" w:type="dxa"/>
          </w:tcPr>
          <w:p w14:paraId="5954D486" w14:textId="77777777" w:rsidR="00CA1809" w:rsidRDefault="00CA1809" w:rsidP="00012E49"/>
        </w:tc>
      </w:tr>
      <w:tr w:rsidR="00CA1809" w14:paraId="05768C78" w14:textId="77777777" w:rsidTr="00CA1809">
        <w:tc>
          <w:tcPr>
            <w:tcW w:w="1364" w:type="dxa"/>
          </w:tcPr>
          <w:p w14:paraId="4D2A2037" w14:textId="77777777" w:rsidR="00CA1809" w:rsidRDefault="00CA1809" w:rsidP="00012E49"/>
        </w:tc>
        <w:tc>
          <w:tcPr>
            <w:tcW w:w="1421" w:type="dxa"/>
          </w:tcPr>
          <w:p w14:paraId="6422C2FB" w14:textId="77777777" w:rsidR="00CA1809" w:rsidRDefault="00CA1809" w:rsidP="00012E49"/>
        </w:tc>
        <w:tc>
          <w:tcPr>
            <w:tcW w:w="6277" w:type="dxa"/>
          </w:tcPr>
          <w:p w14:paraId="249F11B1" w14:textId="77777777" w:rsidR="00CA1809" w:rsidRDefault="00CA1809" w:rsidP="00012E49"/>
        </w:tc>
      </w:tr>
      <w:tr w:rsidR="00CA1809" w14:paraId="23BF72C5" w14:textId="77777777" w:rsidTr="00CA1809">
        <w:tc>
          <w:tcPr>
            <w:tcW w:w="1364" w:type="dxa"/>
          </w:tcPr>
          <w:p w14:paraId="2FF790EA" w14:textId="77777777" w:rsidR="00CA1809" w:rsidRDefault="00CA1809" w:rsidP="00012E49"/>
        </w:tc>
        <w:tc>
          <w:tcPr>
            <w:tcW w:w="1421" w:type="dxa"/>
          </w:tcPr>
          <w:p w14:paraId="477F3920" w14:textId="77777777" w:rsidR="00CA1809" w:rsidRDefault="00CA1809" w:rsidP="00012E49"/>
        </w:tc>
        <w:tc>
          <w:tcPr>
            <w:tcW w:w="6277" w:type="dxa"/>
          </w:tcPr>
          <w:p w14:paraId="76BF4B7A" w14:textId="77777777" w:rsidR="00CA1809" w:rsidRDefault="00CA1809" w:rsidP="00012E49"/>
        </w:tc>
      </w:tr>
      <w:tr w:rsidR="00CA1809" w14:paraId="7D888B4A" w14:textId="77777777" w:rsidTr="00CA1809">
        <w:tc>
          <w:tcPr>
            <w:tcW w:w="1364" w:type="dxa"/>
          </w:tcPr>
          <w:p w14:paraId="02A2B554" w14:textId="77777777" w:rsidR="00CA1809" w:rsidRPr="007307AF" w:rsidRDefault="00CA1809" w:rsidP="00012E49">
            <w:pPr>
              <w:rPr>
                <w:rFonts w:eastAsia="Malgun Gothic"/>
                <w:lang w:eastAsia="ko-KR"/>
              </w:rPr>
            </w:pPr>
          </w:p>
        </w:tc>
        <w:tc>
          <w:tcPr>
            <w:tcW w:w="1421" w:type="dxa"/>
          </w:tcPr>
          <w:p w14:paraId="37130F1D" w14:textId="77777777" w:rsidR="00CA1809" w:rsidRPr="007307AF" w:rsidRDefault="00CA1809" w:rsidP="00012E49">
            <w:pPr>
              <w:rPr>
                <w:rFonts w:eastAsia="Malgun Gothic"/>
                <w:lang w:eastAsia="ko-KR"/>
              </w:rPr>
            </w:pPr>
          </w:p>
        </w:tc>
        <w:tc>
          <w:tcPr>
            <w:tcW w:w="6277" w:type="dxa"/>
          </w:tcPr>
          <w:p w14:paraId="71379CD5" w14:textId="77777777" w:rsidR="00CA1809" w:rsidRPr="007307AF" w:rsidRDefault="00CA1809" w:rsidP="00012E49">
            <w:pPr>
              <w:rPr>
                <w:rFonts w:eastAsia="Malgun Gothic"/>
                <w:lang w:eastAsia="ko-KR"/>
              </w:rPr>
            </w:pPr>
          </w:p>
        </w:tc>
      </w:tr>
      <w:tr w:rsidR="00CA1809" w14:paraId="7980A3CA" w14:textId="77777777" w:rsidTr="00CA1809">
        <w:tc>
          <w:tcPr>
            <w:tcW w:w="1364" w:type="dxa"/>
          </w:tcPr>
          <w:p w14:paraId="7A549615" w14:textId="77777777" w:rsidR="00CA1809" w:rsidRDefault="00CA1809" w:rsidP="00012E49"/>
        </w:tc>
        <w:tc>
          <w:tcPr>
            <w:tcW w:w="1421" w:type="dxa"/>
          </w:tcPr>
          <w:p w14:paraId="1A0E9BBE" w14:textId="77777777" w:rsidR="00CA1809" w:rsidRDefault="00CA1809" w:rsidP="00012E49"/>
        </w:tc>
        <w:tc>
          <w:tcPr>
            <w:tcW w:w="6277" w:type="dxa"/>
          </w:tcPr>
          <w:p w14:paraId="3D798218" w14:textId="77777777" w:rsidR="00CA1809" w:rsidRDefault="00CA1809" w:rsidP="00012E49"/>
        </w:tc>
      </w:tr>
      <w:tr w:rsidR="00CA1809" w14:paraId="3FF2B42A" w14:textId="77777777" w:rsidTr="00CA1809">
        <w:tc>
          <w:tcPr>
            <w:tcW w:w="1364" w:type="dxa"/>
          </w:tcPr>
          <w:p w14:paraId="57186AC0" w14:textId="77777777" w:rsidR="00CA1809" w:rsidRDefault="00CA1809" w:rsidP="00012E49"/>
        </w:tc>
        <w:tc>
          <w:tcPr>
            <w:tcW w:w="1421" w:type="dxa"/>
          </w:tcPr>
          <w:p w14:paraId="5EC43704" w14:textId="77777777" w:rsidR="00CA1809" w:rsidRDefault="00CA1809" w:rsidP="00012E49"/>
        </w:tc>
        <w:tc>
          <w:tcPr>
            <w:tcW w:w="6277" w:type="dxa"/>
          </w:tcPr>
          <w:p w14:paraId="287F8A8B" w14:textId="77777777" w:rsidR="00CA1809" w:rsidRDefault="00CA1809" w:rsidP="00012E49"/>
        </w:tc>
      </w:tr>
      <w:tr w:rsidR="00CA1809" w14:paraId="10E6AC2B" w14:textId="77777777" w:rsidTr="00CA1809">
        <w:tc>
          <w:tcPr>
            <w:tcW w:w="1364" w:type="dxa"/>
          </w:tcPr>
          <w:p w14:paraId="5CF6758A" w14:textId="77777777" w:rsidR="00CA1809" w:rsidRDefault="00CA1809" w:rsidP="00012E49"/>
        </w:tc>
        <w:tc>
          <w:tcPr>
            <w:tcW w:w="1421" w:type="dxa"/>
          </w:tcPr>
          <w:p w14:paraId="76081781" w14:textId="77777777" w:rsidR="00CA1809" w:rsidRDefault="00CA1809" w:rsidP="00012E49"/>
        </w:tc>
        <w:tc>
          <w:tcPr>
            <w:tcW w:w="6277" w:type="dxa"/>
          </w:tcPr>
          <w:p w14:paraId="2F7AB10A" w14:textId="77777777" w:rsidR="00CA1809" w:rsidRDefault="00CA1809" w:rsidP="00012E49"/>
        </w:tc>
      </w:tr>
      <w:tr w:rsidR="00CA1809" w14:paraId="14FFB666" w14:textId="77777777" w:rsidTr="00CA1809">
        <w:tc>
          <w:tcPr>
            <w:tcW w:w="1364" w:type="dxa"/>
          </w:tcPr>
          <w:p w14:paraId="7C67B7CC" w14:textId="77777777" w:rsidR="00CA1809" w:rsidRDefault="00CA1809" w:rsidP="00012E49">
            <w:pPr>
              <w:rPr>
                <w:rFonts w:eastAsia="MS Mincho"/>
              </w:rPr>
            </w:pPr>
          </w:p>
        </w:tc>
        <w:tc>
          <w:tcPr>
            <w:tcW w:w="1421" w:type="dxa"/>
          </w:tcPr>
          <w:p w14:paraId="32030692" w14:textId="77777777" w:rsidR="00CA1809" w:rsidRDefault="00CA1809" w:rsidP="00012E49">
            <w:pPr>
              <w:rPr>
                <w:rFonts w:eastAsia="MS Mincho"/>
              </w:rPr>
            </w:pPr>
          </w:p>
        </w:tc>
        <w:tc>
          <w:tcPr>
            <w:tcW w:w="6277" w:type="dxa"/>
          </w:tcPr>
          <w:p w14:paraId="391FD373" w14:textId="77777777" w:rsidR="00CA1809" w:rsidRDefault="00CA1809" w:rsidP="00012E49">
            <w:pPr>
              <w:rPr>
                <w:rFonts w:eastAsia="MS Mincho"/>
              </w:rPr>
            </w:pPr>
          </w:p>
        </w:tc>
      </w:tr>
      <w:tr w:rsidR="00CA1809" w14:paraId="369B0A10" w14:textId="77777777" w:rsidTr="00CA1809">
        <w:tc>
          <w:tcPr>
            <w:tcW w:w="1364" w:type="dxa"/>
          </w:tcPr>
          <w:p w14:paraId="310535CE" w14:textId="77777777" w:rsidR="00CA1809" w:rsidRDefault="00CA1809" w:rsidP="00012E49">
            <w:pPr>
              <w:rPr>
                <w:lang w:eastAsia="zh-CN"/>
              </w:rPr>
            </w:pPr>
          </w:p>
        </w:tc>
        <w:tc>
          <w:tcPr>
            <w:tcW w:w="1421" w:type="dxa"/>
          </w:tcPr>
          <w:p w14:paraId="2FEDF601" w14:textId="77777777" w:rsidR="00CA1809" w:rsidRDefault="00CA1809" w:rsidP="00012E49">
            <w:pPr>
              <w:rPr>
                <w:lang w:eastAsia="zh-CN"/>
              </w:rPr>
            </w:pPr>
          </w:p>
        </w:tc>
        <w:tc>
          <w:tcPr>
            <w:tcW w:w="6277" w:type="dxa"/>
          </w:tcPr>
          <w:p w14:paraId="570359DB" w14:textId="77777777" w:rsidR="00CA1809" w:rsidRDefault="00CA1809" w:rsidP="00012E49">
            <w:pPr>
              <w:rPr>
                <w:lang w:eastAsia="zh-CN"/>
              </w:rPr>
            </w:pPr>
          </w:p>
        </w:tc>
      </w:tr>
      <w:tr w:rsidR="00CA1809" w14:paraId="38DAF251" w14:textId="77777777" w:rsidTr="00CA1809">
        <w:tc>
          <w:tcPr>
            <w:tcW w:w="1364" w:type="dxa"/>
          </w:tcPr>
          <w:p w14:paraId="74DDEA0A" w14:textId="77777777" w:rsidR="00CA1809" w:rsidRDefault="00CA1809" w:rsidP="00012E49">
            <w:pPr>
              <w:rPr>
                <w:lang w:eastAsia="zh-CN"/>
              </w:rPr>
            </w:pPr>
          </w:p>
        </w:tc>
        <w:tc>
          <w:tcPr>
            <w:tcW w:w="1421" w:type="dxa"/>
          </w:tcPr>
          <w:p w14:paraId="006886DC" w14:textId="77777777" w:rsidR="00CA1809" w:rsidRDefault="00CA1809" w:rsidP="00012E49">
            <w:pPr>
              <w:rPr>
                <w:lang w:eastAsia="zh-CN"/>
              </w:rPr>
            </w:pPr>
          </w:p>
        </w:tc>
        <w:tc>
          <w:tcPr>
            <w:tcW w:w="6277" w:type="dxa"/>
          </w:tcPr>
          <w:p w14:paraId="450A57E6" w14:textId="77777777" w:rsidR="00CA1809" w:rsidRDefault="00CA1809" w:rsidP="00012E49">
            <w:pPr>
              <w:rPr>
                <w:lang w:eastAsia="zh-CN"/>
              </w:rPr>
            </w:pPr>
          </w:p>
        </w:tc>
      </w:tr>
      <w:tr w:rsidR="00CA1809" w14:paraId="5C2A8D4F" w14:textId="77777777" w:rsidTr="00CA1809">
        <w:tc>
          <w:tcPr>
            <w:tcW w:w="1364" w:type="dxa"/>
          </w:tcPr>
          <w:p w14:paraId="428ED488" w14:textId="77777777" w:rsidR="00CA1809" w:rsidRDefault="00CA1809" w:rsidP="00012E49"/>
        </w:tc>
        <w:tc>
          <w:tcPr>
            <w:tcW w:w="1421" w:type="dxa"/>
          </w:tcPr>
          <w:p w14:paraId="7C7C4DB4" w14:textId="77777777" w:rsidR="00CA1809" w:rsidRDefault="00CA1809" w:rsidP="00012E49"/>
        </w:tc>
        <w:tc>
          <w:tcPr>
            <w:tcW w:w="6277" w:type="dxa"/>
          </w:tcPr>
          <w:p w14:paraId="47BDEC99" w14:textId="77777777" w:rsidR="00CA1809" w:rsidRDefault="00CA1809" w:rsidP="00012E49"/>
        </w:tc>
      </w:tr>
      <w:tr w:rsidR="00CA1809" w14:paraId="28591A94" w14:textId="77777777" w:rsidTr="00CA1809">
        <w:tc>
          <w:tcPr>
            <w:tcW w:w="1364" w:type="dxa"/>
          </w:tcPr>
          <w:p w14:paraId="677C06D5" w14:textId="77777777" w:rsidR="00CA1809" w:rsidRPr="00CD4571" w:rsidRDefault="00CA1809" w:rsidP="00012E49"/>
        </w:tc>
        <w:tc>
          <w:tcPr>
            <w:tcW w:w="1421" w:type="dxa"/>
          </w:tcPr>
          <w:p w14:paraId="1C1F123E" w14:textId="77777777" w:rsidR="00CA1809" w:rsidRPr="00CD4571" w:rsidRDefault="00CA1809" w:rsidP="00012E49"/>
        </w:tc>
        <w:tc>
          <w:tcPr>
            <w:tcW w:w="6277" w:type="dxa"/>
          </w:tcPr>
          <w:p w14:paraId="6F0B8779" w14:textId="77777777" w:rsidR="00CA1809" w:rsidRDefault="00CA1809" w:rsidP="00012E49"/>
        </w:tc>
      </w:tr>
      <w:tr w:rsidR="00CA180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CA1809" w:rsidRDefault="00CA1809" w:rsidP="00012E49">
            <w:pPr>
              <w:rPr>
                <w:lang w:eastAsia="zh-CN"/>
              </w:rPr>
            </w:pPr>
          </w:p>
        </w:tc>
      </w:tr>
      <w:tr w:rsidR="00CA180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CA1809" w:rsidRDefault="00CA1809" w:rsidP="00012E49">
            <w:pPr>
              <w:rPr>
                <w:lang w:eastAsia="zh-CN"/>
              </w:rPr>
            </w:pPr>
          </w:p>
        </w:tc>
      </w:tr>
      <w:tr w:rsidR="00CA180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CA1809" w:rsidRDefault="00CA1809" w:rsidP="00012E49">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Heading1"/>
      </w:pPr>
      <w:r>
        <w:t>Other Rounds</w:t>
      </w:r>
    </w:p>
    <w:p w14:paraId="5C140C91" w14:textId="3C77DB61" w:rsidR="008A0B23" w:rsidRDefault="008A0B23" w:rsidP="00DE1739">
      <w:r>
        <w:t xml:space="preserve">Etc.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r>
      <w:r w:rsidR="00F26694">
        <w:rPr>
          <w:color w:val="000000"/>
        </w:rPr>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F1195" w14:textId="77777777" w:rsidR="00A17A2F" w:rsidRDefault="00A17A2F" w:rsidP="000274E9">
      <w:pPr>
        <w:spacing w:after="0"/>
      </w:pPr>
      <w:r>
        <w:separator/>
      </w:r>
    </w:p>
  </w:endnote>
  <w:endnote w:type="continuationSeparator" w:id="0">
    <w:p w14:paraId="4B3974F0" w14:textId="77777777" w:rsidR="00A17A2F" w:rsidRDefault="00A17A2F"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EBF3E" w14:textId="33B8AFF3" w:rsidR="00445BD3" w:rsidRDefault="00445BD3">
    <w:pPr>
      <w:pStyle w:val="Footer"/>
    </w:pPr>
    <w:r>
      <w:rPr>
        <w:noProof/>
        <w:lang w:eastAsia="zh-TW"/>
      </w:rPr>
      <mc:AlternateContent>
        <mc:Choice Requires="wps">
          <w:drawing>
            <wp:anchor distT="0" distB="0" distL="114300" distR="114300" simplePos="0" relativeHeight="251659264" behindDoc="0" locked="0" layoutInCell="0" allowOverlap="1" wp14:anchorId="4F42DE29" wp14:editId="759D7032">
              <wp:simplePos x="0" y="0"/>
              <wp:positionH relativeFrom="page">
                <wp:posOffset>0</wp:posOffset>
              </wp:positionH>
              <wp:positionV relativeFrom="page">
                <wp:posOffset>10228580</wp:posOffset>
              </wp:positionV>
              <wp:extent cx="7560310" cy="273050"/>
              <wp:effectExtent l="0" t="0" r="0" b="12700"/>
              <wp:wrapNone/>
              <wp:docPr id="1" name="MSIPCM1b4241f690f548280d1cb7be"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3DE1D8BA" w:rsidR="00445BD3" w:rsidRPr="007175CD" w:rsidRDefault="00445BD3" w:rsidP="007175CD">
                          <w:pPr>
                            <w:spacing w:after="0"/>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1b4241f690f548280d1cb7be" o:spid="_x0000_s1026" type="#_x0000_t202" alt="{&quot;HashCode&quot;:-1699574231,&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" o:allowincell="f" filled="f" stroked="f" strokeweight=".5pt">
              <v:textbox inset="20pt,0,,0">
                <w:txbxContent>
                  <w:p w14:paraId="6C421506" w14:textId="3DE1D8BA" w:rsidR="00445BD3" w:rsidRPr="007175CD" w:rsidRDefault="00445BD3" w:rsidP="007175CD">
                    <w:pPr>
                      <w:spacing w:after="0"/>
                      <w:rPr>
                        <w:rFonts w:ascii="Calibri" w:hAnsi="Calibri" w:cs="Calibri"/>
                        <w:color w:val="000000"/>
                        <w:sz w:val="14"/>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B5BDF" w14:textId="77777777" w:rsidR="00A17A2F" w:rsidRDefault="00A17A2F" w:rsidP="000274E9">
      <w:pPr>
        <w:spacing w:after="0"/>
      </w:pPr>
      <w:r>
        <w:separator/>
      </w:r>
    </w:p>
  </w:footnote>
  <w:footnote w:type="continuationSeparator" w:id="0">
    <w:p w14:paraId="0D035F5C" w14:textId="77777777" w:rsidR="00A17A2F" w:rsidRDefault="00A17A2F"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75348"/>
    <w:rsid w:val="001824D7"/>
    <w:rsid w:val="00184E8F"/>
    <w:rsid w:val="001920C1"/>
    <w:rsid w:val="00194579"/>
    <w:rsid w:val="001971AE"/>
    <w:rsid w:val="001A2D65"/>
    <w:rsid w:val="001E5F99"/>
    <w:rsid w:val="001E6541"/>
    <w:rsid w:val="001F0607"/>
    <w:rsid w:val="001F39CD"/>
    <w:rsid w:val="001F5466"/>
    <w:rsid w:val="00210DE0"/>
    <w:rsid w:val="002156FC"/>
    <w:rsid w:val="00225BDF"/>
    <w:rsid w:val="00250B34"/>
    <w:rsid w:val="00254977"/>
    <w:rsid w:val="00257DAB"/>
    <w:rsid w:val="00260842"/>
    <w:rsid w:val="002637F2"/>
    <w:rsid w:val="002677D3"/>
    <w:rsid w:val="00276878"/>
    <w:rsid w:val="00292E23"/>
    <w:rsid w:val="002942D7"/>
    <w:rsid w:val="00296392"/>
    <w:rsid w:val="002B3029"/>
    <w:rsid w:val="002C777A"/>
    <w:rsid w:val="002D15B0"/>
    <w:rsid w:val="002D5A97"/>
    <w:rsid w:val="002D7F9A"/>
    <w:rsid w:val="002E5BD2"/>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0459"/>
    <w:rsid w:val="003E1D99"/>
    <w:rsid w:val="003F57A9"/>
    <w:rsid w:val="004052E0"/>
    <w:rsid w:val="00410E8D"/>
    <w:rsid w:val="004112A5"/>
    <w:rsid w:val="0042082E"/>
    <w:rsid w:val="00422A7E"/>
    <w:rsid w:val="00423DCC"/>
    <w:rsid w:val="00431B0B"/>
    <w:rsid w:val="00445BD3"/>
    <w:rsid w:val="004769BB"/>
    <w:rsid w:val="00481C6D"/>
    <w:rsid w:val="004822A7"/>
    <w:rsid w:val="00487384"/>
    <w:rsid w:val="00487DC1"/>
    <w:rsid w:val="004901C7"/>
    <w:rsid w:val="00492325"/>
    <w:rsid w:val="004A5C3B"/>
    <w:rsid w:val="004C6015"/>
    <w:rsid w:val="004F1A79"/>
    <w:rsid w:val="004F42FB"/>
    <w:rsid w:val="00502083"/>
    <w:rsid w:val="00503FD1"/>
    <w:rsid w:val="005147D7"/>
    <w:rsid w:val="00525318"/>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B3F0B"/>
    <w:rsid w:val="006D1688"/>
    <w:rsid w:val="006D1CC4"/>
    <w:rsid w:val="006D774A"/>
    <w:rsid w:val="006E48D6"/>
    <w:rsid w:val="006F61DA"/>
    <w:rsid w:val="00715C0D"/>
    <w:rsid w:val="00715FE8"/>
    <w:rsid w:val="007175CD"/>
    <w:rsid w:val="007307AF"/>
    <w:rsid w:val="0074094A"/>
    <w:rsid w:val="00742417"/>
    <w:rsid w:val="007438FC"/>
    <w:rsid w:val="00747FF8"/>
    <w:rsid w:val="00752444"/>
    <w:rsid w:val="00761D18"/>
    <w:rsid w:val="00764622"/>
    <w:rsid w:val="007871A4"/>
    <w:rsid w:val="00787EB6"/>
    <w:rsid w:val="007A0D91"/>
    <w:rsid w:val="007A262E"/>
    <w:rsid w:val="007C0300"/>
    <w:rsid w:val="007C08D4"/>
    <w:rsid w:val="007C3040"/>
    <w:rsid w:val="007C5560"/>
    <w:rsid w:val="007D527A"/>
    <w:rsid w:val="007D6512"/>
    <w:rsid w:val="007D6DFD"/>
    <w:rsid w:val="007E2362"/>
    <w:rsid w:val="007F6408"/>
    <w:rsid w:val="00807936"/>
    <w:rsid w:val="00826896"/>
    <w:rsid w:val="008372EC"/>
    <w:rsid w:val="0084081B"/>
    <w:rsid w:val="008641BF"/>
    <w:rsid w:val="00871B8C"/>
    <w:rsid w:val="008A0B23"/>
    <w:rsid w:val="008A1390"/>
    <w:rsid w:val="008A2823"/>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17A2F"/>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AF15F4"/>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C23C3D"/>
    <w:rsid w:val="00C25DDB"/>
    <w:rsid w:val="00C3058B"/>
    <w:rsid w:val="00C33678"/>
    <w:rsid w:val="00C40517"/>
    <w:rsid w:val="00C43944"/>
    <w:rsid w:val="00C61E17"/>
    <w:rsid w:val="00C670AB"/>
    <w:rsid w:val="00C72BF8"/>
    <w:rsid w:val="00C76C55"/>
    <w:rsid w:val="00C819E0"/>
    <w:rsid w:val="00C82579"/>
    <w:rsid w:val="00C82EC5"/>
    <w:rsid w:val="00C876F1"/>
    <w:rsid w:val="00C95162"/>
    <w:rsid w:val="00CA1809"/>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72BAA"/>
    <w:rsid w:val="00D83D30"/>
    <w:rsid w:val="00D90AFD"/>
    <w:rsid w:val="00D96E11"/>
    <w:rsid w:val="00DA5E21"/>
    <w:rsid w:val="00DC4196"/>
    <w:rsid w:val="00DD0EFA"/>
    <w:rsid w:val="00DD27C3"/>
    <w:rsid w:val="00DD4384"/>
    <w:rsid w:val="00DD7234"/>
    <w:rsid w:val="00DE1739"/>
    <w:rsid w:val="00DF0755"/>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5371A"/>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3e/Docs/RP-212206.zip" TargetMode="External"/><Relationship Id="rId5" Type="http://schemas.openxmlformats.org/officeDocument/2006/relationships/styles" Target="styles.xml"/><Relationship Id="rId10" Type="http://schemas.openxmlformats.org/officeDocument/2006/relationships/hyperlink" Target="https://www.3gpp.org/DynaReport/38822.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859</Words>
  <Characters>4902</Characters>
  <Application>Microsoft Office Word</Application>
  <DocSecurity>0</DocSecurity>
  <Lines>40</Lines>
  <Paragraphs>11</Paragraphs>
  <ScaleCrop>false</ScaleCrop>
  <HeadingPairs>
    <vt:vector size="8" baseType="variant">
      <vt:variant>
        <vt:lpstr>Title</vt:lpstr>
      </vt:variant>
      <vt:variant>
        <vt:i4>1</vt:i4>
      </vt:variant>
      <vt:variant>
        <vt:lpstr>Headings</vt:lpstr>
      </vt:variant>
      <vt:variant>
        <vt:i4>7</vt:i4>
      </vt:variant>
      <vt:variant>
        <vt:lpstr>タイトル</vt:lpstr>
      </vt:variant>
      <vt:variant>
        <vt:i4>1</vt:i4>
      </vt:variant>
      <vt:variant>
        <vt:lpstr>제목</vt:lpstr>
      </vt:variant>
      <vt:variant>
        <vt:i4>1</vt:i4>
      </vt:variant>
    </vt:vector>
  </HeadingPairs>
  <TitlesOfParts>
    <vt:vector size="10" baseType="lpstr">
      <vt:lpstr/>
      <vt:lpstr>Introduction</vt:lpstr>
      <vt:lpstr>Contacts</vt:lpstr>
      <vt:lpstr>NR URLLC UE categories/profiles</vt:lpstr>
      <vt:lpstr>    Initial Round</vt:lpstr>
      <vt:lpstr>UL MIMO coherence capabilities</vt:lpstr>
      <vt:lpstr>    Initial Round</vt:lpstr>
      <vt:lpstr>References</vt:lpstr>
      <vt:lpstr/>
      <vt:lpstr/>
    </vt:vector>
  </TitlesOfParts>
  <Company>Ericsson</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Johan Johansson</cp:lastModifiedBy>
  <cp:revision>4</cp:revision>
  <dcterms:created xsi:type="dcterms:W3CDTF">2021-06-17T18:46:00Z</dcterms:created>
  <dcterms:modified xsi:type="dcterms:W3CDTF">2021-09-13T07:48:00Z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