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zh-CN"/>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Heading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17FE8A00" w14:textId="77777777" w:rsidR="00A054DC" w:rsidRDefault="009B2599">
      <w:pPr>
        <w:pStyle w:val="ListParagraph"/>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ListParagraph"/>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ListParagraph"/>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ListParagraph"/>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1B1B151A" w14:textId="77777777" w:rsidR="00A054DC" w:rsidRDefault="009B2599">
      <w:pPr>
        <w:pStyle w:val="Heading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835A849" w14:textId="77777777" w:rsidR="00A054DC" w:rsidRDefault="009B2599">
      <w:pPr>
        <w:pStyle w:val="Heading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Simultaneous PUCCH/PUSCH Tx is another topic for downscoping.</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14:paraId="5B8F763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w:t>
            </w:r>
            <w:proofErr w:type="gramStart"/>
            <w:r>
              <w:rPr>
                <w:rFonts w:eastAsia="DengXian"/>
                <w:lang w:eastAsia="zh-CN"/>
              </w:rPr>
              <w:t>scenarios</w:t>
            </w:r>
            <w:proofErr w:type="gramEnd"/>
            <w:r>
              <w:rPr>
                <w:rFonts w:eastAsia="DengXian"/>
                <w:lang w:eastAsia="zh-CN"/>
              </w:rPr>
              <w:t xml:space="preserve"> for this feature is limited, e.g. only for inter-band CA. That is, it cannot address issue </w:t>
            </w:r>
            <w:r>
              <w:rPr>
                <w:rFonts w:eastAsia="DengXian"/>
                <w:lang w:eastAsia="zh-CN"/>
              </w:rPr>
              <w:lastRenderedPageBreak/>
              <w:t xml:space="preserve">for non-CA case and intra-band CA case, which are probably more typical scenarios. It is preferred to keep the feature that can be applied to more broad scenarios. </w:t>
            </w:r>
            <w:r>
              <w:rPr>
                <w:rFonts w:eastAsia="DengXian"/>
                <w:b/>
                <w:lang w:eastAsia="zh-CN"/>
              </w:rPr>
              <w:t xml:space="preserve"> </w:t>
            </w:r>
          </w:p>
          <w:p w14:paraId="6B4CD086" w14:textId="77777777" w:rsidR="00A054DC" w:rsidRDefault="009B2599">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ListParagraph"/>
              <w:numPr>
                <w:ilvl w:val="0"/>
                <w:numId w:val="7"/>
              </w:numPr>
              <w:spacing w:before="120" w:after="120" w:line="240" w:lineRule="auto"/>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w:t>
            </w:r>
            <w:proofErr w:type="gramStart"/>
            <w:r>
              <w:rPr>
                <w:rFonts w:eastAsia="DengXian"/>
                <w:lang w:eastAsia="zh-CN"/>
              </w:rPr>
              <w:t>e.g.</w:t>
            </w:r>
            <w:proofErr w:type="gramEnd"/>
            <w:r>
              <w:rPr>
                <w:rFonts w:eastAsia="DengXian"/>
                <w:lang w:eastAsia="zh-CN"/>
              </w:rPr>
              <w:t xml:space="preserve">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562AE48F"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468F3411"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7E26139"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w:t>
            </w:r>
            <w:proofErr w:type="gramStart"/>
            <w:r>
              <w:rPr>
                <w:lang w:eastAsia="ko-KR"/>
              </w:rPr>
              <w:t>e.g.</w:t>
            </w:r>
            <w:proofErr w:type="gramEnd"/>
            <w:r>
              <w:rPr>
                <w:lang w:eastAsia="ko-KR"/>
              </w:rPr>
              <w:t xml:space="preserve"> PUCCH carrier switching) for URLLC. Also, compared to LP/HP multiplexing, the spec impact is small and can be finalized within the remaining time for the WI.</w:t>
            </w:r>
          </w:p>
          <w:p w14:paraId="799B9586" w14:textId="77777777" w:rsidR="00A054DC" w:rsidRDefault="009B2599">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w:t>
            </w:r>
            <w:proofErr w:type="gramStart"/>
            <w:r>
              <w:rPr>
                <w:lang w:eastAsia="ko-KR"/>
              </w:rPr>
              <w:t>feature;</w:t>
            </w:r>
            <w:proofErr w:type="gramEnd"/>
          </w:p>
          <w:p w14:paraId="60C41FDA" w14:textId="77777777" w:rsidR="00A054DC" w:rsidRDefault="009B2599">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ListParagraph"/>
              <w:numPr>
                <w:ilvl w:val="1"/>
                <w:numId w:val="10"/>
              </w:numPr>
              <w:spacing w:before="120" w:after="120" w:line="240" w:lineRule="auto"/>
              <w:textAlignment w:val="center"/>
              <w:rPr>
                <w:lang w:eastAsia="ko-KR"/>
              </w:rPr>
            </w:pPr>
            <w:r>
              <w:rPr>
                <w:lang w:eastAsia="ko-KR"/>
              </w:rPr>
              <w:t xml:space="preserve">There are already much </w:t>
            </w:r>
            <w:proofErr w:type="gramStart"/>
            <w:r>
              <w:rPr>
                <w:lang w:eastAsia="ko-KR"/>
              </w:rPr>
              <w:t>less</w:t>
            </w:r>
            <w:proofErr w:type="gramEnd"/>
            <w:r>
              <w:rPr>
                <w:lang w:eastAsia="ko-KR"/>
              </w:rPr>
              <w:t xml:space="preserve"> complex features agreed by RAN1 that the network can use to recover a dropped LP channel (e.g. HARQ-ACK re-transmission).</w:t>
            </w:r>
          </w:p>
          <w:p w14:paraId="246DF956" w14:textId="77777777" w:rsidR="00A054DC" w:rsidRDefault="009B2599">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 xml:space="preserve">own-scoping this feature if </w:t>
            </w:r>
            <w:proofErr w:type="gramStart"/>
            <w:r>
              <w:rPr>
                <w:rStyle w:val="Strong"/>
                <w:rFonts w:ascii="Times New Roman" w:eastAsia="Microsoft YaHei" w:hAnsi="Times New Roman"/>
                <w:b w:val="0"/>
                <w:szCs w:val="20"/>
              </w:rPr>
              <w:t>the majority of</w:t>
            </w:r>
            <w:proofErr w:type="gramEnd"/>
            <w:r>
              <w:rPr>
                <w:rStyle w:val="Strong"/>
                <w:rFonts w:ascii="Times New Roman" w:eastAsia="Microsoft YaHei" w:hAnsi="Times New Roman"/>
                <w:b w:val="0"/>
                <w:szCs w:val="20"/>
              </w:rPr>
              <w:t xml:space="preserve">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Observing the relevant progress so far and considering the potential standard workload, simultaneous PUCCH+PUSCH TX and CG/DG PUSCH prioritization should be </w:t>
            </w:r>
            <w:proofErr w:type="gramStart"/>
            <w:r>
              <w:rPr>
                <w:rFonts w:ascii="Times New Roman" w:hAnsi="Times New Roman"/>
                <w:bCs/>
              </w:rPr>
              <w:t>down-scoped</w:t>
            </w:r>
            <w:proofErr w:type="gramEnd"/>
            <w:r>
              <w:rPr>
                <w:rFonts w:ascii="Times New Roman" w:hAnsi="Times New Roman"/>
                <w:bCs/>
              </w:rPr>
              <w:t>.</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 xml:space="preserve">We are fine with 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4F6E3C8B"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prio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ListParagraph"/>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14:paraId="632D0E20" w14:textId="77777777" w:rsidR="00A054DC" w:rsidRDefault="009B2599">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w:t>
            </w:r>
            <w:proofErr w:type="gramStart"/>
            <w:r>
              <w:rPr>
                <w:color w:val="7030A0"/>
                <w:lang w:eastAsia="ko-KR"/>
              </w:rPr>
              <w:t>framework</w:t>
            </w:r>
            <w:proofErr w:type="gramEnd"/>
            <w:r>
              <w:rPr>
                <w:color w:val="7030A0"/>
                <w:lang w:eastAsia="ko-KR"/>
              </w:rPr>
              <w:t xml:space="preserve">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 xml:space="preserve">different PHY priorities" and "simultaneous PUCCH and PUSCH" should be rather </w:t>
            </w:r>
            <w:proofErr w:type="gramStart"/>
            <w:r>
              <w:rPr>
                <w:rFonts w:eastAsia="Yu Mincho"/>
                <w:lang w:eastAsia="ja-JP"/>
              </w:rPr>
              <w:t>down-scoped</w:t>
            </w:r>
            <w:proofErr w:type="gramEnd"/>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t>
            </w:r>
            <w:proofErr w:type="gramStart"/>
            <w:r>
              <w:rPr>
                <w:rFonts w:ascii="Times New Roman" w:hAnsi="Times New Roman"/>
                <w:bCs/>
              </w:rPr>
              <w:t>would</w:t>
            </w:r>
            <w:proofErr w:type="gramEnd"/>
            <w:r>
              <w:rPr>
                <w:rFonts w:ascii="Times New Roman" w:hAnsi="Times New Roman"/>
                <w:bCs/>
              </w:rPr>
              <w:t xml:space="preserve"> avoid having to define all sorts of complicated rules on when to multiplex and this aspect is pretty much done</w:t>
            </w:r>
          </w:p>
          <w:p w14:paraId="1DBD8785"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4E34B01B"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The remaining issues are not big showstoppers.  </w:t>
            </w:r>
            <w:proofErr w:type="gramStart"/>
            <w:r>
              <w:rPr>
                <w:rFonts w:ascii="Times New Roman" w:hAnsi="Times New Roman"/>
                <w:bCs/>
              </w:rPr>
              <w:t>So</w:t>
            </w:r>
            <w:proofErr w:type="gramEnd"/>
            <w:r>
              <w:rPr>
                <w:rFonts w:ascii="Times New Roman" w:hAnsi="Times New Roman"/>
                <w:bCs/>
              </w:rPr>
              <w:t xml:space="preserve"> we do not see why we need to totally remove this entire feature.</w:t>
            </w:r>
          </w:p>
        </w:tc>
      </w:tr>
    </w:tbl>
    <w:p w14:paraId="5951D233" w14:textId="77777777" w:rsidR="00A054DC" w:rsidRDefault="009B2599">
      <w:pPr>
        <w:pStyle w:val="Heading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w:t>
            </w:r>
            <w:proofErr w:type="gramStart"/>
            <w:r>
              <w:rPr>
                <w:rFonts w:eastAsiaTheme="minorEastAsia"/>
                <w:b/>
                <w:lang w:eastAsia="zh-CN"/>
              </w:rPr>
              <w:t>i.e.</w:t>
            </w:r>
            <w:proofErr w:type="gramEnd"/>
            <w:r>
              <w:rPr>
                <w:rFonts w:eastAsiaTheme="minorEastAsia"/>
                <w:b/>
                <w:lang w:eastAsia="zh-CN"/>
              </w:rPr>
              <w:t xml:space="preserv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 xml:space="preserve">really worried about the potential specification impact, we are fine to add some restriction, </w:t>
            </w:r>
            <w:proofErr w:type="gramStart"/>
            <w:r>
              <w:rPr>
                <w:rFonts w:eastAsiaTheme="minorEastAsia"/>
                <w:lang w:eastAsia="zh-CN"/>
              </w:rPr>
              <w:t>e.g.</w:t>
            </w:r>
            <w:proofErr w:type="gramEnd"/>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w:t>
            </w:r>
            <w:proofErr w:type="gramStart"/>
            <w:r>
              <w:rPr>
                <w:rFonts w:eastAsiaTheme="minorEastAsia"/>
                <w:lang w:eastAsia="zh-CN"/>
              </w:rPr>
              <w:t>time-span</w:t>
            </w:r>
            <w:proofErr w:type="gramEnd"/>
            <w:r>
              <w:rPr>
                <w:rFonts w:eastAsiaTheme="minorEastAsia"/>
                <w:lang w:eastAsia="zh-CN"/>
              </w:rPr>
              <w:t xml:space="preserve">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proofErr w:type="gramStart"/>
            <w:r>
              <w:rPr>
                <w:rFonts w:eastAsiaTheme="minorEastAsia"/>
                <w:lang w:eastAsia="zh-CN"/>
              </w:rPr>
              <w:t>needed</w:t>
            </w:r>
            <w:proofErr w:type="gramEnd"/>
            <w:r>
              <w:rPr>
                <w:rFonts w:eastAsiaTheme="minorEastAsia"/>
                <w:lang w:eastAsia="zh-CN"/>
              </w:rPr>
              <w:t xml:space="preserve">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enh.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Considering current situation, we suggest </w:t>
            </w:r>
            <w:proofErr w:type="gramStart"/>
            <w:r>
              <w:rPr>
                <w:rFonts w:ascii="Times New Roman" w:hAnsi="Times New Roman"/>
                <w:bCs/>
              </w:rPr>
              <w:t>to subject</w:t>
            </w:r>
            <w:proofErr w:type="gramEnd"/>
            <w:r>
              <w:rPr>
                <w:rFonts w:ascii="Times New Roman" w:hAnsi="Times New Roman"/>
                <w:bCs/>
              </w:rPr>
              <w:t xml:space="preserve">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Heading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lastRenderedPageBreak/>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r>
              <w:rPr>
                <w:lang w:eastAsia="ko-KR"/>
              </w:rPr>
              <w:t>Futurewei</w:t>
            </w:r>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w:t>
            </w:r>
            <w:proofErr w:type="gramStart"/>
            <w:r>
              <w:rPr>
                <w:rFonts w:ascii="Times New Roman" w:hAnsi="Times New Roman"/>
                <w:szCs w:val="20"/>
                <w:lang w:eastAsia="ko-KR"/>
              </w:rPr>
              <w:t>e.g.</w:t>
            </w:r>
            <w:proofErr w:type="gramEnd"/>
            <w:r>
              <w:rPr>
                <w:rFonts w:ascii="Times New Roman" w:hAnsi="Times New Roman"/>
                <w:szCs w:val="20"/>
                <w:lang w:eastAsia="ko-KR"/>
              </w:rPr>
              <w:t xml:space="preserve">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lastRenderedPageBreak/>
              <w:t>Intel</w:t>
            </w:r>
          </w:p>
        </w:tc>
        <w:tc>
          <w:tcPr>
            <w:tcW w:w="7389" w:type="dxa"/>
            <w:vAlign w:val="center"/>
          </w:tcPr>
          <w:p w14:paraId="187BEDCF"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lastRenderedPageBreak/>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 xml:space="preserve">With respect to concern raised, in our understanding the feature would be subject to UE capability and provides considerable benefits to obtain enhanced CSI report without </w:t>
            </w:r>
            <w:r>
              <w:rPr>
                <w:rFonts w:eastAsia="Times New Roman"/>
                <w:color w:val="7030A0"/>
              </w:rPr>
              <w:lastRenderedPageBreak/>
              <w:t>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severe &amp; destructive </w:t>
            </w:r>
            <w:proofErr w:type="gramStart"/>
            <w:r>
              <w:rPr>
                <w:rFonts w:ascii="Times New Roman" w:hAnsi="Times New Roman"/>
                <w:bCs/>
              </w:rPr>
              <w:t>issues</w:t>
            </w:r>
            <w:proofErr w:type="gramEnd"/>
            <w:r>
              <w:rPr>
                <w:rFonts w:ascii="Times New Roman" w:hAnsi="Times New Roman"/>
                <w:bCs/>
              </w:rPr>
              <w:t xml:space="preserve"> but they are used too casually in RAN1.  We think that it is fine to re-consider delta-MCS because:</w:t>
            </w:r>
          </w:p>
          <w:p w14:paraId="5F7AE063"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t>
            </w:r>
            <w:proofErr w:type="gramStart"/>
            <w:r>
              <w:rPr>
                <w:rFonts w:ascii="Times New Roman" w:hAnsi="Times New Roman"/>
                <w:bCs/>
              </w:rPr>
              <w:t>was</w:t>
            </w:r>
            <w:proofErr w:type="gramEnd"/>
            <w:r>
              <w:rPr>
                <w:rFonts w:ascii="Times New Roman" w:hAnsi="Times New Roman"/>
                <w:bCs/>
              </w:rPr>
              <w:t xml:space="preserve">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w:t>
            </w:r>
            <w:proofErr w:type="gramStart"/>
            <w:r>
              <w:rPr>
                <w:rFonts w:ascii="Times New Roman" w:hAnsi="Times New Roman"/>
                <w:bCs/>
              </w:rPr>
              <w:t>and also</w:t>
            </w:r>
            <w:proofErr w:type="gramEnd"/>
            <w:r>
              <w:rPr>
                <w:rFonts w:ascii="Times New Roman" w:hAnsi="Times New Roman"/>
                <w:bCs/>
              </w:rPr>
              <w:t xml:space="preserve"> consume more processing time at the same instant.</w:t>
            </w:r>
          </w:p>
          <w:p w14:paraId="61588920"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w:t>
            </w:r>
            <w:proofErr w:type="gramStart"/>
            <w:r>
              <w:rPr>
                <w:rFonts w:ascii="Times New Roman" w:hAnsi="Times New Roman"/>
                <w:bCs/>
              </w:rPr>
              <w:t>specific</w:t>
            </w:r>
            <w:proofErr w:type="gramEnd"/>
            <w:r>
              <w:rPr>
                <w:rFonts w:ascii="Times New Roman" w:hAnsi="Times New Roman"/>
                <w:bCs/>
              </w:rPr>
              <w:t xml:space="preserve">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proofErr w:type="gramStart"/>
            <w:r>
              <w:rPr>
                <w:rFonts w:ascii="Times New Roman" w:hAnsi="Times New Roman"/>
                <w:bCs/>
              </w:rPr>
              <w:t>Hence</w:t>
            </w:r>
            <w:proofErr w:type="gramEnd"/>
            <w:r>
              <w:rPr>
                <w:rFonts w:ascii="Times New Roman" w:hAnsi="Times New Roman"/>
                <w:bCs/>
              </w:rPr>
              <w:t xml:space="preserve"> we think it is fair to re-consider delta-MCS.</w:t>
            </w:r>
          </w:p>
        </w:tc>
      </w:tr>
    </w:tbl>
    <w:p w14:paraId="3FD7B727" w14:textId="77777777" w:rsidR="00A054DC" w:rsidRDefault="009B2599">
      <w:pPr>
        <w:pStyle w:val="Heading2"/>
        <w:spacing w:before="120" w:after="120" w:line="240" w:lineRule="auto"/>
      </w:pPr>
      <w:r>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056EA3BD" w14:textId="77777777" w:rsidR="00A054DC" w:rsidRDefault="009B2599">
            <w:pPr>
              <w:pStyle w:val="ListParagraph"/>
              <w:numPr>
                <w:ilvl w:val="0"/>
                <w:numId w:val="18"/>
              </w:numPr>
              <w:spacing w:before="120" w:after="120" w:line="240" w:lineRule="auto"/>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217F1D74" w14:textId="77777777" w:rsidR="00A054DC" w:rsidRDefault="009B2599">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For TA-based PDC enhancements, an LS has been sent to RAN4 and it is premature to preclude TA-based enhancements at this point before the </w:t>
            </w:r>
            <w:proofErr w:type="gramStart"/>
            <w:r>
              <w:rPr>
                <w:rFonts w:eastAsiaTheme="minorEastAsia" w:hint="eastAsia"/>
                <w:lang w:eastAsia="zh-CN"/>
              </w:rPr>
              <w:t>reply</w:t>
            </w:r>
            <w:proofErr w:type="gramEnd"/>
            <w:r>
              <w:rPr>
                <w:rFonts w:eastAsiaTheme="minorEastAsia" w:hint="eastAsia"/>
                <w:lang w:eastAsia="zh-CN"/>
              </w:rPr>
              <w:t xml:space="preserve">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ListParagraph"/>
              <w:numPr>
                <w:ilvl w:val="0"/>
                <w:numId w:val="18"/>
              </w:numPr>
              <w:spacing w:before="120" w:after="120" w:line="240" w:lineRule="auto"/>
              <w:jc w:val="both"/>
              <w:rPr>
                <w:lang w:val="en-US"/>
              </w:rPr>
            </w:pPr>
            <w:r>
              <w:rPr>
                <w:b/>
                <w:bCs/>
                <w:lang w:val="en-US" w:eastAsia="zh-CN"/>
              </w:rPr>
              <w:t>RAN1 prioritize the discussion of RTT-based PDC in RAN1#106-</w:t>
            </w:r>
            <w:proofErr w:type="gramStart"/>
            <w:r>
              <w:rPr>
                <w:b/>
                <w:bCs/>
                <w:lang w:val="en-US" w:eastAsia="zh-CN"/>
              </w:rPr>
              <w:t>e, and</w:t>
            </w:r>
            <w:proofErr w:type="gramEnd"/>
            <w:r>
              <w:rPr>
                <w:b/>
                <w:bCs/>
                <w:lang w:val="en-US" w:eastAsia="zh-CN"/>
              </w:rPr>
              <w:t xml:space="preserve"> send LS to RAN2/4 if any issue relevant to other working group is identified.</w:t>
            </w:r>
          </w:p>
          <w:p w14:paraId="7DB4FE68" w14:textId="77777777" w:rsidR="00A054DC" w:rsidRDefault="009B2599">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w:t>
            </w:r>
            <w:proofErr w:type="gramStart"/>
            <w:r>
              <w:rPr>
                <w:b/>
                <w:bCs/>
                <w:lang w:val="en-US" w:eastAsia="zh-CN"/>
              </w:rPr>
              <w:t>e.g.</w:t>
            </w:r>
            <w:proofErr w:type="gramEnd"/>
            <w:r>
              <w:rPr>
                <w:b/>
                <w:bCs/>
                <w:lang w:val="en-US" w:eastAsia="zh-CN"/>
              </w:rPr>
              <w:t xml:space="preserve"> R1-2108635 on TA-based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4A9ACFB2"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 xml:space="preserve">few additional spec </w:t>
            </w:r>
            <w:proofErr w:type="gramStart"/>
            <w:r>
              <w:rPr>
                <w:rStyle w:val="Strong"/>
                <w:rFonts w:ascii="Times New Roman" w:eastAsia="Microsoft YaHei" w:hAnsi="Times New Roman" w:cs="Times New Roman" w:hint="eastAsia"/>
                <w:b w:val="0"/>
                <w:sz w:val="20"/>
                <w:szCs w:val="20"/>
                <w:shd w:val="clear" w:color="auto" w:fill="FFFFFF"/>
              </w:rPr>
              <w:t>effort</w:t>
            </w:r>
            <w:proofErr w:type="gramEnd"/>
            <w:r>
              <w:rPr>
                <w:rStyle w:val="Strong"/>
                <w:rFonts w:ascii="Times New Roman" w:eastAsia="Microsoft YaHei" w:hAnsi="Times New Roman" w:cs="Times New Roman" w:hint="eastAsia"/>
                <w:b w:val="0"/>
                <w:sz w:val="20"/>
                <w:szCs w:val="20"/>
                <w:shd w:val="clear" w:color="auto" w:fill="FFFFFF"/>
              </w:rPr>
              <w:t xml:space="preserve">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649383F4" w14:textId="77777777" w:rsidR="00A054DC" w:rsidRDefault="009B2599">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lastRenderedPageBreak/>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w:t>
            </w:r>
            <w:proofErr w:type="gramStart"/>
            <w:r>
              <w:rPr>
                <w:rStyle w:val="CommentReference"/>
                <w:rFonts w:eastAsia="SimSun"/>
                <w:lang w:val="en-US" w:eastAsia="zh-CN"/>
              </w:rPr>
              <w:t>clear</w:t>
            </w:r>
            <w:proofErr w:type="gramEnd"/>
            <w:r>
              <w:rPr>
                <w:rStyle w:val="CommentReference"/>
                <w:rFonts w:eastAsia="SimSun"/>
                <w:lang w:val="en-US" w:eastAsia="zh-CN"/>
              </w:rPr>
              <w:t xml:space="preserve">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Te and TA command indication granularity. </w:t>
            </w:r>
            <w:proofErr w:type="gramStart"/>
            <w:r>
              <w:rPr>
                <w:rFonts w:eastAsiaTheme="minorEastAsia"/>
                <w:lang w:val="en-US" w:eastAsia="zh-CN"/>
              </w:rPr>
              <w:t>Actually, it</w:t>
            </w:r>
            <w:proofErr w:type="gramEnd"/>
            <w:r>
              <w:rPr>
                <w:rFonts w:eastAsiaTheme="minorEastAsia"/>
                <w:lang w:val="en-US" w:eastAsia="zh-CN"/>
              </w:rPr>
              <w:t xml:space="preserve">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684F56">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684F56">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proofErr w:type="gramStart"/>
            <w:r>
              <w:rPr>
                <w:rFonts w:ascii="Times New Roman" w:hAnsi="Times New Roman"/>
                <w:bCs/>
              </w:rPr>
              <w:t>However</w:t>
            </w:r>
            <w:proofErr w:type="gramEnd"/>
            <w:r>
              <w:rPr>
                <w:rFonts w:ascii="Times New Roman" w:hAnsi="Times New Roman"/>
                <w:bCs/>
              </w:rPr>
              <w:t xml:space="preserve">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20F8DEBA"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357425B"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Heading2"/>
        <w:spacing w:before="120" w:after="120" w:line="240" w:lineRule="auto"/>
      </w:pPr>
      <w:r>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w:t>
            </w:r>
            <w:r>
              <w:rPr>
                <w:lang w:eastAsia="ko-KR"/>
              </w:rPr>
              <w:lastRenderedPageBreak/>
              <w:t xml:space="preserve">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xml:space="preserv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 xml:space="preserve">We do support the proposal except the last bullet. RAN2 WG has progressed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lastRenderedPageBreak/>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w:t>
            </w:r>
            <w:proofErr w:type="gramStart"/>
            <w:r>
              <w:rPr>
                <w:rFonts w:eastAsia="DengXian"/>
                <w:lang w:eastAsia="zh-CN"/>
              </w:rPr>
              <w:t>In order to</w:t>
            </w:r>
            <w:proofErr w:type="gramEnd"/>
            <w:r>
              <w:rPr>
                <w:rFonts w:eastAsia="DengXian"/>
                <w:lang w:eastAsia="zh-CN"/>
              </w:rPr>
              <w:t xml:space="preserve">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w:t>
            </w:r>
            <w:proofErr w:type="gramStart"/>
            <w:r>
              <w:rPr>
                <w:lang w:eastAsia="ko-KR"/>
              </w:rPr>
              <w:t>i.e.</w:t>
            </w:r>
            <w:proofErr w:type="gramEnd"/>
            <w:r>
              <w:rPr>
                <w:lang w:eastAsia="ko-KR"/>
              </w:rPr>
              <w:t xml:space="preserv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w:t>
            </w:r>
            <w:proofErr w:type="gramStart"/>
            <w:r>
              <w:rPr>
                <w:rFonts w:eastAsia="DengXian" w:hint="eastAsia"/>
                <w:lang w:val="en-US" w:eastAsia="zh-CN"/>
              </w:rPr>
              <w:t>timer based</w:t>
            </w:r>
            <w:proofErr w:type="gramEnd"/>
            <w:r>
              <w:rPr>
                <w:rFonts w:eastAsia="DengXian" w:hint="eastAsia"/>
                <w:lang w:val="en-US" w:eastAsia="zh-CN"/>
              </w:rPr>
              <w:t xml:space="preserve">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lastRenderedPageBreak/>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Heading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Heading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The following alternatives for downscoping were identified during the initial round discussions. Each of the alternatives had good level of support in the initial phase.</w:t>
      </w:r>
    </w:p>
    <w:p w14:paraId="3CE6347E" w14:textId="77777777" w:rsidR="00A054DC" w:rsidRDefault="009B2599">
      <w:pPr>
        <w:pStyle w:val="ListParagraph"/>
        <w:numPr>
          <w:ilvl w:val="0"/>
          <w:numId w:val="23"/>
        </w:numPr>
        <w:spacing w:before="120" w:after="120" w:line="240" w:lineRule="auto"/>
        <w:jc w:val="both"/>
        <w:rPr>
          <w:lang w:val="en-US" w:eastAsia="ko-KR"/>
        </w:rPr>
      </w:pPr>
      <w:r>
        <w:rPr>
          <w:lang w:val="en-US" w:eastAsia="ko-KR"/>
        </w:rPr>
        <w:t>Downscope the support for simultaneous TX of PUCCH/PUSCH</w:t>
      </w:r>
    </w:p>
    <w:p w14:paraId="66788B28" w14:textId="77777777" w:rsidR="00A054DC" w:rsidRDefault="009B2599">
      <w:pPr>
        <w:pStyle w:val="ListParagraph"/>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14:paraId="397F5F04" w14:textId="77777777" w:rsidR="00A054DC" w:rsidRDefault="009B2599">
      <w:pPr>
        <w:pStyle w:val="ListParagraph"/>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w:t>
      </w:r>
      <w:proofErr w:type="gramStart"/>
      <w:r>
        <w:t>Furthermore</w:t>
      </w:r>
      <w:proofErr w:type="gramEnd"/>
      <w:r>
        <w:t xml:space="preserv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lastRenderedPageBreak/>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trPr>
          <w:trHeight w:val="567"/>
        </w:trPr>
        <w:tc>
          <w:tcPr>
            <w:tcW w:w="1555"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r w:rsidR="0097557F" w14:paraId="6626A083" w14:textId="77777777">
        <w:trPr>
          <w:trHeight w:val="567"/>
        </w:trPr>
        <w:tc>
          <w:tcPr>
            <w:tcW w:w="1555" w:type="dxa"/>
            <w:vAlign w:val="center"/>
          </w:tcPr>
          <w:p w14:paraId="751EC180" w14:textId="5C793D7F" w:rsidR="0097557F" w:rsidRPr="0097557F" w:rsidRDefault="0097557F" w:rsidP="00BE18F2">
            <w:pPr>
              <w:spacing w:after="0" w:line="240" w:lineRule="auto"/>
              <w:textAlignment w:val="center"/>
              <w:rPr>
                <w:lang w:eastAsia="ko-KR"/>
              </w:rPr>
            </w:pPr>
            <w:r>
              <w:rPr>
                <w:lang w:eastAsia="ko-KR"/>
              </w:rPr>
              <w:t>Spreadtrum</w:t>
            </w:r>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FB2DC5" w14:paraId="13D1ABCE" w14:textId="77777777">
        <w:trPr>
          <w:trHeight w:val="567"/>
        </w:trPr>
        <w:tc>
          <w:tcPr>
            <w:tcW w:w="1555" w:type="dxa"/>
            <w:vAlign w:val="center"/>
          </w:tcPr>
          <w:p w14:paraId="7B465C3C" w14:textId="421B7250" w:rsidR="00FB2DC5" w:rsidRDefault="00FB2DC5" w:rsidP="00FB2DC5">
            <w:pPr>
              <w:spacing w:after="0" w:line="240" w:lineRule="auto"/>
              <w:textAlignment w:val="center"/>
              <w:rPr>
                <w:lang w:eastAsia="ko-KR"/>
              </w:rPr>
            </w:pPr>
            <w:r>
              <w:rPr>
                <w:lang w:eastAsia="ko-KR"/>
              </w:rPr>
              <w:t>InterDigital</w:t>
            </w:r>
          </w:p>
        </w:tc>
        <w:tc>
          <w:tcPr>
            <w:tcW w:w="7461" w:type="dxa"/>
            <w:vAlign w:val="center"/>
          </w:tcPr>
          <w:p w14:paraId="554D5C10" w14:textId="31FD4C11" w:rsidR="00FB2DC5" w:rsidRDefault="00FB2DC5" w:rsidP="00FB2DC5">
            <w:pPr>
              <w:spacing w:after="0" w:line="240" w:lineRule="auto"/>
              <w:textAlignment w:val="center"/>
              <w:rPr>
                <w:rFonts w:eastAsiaTheme="minorEastAsia"/>
                <w:lang w:eastAsia="zh-CN"/>
              </w:rPr>
            </w:pPr>
            <w:r>
              <w:rPr>
                <w:lang w:eastAsia="ko-KR"/>
              </w:rPr>
              <w:t xml:space="preserve">We prefer Alt-A. The required workload to complete PHY prioritization of overlapping DG-PUSCH/CG-PUSCH is relatively </w:t>
            </w:r>
            <w:proofErr w:type="gramStart"/>
            <w:r>
              <w:rPr>
                <w:lang w:eastAsia="ko-KR"/>
              </w:rPr>
              <w:t>small</w:t>
            </w:r>
            <w:proofErr w:type="gramEnd"/>
            <w:r>
              <w:rPr>
                <w:lang w:eastAsia="ko-KR"/>
              </w:rPr>
              <w:t xml:space="preserve"> but it addresses important scenario. If we need to choose between Alt-B and Alt-C, our preference is on Alt-C.</w:t>
            </w:r>
          </w:p>
        </w:tc>
      </w:tr>
    </w:tbl>
    <w:p w14:paraId="2DD5CE0B" w14:textId="77777777" w:rsidR="00A054DC" w:rsidRDefault="009B2599">
      <w:pPr>
        <w:pStyle w:val="Heading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w:t>
      </w:r>
      <w:proofErr w:type="gramStart"/>
      <w:r>
        <w:t>and also</w:t>
      </w:r>
      <w:proofErr w:type="gramEnd"/>
      <w:r>
        <w:t xml:space="preserve"> provided by multiple companies, there are four possible cases under consideration with Case 2-1, Case 2-2, and Case 3 involving SUL:</w:t>
      </w:r>
    </w:p>
    <w:p w14:paraId="1A601109" w14:textId="77777777" w:rsidR="00A054DC" w:rsidRDefault="009B2599">
      <w:pPr>
        <w:pStyle w:val="ListParagraph"/>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ListParagraph"/>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ListParagraph"/>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ListParagraph"/>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w:t>
            </w:r>
            <w:r>
              <w:rPr>
                <w:rFonts w:eastAsia="Yu Mincho"/>
                <w:lang w:eastAsia="ja-JP"/>
              </w:rPr>
              <w:lastRenderedPageBreak/>
              <w:t>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ListParagraph"/>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bl>
    <w:p w14:paraId="4CD2B5C8" w14:textId="77777777" w:rsidR="00A054DC" w:rsidRDefault="009B2599">
      <w:pPr>
        <w:pStyle w:val="Heading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RP-212107) with positive views on re-opening the RAN1 discussions, </w:t>
      </w:r>
      <w:proofErr w:type="gramStart"/>
      <w:r>
        <w:t>it is clear that RAN</w:t>
      </w:r>
      <w:proofErr w:type="gramEnd"/>
      <w:r>
        <w:t xml:space="preserve">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trPr>
          <w:trHeight w:val="567"/>
        </w:trPr>
        <w:tc>
          <w:tcPr>
            <w:tcW w:w="1555"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trPr>
          <w:trHeight w:val="567"/>
        </w:trPr>
        <w:tc>
          <w:tcPr>
            <w:tcW w:w="1555" w:type="dxa"/>
            <w:vAlign w:val="center"/>
          </w:tcPr>
          <w:p w14:paraId="1B840A3D" w14:textId="4D88E3E7" w:rsidR="0097557F" w:rsidRPr="0097557F" w:rsidRDefault="0097557F" w:rsidP="00BE18F2">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FB2DC5" w14:paraId="3A6B304E" w14:textId="77777777">
        <w:trPr>
          <w:trHeight w:val="567"/>
        </w:trPr>
        <w:tc>
          <w:tcPr>
            <w:tcW w:w="1555" w:type="dxa"/>
            <w:vAlign w:val="center"/>
          </w:tcPr>
          <w:p w14:paraId="3D5D6EE6" w14:textId="6D0ABCF3" w:rsidR="00FB2DC5" w:rsidRDefault="00FB2DC5" w:rsidP="00FB2DC5">
            <w:pPr>
              <w:spacing w:after="0" w:line="240" w:lineRule="auto"/>
              <w:textAlignment w:val="center"/>
              <w:rPr>
                <w:rFonts w:eastAsiaTheme="minorEastAsia" w:hint="eastAsia"/>
                <w:lang w:eastAsia="zh-CN"/>
              </w:rPr>
            </w:pPr>
            <w:r>
              <w:rPr>
                <w:lang w:eastAsia="ko-KR"/>
              </w:rPr>
              <w:t>InterDigital</w:t>
            </w:r>
          </w:p>
        </w:tc>
        <w:tc>
          <w:tcPr>
            <w:tcW w:w="7461" w:type="dxa"/>
            <w:vAlign w:val="center"/>
          </w:tcPr>
          <w:p w14:paraId="44743D94" w14:textId="4FFF96A2" w:rsidR="00FB2DC5" w:rsidRDefault="00FB2DC5" w:rsidP="00FB2DC5">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bl>
    <w:p w14:paraId="6295A81D" w14:textId="77777777" w:rsidR="00A054DC" w:rsidRDefault="009B2599">
      <w:pPr>
        <w:pStyle w:val="Heading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 xml:space="preserve">Of the 15 companies who provided their company views in the initial round, 8 companies preferred to continue discussions in working groups without RAN intervention at this point. While </w:t>
      </w:r>
      <w:proofErr w:type="gramStart"/>
      <w:r>
        <w:t>making a decision</w:t>
      </w:r>
      <w:proofErr w:type="gramEnd"/>
      <w:r>
        <w:t xml:space="preserve"> in RAN on which </w:t>
      </w:r>
      <w:r>
        <w:lastRenderedPageBreak/>
        <w:t>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ListParagraph"/>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w:t>
            </w:r>
            <w:proofErr w:type="gramStart"/>
            <w:r>
              <w:rPr>
                <w:b/>
                <w:bCs/>
                <w:color w:val="FF0000"/>
                <w:u w:val="single"/>
                <w:lang w:val="en-US" w:eastAsia="zh-CN"/>
              </w:rPr>
              <w:t>e, and</w:t>
            </w:r>
            <w:proofErr w:type="gramEnd"/>
            <w:r>
              <w:rPr>
                <w:b/>
                <w:bCs/>
                <w:color w:val="FF0000"/>
                <w:u w:val="single"/>
                <w:lang w:val="en-US" w:eastAsia="zh-CN"/>
              </w:rPr>
              <w:t xml:space="preserve"> send an LS to RAN2/4 if any issue relevant to other working group is identified.</w:t>
            </w:r>
          </w:p>
          <w:p w14:paraId="74A0538B" w14:textId="77777777" w:rsidR="00A054DC" w:rsidRDefault="009B2599">
            <w:pPr>
              <w:pStyle w:val="ListParagraph"/>
              <w:numPr>
                <w:ilvl w:val="0"/>
                <w:numId w:val="25"/>
              </w:numPr>
              <w:spacing w:before="120" w:after="120" w:line="240" w:lineRule="auto"/>
              <w:jc w:val="both"/>
              <w:rPr>
                <w:b/>
                <w:color w:val="0070C0"/>
                <w:lang w:val="en-US"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proofErr w:type="gramStart"/>
            <w:r>
              <w:rPr>
                <w:lang w:eastAsia="ko-KR"/>
              </w:rPr>
              <w:t>Similar to</w:t>
            </w:r>
            <w:proofErr w:type="gramEnd"/>
            <w:r>
              <w:rPr>
                <w:lang w:eastAsia="ko-KR"/>
              </w:rPr>
              <w:t xml:space="preserve"> RTT-based PDC, TA-based PDC also has three error performance formula from which RAN1 needs to pick just one. </w:t>
            </w:r>
            <w:proofErr w:type="gramStart"/>
            <w:r>
              <w:rPr>
                <w:lang w:eastAsia="ko-KR"/>
              </w:rPr>
              <w:t>So</w:t>
            </w:r>
            <w:proofErr w:type="gramEnd"/>
            <w:r>
              <w:rPr>
                <w:lang w:eastAsia="ko-KR"/>
              </w:rPr>
              <w:t xml:space="preserve">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bl>
    <w:p w14:paraId="22F8CFE1" w14:textId="77777777" w:rsidR="00A054DC" w:rsidRDefault="009B2599">
      <w:pPr>
        <w:pStyle w:val="Heading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 xml:space="preserve">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w:t>
      </w:r>
      <w:r>
        <w:lastRenderedPageBreak/>
        <w:t>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trHeight w:val="567"/>
        </w:trPr>
        <w:tc>
          <w:tcPr>
            <w:tcW w:w="1555" w:type="dxa"/>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trPr>
          <w:trHeight w:val="567"/>
        </w:trPr>
        <w:tc>
          <w:tcPr>
            <w:tcW w:w="1555" w:type="dxa"/>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FB2DC5" w14:paraId="54FC1C7C" w14:textId="77777777">
        <w:trPr>
          <w:trHeight w:val="567"/>
        </w:trPr>
        <w:tc>
          <w:tcPr>
            <w:tcW w:w="1555" w:type="dxa"/>
            <w:vAlign w:val="center"/>
          </w:tcPr>
          <w:p w14:paraId="1CE0665C" w14:textId="6F820A50" w:rsidR="00FB2DC5" w:rsidRDefault="00FB2DC5" w:rsidP="00FB2DC5">
            <w:pPr>
              <w:spacing w:after="0" w:line="240" w:lineRule="auto"/>
              <w:textAlignment w:val="center"/>
              <w:rPr>
                <w:lang w:eastAsia="ko-KR"/>
              </w:rPr>
            </w:pPr>
            <w:r>
              <w:rPr>
                <w:lang w:eastAsia="ko-KR"/>
              </w:rPr>
              <w:t>InterDigital</w:t>
            </w:r>
          </w:p>
        </w:tc>
        <w:tc>
          <w:tcPr>
            <w:tcW w:w="7461" w:type="dxa"/>
            <w:vAlign w:val="center"/>
          </w:tcPr>
          <w:p w14:paraId="67C39370" w14:textId="6AD28D81" w:rsidR="00FB2DC5" w:rsidRDefault="00FB2DC5" w:rsidP="00FB2DC5">
            <w:pPr>
              <w:spacing w:after="0" w:line="240" w:lineRule="auto"/>
              <w:textAlignment w:val="center"/>
              <w:rPr>
                <w:lang w:eastAsia="ko-KR"/>
              </w:rPr>
            </w:pPr>
            <w:r w:rsidRPr="00FB2DC5">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bl>
    <w:p w14:paraId="795D6D6C" w14:textId="77777777" w:rsidR="00A054DC" w:rsidRDefault="009B2599">
      <w:pPr>
        <w:pStyle w:val="Heading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Heading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Heading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lastRenderedPageBreak/>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51B7" w14:textId="77777777" w:rsidR="00684F56" w:rsidRDefault="00684F56">
      <w:pPr>
        <w:spacing w:line="240" w:lineRule="auto"/>
      </w:pPr>
      <w:r>
        <w:separator/>
      </w:r>
    </w:p>
  </w:endnote>
  <w:endnote w:type="continuationSeparator" w:id="0">
    <w:p w14:paraId="59E03830" w14:textId="77777777" w:rsidR="00684F56" w:rsidRDefault="00684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Wingdings-Regular">
    <w:altName w:val="Yu Gothic UI"/>
    <w:panose1 w:val="020B0604020202020204"/>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 Sans">
    <w:altName w:val="Times New Roman"/>
    <w:panose1 w:val="020B0604020202020204"/>
    <w:charset w:val="00"/>
    <w:family w:val="roman"/>
    <w:pitch w:val="variable"/>
    <w:sig w:usb0="00000001" w:usb1="4000207A" w:usb2="00000000" w:usb3="00000000" w:csb0="00000093"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5BCE" w14:textId="77777777" w:rsidR="00A054DC" w:rsidRDefault="009B2599">
    <w:pPr>
      <w:pStyle w:val="Footer"/>
    </w:pPr>
    <w:r>
      <w:rPr>
        <w:noProof/>
        <w:lang w:val="en-US" w:eastAsia="zh-CN"/>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E67F" w14:textId="77777777" w:rsidR="00684F56" w:rsidRDefault="00684F56">
      <w:pPr>
        <w:spacing w:after="0" w:line="240" w:lineRule="auto"/>
      </w:pPr>
      <w:r>
        <w:separator/>
      </w:r>
    </w:p>
  </w:footnote>
  <w:footnote w:type="continuationSeparator" w:id="0">
    <w:p w14:paraId="0C060E9F" w14:textId="77777777" w:rsidR="00684F56" w:rsidRDefault="00684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B2DC5"/>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063844D2-859B-47AA-940F-958744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ommentTextChar"/>
    <w:uiPriority w:val="99"/>
    <w:unhideWhenUsed/>
    <w:qFormat/>
    <w:pPr>
      <w:spacing w:after="0" w:line="240" w:lineRule="auto"/>
    </w:p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10676</Words>
  <Characters>60859</Characters>
  <Application>Microsoft Office Word</Application>
  <DocSecurity>0</DocSecurity>
  <Lines>507</Lines>
  <Paragraphs>142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문일 이</cp:lastModifiedBy>
  <cp:revision>3</cp:revision>
  <dcterms:created xsi:type="dcterms:W3CDTF">2021-09-15T05:35:00Z</dcterms:created>
  <dcterms:modified xsi:type="dcterms:W3CDTF">2021-09-15T05:36:00Z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