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lastRenderedPageBreak/>
              <w:t>Simultaneous PUCCH/PUSCH Tx is another topic for downscoping.</w:t>
            </w:r>
          </w:p>
        </w:tc>
      </w:tr>
      <w:tr w:rsidR="003B4943" w14:paraId="60FFEEBF" w14:textId="77777777" w:rsidTr="00CD0B15">
        <w:trPr>
          <w:trHeight w:val="567"/>
        </w:trPr>
        <w:tc>
          <w:tcPr>
            <w:tcW w:w="1627" w:type="dxa"/>
            <w:vAlign w:val="center"/>
          </w:tcPr>
          <w:p w14:paraId="61C336C2" w14:textId="01920A3D" w:rsidR="003B4943" w:rsidRDefault="003B4943" w:rsidP="00B45BAF">
            <w:pPr>
              <w:textAlignment w:val="center"/>
              <w:rPr>
                <w:rFonts w:eastAsiaTheme="minorEastAsia"/>
                <w:lang w:eastAsia="zh-CN"/>
              </w:rPr>
            </w:pPr>
            <w:r>
              <w:rPr>
                <w:rFonts w:eastAsiaTheme="minorEastAsia" w:hint="eastAsia"/>
                <w:lang w:eastAsia="zh-CN"/>
              </w:rPr>
              <w:lastRenderedPageBreak/>
              <w:t>Q</w:t>
            </w:r>
            <w:r>
              <w:rPr>
                <w:rFonts w:eastAsiaTheme="minorEastAsia"/>
                <w:lang w:eastAsia="zh-CN"/>
              </w:rPr>
              <w:t>uectel</w:t>
            </w:r>
          </w:p>
        </w:tc>
        <w:tc>
          <w:tcPr>
            <w:tcW w:w="7389" w:type="dxa"/>
            <w:vAlign w:val="center"/>
          </w:tcPr>
          <w:p w14:paraId="1918A1B2" w14:textId="4AD9E791" w:rsidR="003B4943" w:rsidRDefault="003B4943" w:rsidP="009111F5">
            <w:pPr>
              <w:textAlignment w:val="center"/>
              <w:rPr>
                <w:lang w:eastAsia="ko-KR"/>
              </w:rPr>
            </w:pPr>
            <w:r>
              <w:rPr>
                <w:lang w:eastAsia="ko-KR"/>
              </w:rPr>
              <w:t xml:space="preserve">We </w:t>
            </w:r>
            <w:r>
              <w:rPr>
                <w:lang w:eastAsia="ko-KR"/>
              </w:rPr>
              <w:t xml:space="preserve">are fine to do </w:t>
            </w:r>
            <w:r>
              <w:rPr>
                <w:lang w:eastAsia="ko-KR"/>
              </w:rPr>
              <w:t>down-scoping</w:t>
            </w:r>
            <w:r>
              <w:rPr>
                <w:lang w:eastAsia="ko-KR"/>
              </w:rPr>
              <w:t xml:space="preserve"> although we don’t think down-scoping is so necessary considering the progress (especially on the framework) at RAN1#106e. If down-scoping is to be agreed </w:t>
            </w:r>
            <w:r>
              <w:rPr>
                <w:lang w:eastAsia="ko-KR"/>
              </w:rPr>
              <w:t xml:space="preserve">, </w:t>
            </w:r>
            <w:r>
              <w:rPr>
                <w:lang w:eastAsia="ko-KR"/>
              </w:rPr>
              <w:t xml:space="preserve">we think </w:t>
            </w:r>
            <w:r>
              <w:rPr>
                <w:lang w:eastAsia="ko-KR"/>
              </w:rPr>
              <w:t>CG and DG PUSCH overlap handling</w:t>
            </w:r>
            <w:r>
              <w:rPr>
                <w:lang w:eastAsia="ko-KR"/>
              </w:rPr>
              <w:t xml:space="preserve"> and simultaneous PUCCH/PUSCH transmission could be candidates.</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lastRenderedPageBreak/>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lastRenderedPageBreak/>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lastRenderedPageBreak/>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3B4943" w14:paraId="7476505E" w14:textId="77777777" w:rsidTr="00A10107">
        <w:trPr>
          <w:trHeight w:val="567"/>
        </w:trPr>
        <w:tc>
          <w:tcPr>
            <w:tcW w:w="1627" w:type="dxa"/>
            <w:vAlign w:val="center"/>
          </w:tcPr>
          <w:p w14:paraId="5B21FEF3" w14:textId="29824B22" w:rsidR="003B4943" w:rsidRPr="003B4943" w:rsidRDefault="003B4943" w:rsidP="00B45BAF">
            <w:pPr>
              <w:textAlignment w:val="center"/>
              <w:rPr>
                <w:rFonts w:eastAsiaTheme="minorEastAsia" w:cs="Times" w:hint="eastAsia"/>
                <w:szCs w:val="20"/>
                <w:lang w:eastAsia="zh-CN"/>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423E8B64" w14:textId="2D6B5A70" w:rsidR="003B4943" w:rsidRPr="003B4943" w:rsidRDefault="003B4943" w:rsidP="00B45BAF">
            <w:pPr>
              <w:textAlignment w:val="center"/>
              <w:rPr>
                <w:rFonts w:eastAsiaTheme="minorEastAsia" w:hint="eastAsia"/>
                <w:lang w:eastAsia="zh-CN"/>
              </w:rPr>
            </w:pPr>
            <w:r>
              <w:rPr>
                <w:rFonts w:eastAsiaTheme="minorEastAsia" w:hint="eastAsia"/>
                <w:lang w:eastAsia="zh-CN"/>
              </w:rPr>
              <w:t>A</w:t>
            </w:r>
            <w:r>
              <w:rPr>
                <w:rFonts w:eastAsiaTheme="minorEastAsia"/>
                <w:lang w:eastAsia="zh-CN"/>
              </w:rPr>
              <w:t xml:space="preserve">lthough we think delta-MCS is a useful feature for URLLC, we </w:t>
            </w:r>
            <w:r w:rsidR="002D21DD">
              <w:rPr>
                <w:rFonts w:eastAsiaTheme="minorEastAsia"/>
                <w:lang w:eastAsia="zh-CN"/>
              </w:rPr>
              <w:t xml:space="preserve">tend to </w:t>
            </w:r>
            <w:r>
              <w:rPr>
                <w:rFonts w:eastAsiaTheme="minorEastAsia"/>
                <w:lang w:eastAsia="zh-CN"/>
              </w:rPr>
              <w:t>agree with some other companies that it may not be a good idea to re</w:t>
            </w:r>
            <w:r w:rsidR="002D21DD">
              <w:rPr>
                <w:rFonts w:eastAsiaTheme="minorEastAsia"/>
                <w:lang w:eastAsia="zh-CN"/>
              </w:rPr>
              <w:t>-</w:t>
            </w:r>
            <w:r>
              <w:rPr>
                <w:rFonts w:eastAsiaTheme="minorEastAsia"/>
                <w:lang w:eastAsia="zh-CN"/>
              </w:rPr>
              <w:t>open the discussion. Given the impression</w:t>
            </w:r>
            <w:r w:rsidR="002D21DD">
              <w:rPr>
                <w:rFonts w:eastAsiaTheme="minorEastAsia"/>
                <w:lang w:eastAsia="zh-CN"/>
              </w:rPr>
              <w:t>s</w:t>
            </w:r>
            <w:r>
              <w:rPr>
                <w:rFonts w:eastAsiaTheme="minorEastAsia"/>
                <w:lang w:eastAsia="zh-CN"/>
              </w:rPr>
              <w:t xml:space="preserve"> from RAN1 discussion, it </w:t>
            </w:r>
            <w:r w:rsidR="002D21DD">
              <w:rPr>
                <w:rFonts w:eastAsiaTheme="minorEastAsia"/>
                <w:lang w:eastAsia="zh-CN"/>
              </w:rPr>
              <w:t xml:space="preserve">is quite likely to </w:t>
            </w:r>
            <w:r>
              <w:rPr>
                <w:rFonts w:eastAsiaTheme="minorEastAsia"/>
                <w:lang w:eastAsia="zh-CN"/>
              </w:rPr>
              <w:t xml:space="preserve">end </w:t>
            </w:r>
            <w:r w:rsidR="002D21DD">
              <w:rPr>
                <w:rFonts w:eastAsiaTheme="minorEastAsia"/>
                <w:lang w:eastAsia="zh-CN"/>
              </w:rPr>
              <w:t xml:space="preserve">up </w:t>
            </w:r>
            <w:r>
              <w:rPr>
                <w:rFonts w:eastAsiaTheme="minorEastAsia"/>
                <w:lang w:eastAsia="zh-CN"/>
              </w:rPr>
              <w:t xml:space="preserve">with the same situation even </w:t>
            </w:r>
            <w:r w:rsidR="002D21DD">
              <w:rPr>
                <w:rFonts w:eastAsiaTheme="minorEastAsia"/>
                <w:lang w:eastAsia="zh-CN"/>
              </w:rPr>
              <w:t xml:space="preserve">if </w:t>
            </w:r>
            <w:r>
              <w:rPr>
                <w:rFonts w:eastAsiaTheme="minorEastAsia"/>
                <w:lang w:eastAsia="zh-CN"/>
              </w:rPr>
              <w:t>the discussion is re-open.</w:t>
            </w: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lastRenderedPageBreak/>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 xml:space="preserve">We prefer a single solution for PDC, considering the limited time remaining in Rel-17 and the standard work required in both RAN1 and RAN2. As both TA-based PDC and </w:t>
            </w:r>
            <w:r w:rsidRPr="00AF4A28">
              <w:rPr>
                <w:lang w:eastAsia="ko-KR"/>
              </w:rPr>
              <w:lastRenderedPageBreak/>
              <w:t>RTT-based PDC are targeting at resolving the same issue, the extra complexity of specifying two solutions is not necessary.</w:t>
            </w:r>
          </w:p>
        </w:tc>
      </w:tr>
    </w:tbl>
    <w:p w14:paraId="54C977AA" w14:textId="77777777" w:rsidR="003361F5" w:rsidRDefault="004770E6">
      <w:pPr>
        <w:pStyle w:val="2"/>
      </w:pPr>
      <w:r>
        <w:lastRenderedPageBreak/>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lastRenderedPageBreak/>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6B39" w14:textId="77777777" w:rsidR="00CE5327" w:rsidRDefault="00CE5327">
      <w:r>
        <w:separator/>
      </w:r>
    </w:p>
  </w:endnote>
  <w:endnote w:type="continuationSeparator" w:id="0">
    <w:p w14:paraId="3EB20665" w14:textId="77777777" w:rsidR="00CE5327" w:rsidRDefault="00CE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Wingdings-Regular">
    <w:altName w:val="HGGothicE"/>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B500" w14:textId="77777777" w:rsidR="00CE5327" w:rsidRDefault="00CE5327">
      <w:r>
        <w:separator/>
      </w:r>
    </w:p>
  </w:footnote>
  <w:footnote w:type="continuationSeparator" w:id="0">
    <w:p w14:paraId="3B081ADF" w14:textId="77777777" w:rsidR="00CE5327" w:rsidRDefault="00CE5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2D21DD"/>
    <w:rsid w:val="00305D41"/>
    <w:rsid w:val="00312B9C"/>
    <w:rsid w:val="003361F5"/>
    <w:rsid w:val="0034223A"/>
    <w:rsid w:val="00350B21"/>
    <w:rsid w:val="003B4943"/>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837"/>
    <w:rsid w:val="006D3973"/>
    <w:rsid w:val="007201B8"/>
    <w:rsid w:val="00727006"/>
    <w:rsid w:val="007411B1"/>
    <w:rsid w:val="007766D9"/>
    <w:rsid w:val="00793F4C"/>
    <w:rsid w:val="00796B28"/>
    <w:rsid w:val="007A2B16"/>
    <w:rsid w:val="007B143F"/>
    <w:rsid w:val="007B330B"/>
    <w:rsid w:val="007D7CE1"/>
    <w:rsid w:val="00812749"/>
    <w:rsid w:val="00840530"/>
    <w:rsid w:val="00895C2E"/>
    <w:rsid w:val="008968FB"/>
    <w:rsid w:val="008A329B"/>
    <w:rsid w:val="008A5760"/>
    <w:rsid w:val="008F7C25"/>
    <w:rsid w:val="009111F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9165E"/>
    <w:rsid w:val="00C91D1A"/>
    <w:rsid w:val="00C926FD"/>
    <w:rsid w:val="00CD0B15"/>
    <w:rsid w:val="00CE1880"/>
    <w:rsid w:val="00CE43AB"/>
    <w:rsid w:val="00CE5327"/>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basedOn w:val="a"/>
    <w:link w:val="ab"/>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表段落 字符"/>
    <w:link w:val="aa"/>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3720</Words>
  <Characters>21210</Characters>
  <Application>Microsoft Office Word</Application>
  <DocSecurity>0</DocSecurity>
  <Lines>176</Lines>
  <Paragraphs>49</Paragraphs>
  <ScaleCrop>false</ScaleCrop>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liu zheng</cp:lastModifiedBy>
  <cp:revision>3</cp:revision>
  <dcterms:created xsi:type="dcterms:W3CDTF">2021-09-14T03:51:00Z</dcterms:created>
  <dcterms:modified xsi:type="dcterms:W3CDTF">2021-09-14T04:59:00Z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