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직선 연결선 1" o:spid="_x0000_s1026" o:spt="20" style="height:0.05pt;width:454.05pt;" filled="f" stroked="t" coordsize="21600,21600" o:gfxdata="UEsFBgAAAAAAAAAAAAAAAAAAAAAAAFBLAwQKAAAAAACHTuJAAAAAAAAAAAAAAAAABAAAAGRycy9Q&#10;SwMEFAAAAAgAh07iQC2bnGvTAAAAAgEAAA8AAABkcnMvZG93bnJldi54bWxNj8FOwzAQRO9I/IO1&#10;SNyoHYqgDXEqBKo4cGqpoMdtvCRR43Vku2ng63F7gctIqxnNvC0Wo+3EQD60jjVkEwWCuHKm5VrD&#10;5n15MwMRIrLBzjFp+KYAi/LyosDcuCOvaFjHWqQSDjlqaGLscylD1ZDFMHE9cfK+nLcY0+lraTwe&#10;U7nt5K1S99Jiy2mhwZ6eG6r264PV8PH0sJ+Ory93y7jabL0bpm/086n19VWmHkFEGuNfGE74CR3K&#10;xLRzBzZBdBrSI/GsyZurWQZidwrJspD/0ctfUEsDBBQAAAAIAIdO4kB6o7w0/gEAAO8DAAAOAAAA&#10;ZHJzL2Uyb0RvYy54bWytU7Fu2zAQ3Qv0HwjutWS3cQLBcgYb6ZK2BpJ+AE1RElGSR5CUZY8F+g9d&#10;u3UN+lmBP6JHSnbTdMlQDQJ59+7d3bvj4nqvFdkJ5yWYkk4nOSXCcKikaUr6+f7mzRUlPjBTMQVG&#10;lPQgPL1evn616G0hZtCCqoQjSGJ80duStiHYIss8b4VmfgJWGHTW4DQLeHVNVjnWI7tW2SzP51kP&#10;rrIOuPAerevBSUdG9xJCqGvJxRp4p4UJA6sTigVsybfSerpM1da14OFTXXsRiCopdhrSH5PgeRv/&#10;2XLBisYx20o+lsBeUsKznjSTBpOeqdYsMNI5+Q+VltyBhzpMOOhsaCQpgl1M82fa3LXMitQLSu3t&#10;WXT//2j5x93GEVnhJlBimMaBH39+PX77QY7fHx5/PcTTNKrUW18geGU2LvbJ9+bO3gL/4omBVctM&#10;I1K19weLFCki+yskXrzFXNv+A1SIYV2AJNm+djpSohhknyZzOE9G7APhaLy4nM/fvb2ghJ98GStO&#10;gdb58F6AJvFQUiVNFI0VbHfrA5aO0BMkmg3cSKXS4JUhPVY7u8zzFOFBySp6I867ZrtSjuxY3J30&#10;JZDqNHYwmKeDeSDrNO7aCI+SYd6RYzg/Jdcy4CtSUpf06syBAcog9qTVoPoWqsPGRb5oxz1IbOPO&#10;xkV7ek+oP+90+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tm5xr0wAAAAIBAAAPAAAAAAAAAAEA&#10;IAAAADgAAABkcnMvZG93bnJldi54bWxQSwECFAAUAAAACACHTuJAeqO8NP4BAADvAwAADgAAAAAA&#10;AAABACAAAAA4AQAAZHJzL2Uyb0RvYy54bWxQSwUGAAAAAAYABgBZAQAAqAUAAAAA&#10;">
                <v:fill on="f" focussize="0,0"/>
                <v:stroke weight="1pt" color="#000000 [3216]" miterlimit="8" joinstyle="miter"/>
                <v:imagedata o:title=""/>
                <o:lock v:ext="edit" aspectratio="f"/>
                <w10:wrap type="none"/>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1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1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a"/>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a"/>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a"/>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a"/>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a"/>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1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9"/>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a"/>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a"/>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lastRenderedPageBreak/>
              <w:t>Harmonizing UL configured-grant enhancements in NR-U and URLLC introduced in Rel-16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1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1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9"/>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lastRenderedPageBreak/>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lastRenderedPageBreak/>
              <w:t>Simultaneous PUCCH/PUSCH Tx is another topic for downscoping.</w:t>
            </w:r>
          </w:p>
        </w:tc>
      </w:tr>
      <w:tr w:rsidR="00714447" w14:paraId="3B3104DF" w14:textId="77777777" w:rsidTr="00CD0B15">
        <w:trPr>
          <w:trHeight w:val="567"/>
        </w:trPr>
        <w:tc>
          <w:tcPr>
            <w:tcW w:w="1627" w:type="dxa"/>
            <w:vAlign w:val="center"/>
          </w:tcPr>
          <w:p w14:paraId="34E46D12" w14:textId="368C60A6" w:rsidR="00714447" w:rsidRDefault="00714447" w:rsidP="00714447">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264A2FC" w14:textId="77777777" w:rsidR="00714447" w:rsidRDefault="00714447" w:rsidP="00714447">
            <w:pPr>
              <w:jc w:val="both"/>
              <w:textAlignment w:val="center"/>
              <w:rPr>
                <w:rFonts w:eastAsia="等线"/>
                <w:lang w:eastAsia="zh-CN"/>
              </w:rPr>
            </w:pPr>
            <w:r>
              <w:rPr>
                <w:rFonts w:eastAsia="等线"/>
                <w:lang w:eastAsia="zh-CN"/>
              </w:rPr>
              <w:t xml:space="preserve">In order to finalize the feature in time, we think it is necessary to down-scope some topics of intra-UE multiplexing and prioritization enhancements. </w:t>
            </w:r>
          </w:p>
          <w:p w14:paraId="29CD7FDB" w14:textId="77777777" w:rsidR="00714447" w:rsidRDefault="00714447" w:rsidP="00714447">
            <w:pPr>
              <w:jc w:val="both"/>
              <w:textAlignment w:val="center"/>
              <w:rPr>
                <w:rFonts w:eastAsia="等线"/>
                <w:u w:val="single"/>
                <w:lang w:eastAsia="zh-CN"/>
              </w:rPr>
            </w:pPr>
            <w:r>
              <w:rPr>
                <w:rFonts w:eastAsia="等线"/>
                <w:lang w:eastAsia="zh-CN"/>
              </w:rPr>
              <w:t xml:space="preserve">Given the progress and efforts we made for each topic, we prefer to focus on the objective of multiplexing of UCI of different priorities on PUCCH &amp; PUSCH. </w:t>
            </w:r>
            <w:r>
              <w:rPr>
                <w:rFonts w:eastAsia="等线"/>
                <w:u w:val="single"/>
                <w:lang w:eastAsia="zh-CN"/>
              </w:rPr>
              <w:t>Down-scope following items</w:t>
            </w:r>
          </w:p>
          <w:p w14:paraId="4BAEB406" w14:textId="77777777" w:rsidR="00714447" w:rsidRDefault="00714447" w:rsidP="00714447">
            <w:pPr>
              <w:pStyle w:val="aa"/>
              <w:numPr>
                <w:ilvl w:val="0"/>
                <w:numId w:val="9"/>
              </w:numPr>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083D1E41" w14:textId="77777777" w:rsidR="00714447" w:rsidRDefault="00714447" w:rsidP="00714447">
            <w:pPr>
              <w:pStyle w:val="aa"/>
              <w:numPr>
                <w:ilvl w:val="0"/>
                <w:numId w:val="9"/>
              </w:numPr>
              <w:jc w:val="both"/>
            </w:pPr>
            <w:r>
              <w:rPr>
                <w:lang w:eastAsia="zh-CN"/>
              </w:rPr>
              <w:t xml:space="preserve">Support of simultaneous PUCCH and PUSCH transmission within a PUCCH cell group </w:t>
            </w:r>
          </w:p>
          <w:p w14:paraId="3A3916EB" w14:textId="77777777" w:rsidR="00714447" w:rsidRDefault="00714447" w:rsidP="00714447">
            <w:pPr>
              <w:textAlignment w:val="center"/>
              <w:rPr>
                <w:lang w:eastAsia="ko-KR"/>
              </w:rPr>
            </w:pP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1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9"/>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 xml:space="preserve">From our perspective, both CA case and SUL related cases should be </w:t>
            </w:r>
            <w:r>
              <w:rPr>
                <w:rFonts w:eastAsia="宋体" w:cs="Times"/>
                <w:b/>
                <w:bCs/>
                <w:i/>
                <w:iCs/>
                <w:color w:val="000000"/>
                <w:szCs w:val="20"/>
                <w:lang w:eastAsia="zh-CN"/>
              </w:rPr>
              <w:lastRenderedPageBreak/>
              <w:t>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therefore we should do the enhancements for both, especially when there might be only very minor additional 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r w:rsidR="00714447" w14:paraId="4C4F1B4A" w14:textId="77777777" w:rsidTr="00990CD7">
        <w:trPr>
          <w:trHeight w:val="567"/>
        </w:trPr>
        <w:tc>
          <w:tcPr>
            <w:tcW w:w="1627" w:type="dxa"/>
            <w:vAlign w:val="center"/>
          </w:tcPr>
          <w:p w14:paraId="51979603" w14:textId="4ACB9CC2" w:rsidR="00714447" w:rsidRDefault="00714447" w:rsidP="00714447">
            <w:pPr>
              <w:textAlignment w:val="center"/>
              <w:rPr>
                <w:lang w:eastAsia="ko-KR"/>
              </w:rPr>
            </w:pPr>
            <w:r>
              <w:rPr>
                <w:rFonts w:eastAsia="等线" w:hint="eastAsia"/>
                <w:lang w:eastAsia="zh-CN"/>
              </w:rPr>
              <w:t>v</w:t>
            </w:r>
            <w:r>
              <w:rPr>
                <w:rFonts w:eastAsia="等线"/>
                <w:lang w:eastAsia="zh-CN"/>
              </w:rPr>
              <w:t>ivo</w:t>
            </w:r>
          </w:p>
        </w:tc>
        <w:tc>
          <w:tcPr>
            <w:tcW w:w="7389" w:type="dxa"/>
            <w:vAlign w:val="center"/>
          </w:tcPr>
          <w:p w14:paraId="00498B22" w14:textId="77777777" w:rsidR="00714447" w:rsidRDefault="00714447" w:rsidP="00714447">
            <w:pPr>
              <w:jc w:val="both"/>
              <w:textAlignment w:val="center"/>
              <w:rPr>
                <w:rFonts w:ascii="Times New Roman" w:eastAsiaTheme="minorEastAsia" w:hAnsi="Times New Roman"/>
                <w:szCs w:val="20"/>
              </w:rPr>
            </w:pPr>
            <w:r>
              <w:rPr>
                <w:rFonts w:eastAsia="等线"/>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206B43DC" w14:textId="77777777" w:rsidR="00714447" w:rsidRDefault="00714447" w:rsidP="00714447">
            <w:pPr>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4E1724B7" w14:textId="77777777" w:rsidR="00714447" w:rsidRDefault="00714447" w:rsidP="00714447">
            <w:pPr>
              <w:textAlignment w:val="center"/>
              <w:rPr>
                <w:rFonts w:eastAsia="等线"/>
                <w:lang w:eastAsia="zh-CN"/>
              </w:rPr>
            </w:pPr>
          </w:p>
          <w:p w14:paraId="68E867E1" w14:textId="77777777" w:rsidR="00714447" w:rsidRDefault="00714447" w:rsidP="00714447">
            <w:pPr>
              <w:pStyle w:val="aa"/>
              <w:numPr>
                <w:ilvl w:val="0"/>
                <w:numId w:val="10"/>
              </w:numPr>
              <w:adjustRightInd w:val="0"/>
              <w:snapToGrid w:val="0"/>
              <w:spacing w:after="5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36E6160E" w14:textId="77777777" w:rsidR="00714447" w:rsidRDefault="00714447" w:rsidP="00714447">
            <w:pPr>
              <w:pStyle w:val="aa"/>
              <w:numPr>
                <w:ilvl w:val="0"/>
                <w:numId w:val="10"/>
              </w:numPr>
              <w:adjustRightInd w:val="0"/>
              <w:snapToGrid w:val="0"/>
              <w:spacing w:after="5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33E8DF78" w14:textId="77777777" w:rsidR="00714447" w:rsidRDefault="00714447" w:rsidP="00714447">
            <w:pPr>
              <w:pStyle w:val="aa"/>
              <w:numPr>
                <w:ilvl w:val="0"/>
                <w:numId w:val="10"/>
              </w:numPr>
              <w:adjustRightInd w:val="0"/>
              <w:snapToGrid w:val="0"/>
              <w:spacing w:after="50"/>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F62CC94" w14:textId="77777777" w:rsidR="00714447" w:rsidRDefault="00714447" w:rsidP="00714447">
            <w:pPr>
              <w:textAlignment w:val="center"/>
              <w:rPr>
                <w:lang w:eastAsia="ko-KR"/>
              </w:rPr>
            </w:pPr>
          </w:p>
        </w:tc>
      </w:tr>
    </w:tbl>
    <w:p w14:paraId="7DD3B78A" w14:textId="77777777" w:rsidR="003361F5" w:rsidRDefault="004770E6">
      <w:pPr>
        <w:pStyle w:val="2"/>
      </w:pPr>
      <w:r>
        <w:lastRenderedPageBreak/>
        <w:t>CSI feedback enhancements to allow for more accurate MCS selection</w:t>
      </w:r>
    </w:p>
    <w:p w14:paraId="3E351EC5" w14:textId="77777777" w:rsidR="003361F5" w:rsidRDefault="004770E6">
      <w:pPr>
        <w:spacing w:before="120" w:after="120"/>
        <w:ind w:firstLineChars="100" w:firstLine="210"/>
        <w:jc w:val="both"/>
      </w:pPr>
      <w:r>
        <w:t>RAN1 made the following conclusion on delta-MCS in RAN1#106-e after discussing the topic in GTW sessions and over emails.</w:t>
      </w:r>
    </w:p>
    <w:tbl>
      <w:tblPr>
        <w:tblStyle w:val="a9"/>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a"/>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a"/>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a"/>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1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1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9"/>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w:t>
            </w:r>
            <w:r>
              <w:rPr>
                <w:lang w:eastAsia="ko-KR"/>
              </w:rPr>
              <w:lastRenderedPageBreak/>
              <w:t xml:space="preserve">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lastRenderedPageBreak/>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bl>
    <w:p w14:paraId="09E65ABE" w14:textId="77777777" w:rsidR="003361F5" w:rsidRDefault="004770E6">
      <w:pPr>
        <w:pStyle w:val="2"/>
      </w:pPr>
      <w:r>
        <w:lastRenderedPageBreak/>
        <w:t>Enhancements for support of time synchronization</w:t>
      </w:r>
    </w:p>
    <w:p w14:paraId="6533D9DA" w14:textId="77777777" w:rsidR="003361F5" w:rsidRDefault="004770E6">
      <w:pPr>
        <w:spacing w:before="120" w:after="120"/>
        <w:ind w:firstLineChars="100" w:firstLine="21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9"/>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a"/>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a"/>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9"/>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w:t>
            </w:r>
            <w:r>
              <w:rPr>
                <w:lang w:eastAsia="ko-KR"/>
              </w:rPr>
              <w:lastRenderedPageBreak/>
              <w:t>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w:t>
            </w:r>
            <w:r>
              <w:rPr>
                <w:lang w:eastAsia="ko-KR"/>
              </w:rPr>
              <w:lastRenderedPageBreak/>
              <w:t xml:space="preserve">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714447" w14:paraId="11EEB695" w14:textId="77777777" w:rsidTr="004D4C02">
        <w:trPr>
          <w:trHeight w:val="567"/>
        </w:trPr>
        <w:tc>
          <w:tcPr>
            <w:tcW w:w="1627" w:type="dxa"/>
            <w:vAlign w:val="center"/>
          </w:tcPr>
          <w:p w14:paraId="7708D85C" w14:textId="5D635EA5" w:rsidR="00714447" w:rsidRPr="00AF4A28" w:rsidRDefault="00714447" w:rsidP="00714447">
            <w:pPr>
              <w:textAlignment w:val="center"/>
              <w:rPr>
                <w:rFonts w:hint="eastAsia"/>
                <w:lang w:eastAsia="ko-KR"/>
              </w:rPr>
            </w:pPr>
            <w:r>
              <w:rPr>
                <w:rFonts w:eastAsia="等线" w:hint="eastAsia"/>
                <w:lang w:eastAsia="zh-CN"/>
              </w:rPr>
              <w:t>v</w:t>
            </w:r>
            <w:r>
              <w:rPr>
                <w:rFonts w:eastAsia="等线"/>
                <w:lang w:eastAsia="zh-CN"/>
              </w:rPr>
              <w:t>ivo</w:t>
            </w:r>
          </w:p>
        </w:tc>
        <w:tc>
          <w:tcPr>
            <w:tcW w:w="7389" w:type="dxa"/>
            <w:vAlign w:val="center"/>
          </w:tcPr>
          <w:p w14:paraId="6174D818" w14:textId="77777777" w:rsidR="00714447" w:rsidRDefault="00714447" w:rsidP="00714447">
            <w:pPr>
              <w:textAlignment w:val="center"/>
              <w:rPr>
                <w:rStyle w:val="ae"/>
                <w:rFonts w:eastAsia="宋体"/>
                <w:lang w:val="en-US" w:eastAsia="zh-CN"/>
              </w:rPr>
            </w:pPr>
            <w:r w:rsidRPr="00714447">
              <w:rPr>
                <w:rStyle w:val="ae"/>
                <w:rFonts w:eastAsia="宋体" w:hint="eastAsia"/>
                <w:lang w:val="en-US"/>
              </w:rPr>
              <w:t>Y</w:t>
            </w:r>
            <w:r w:rsidRPr="00714447">
              <w:rPr>
                <w:rStyle w:val="ae"/>
                <w:rFonts w:eastAsia="宋体"/>
                <w:lang w:val="en-US"/>
              </w:rPr>
              <w:t>es, we have concern on above proposal.</w:t>
            </w:r>
            <w:r>
              <w:rPr>
                <w:rStyle w:val="ae"/>
                <w:rFonts w:eastAsia="宋体" w:hint="eastAsia"/>
                <w:lang w:val="en-US" w:eastAsia="zh-CN"/>
              </w:rPr>
              <w:t xml:space="preserve"> </w:t>
            </w:r>
          </w:p>
          <w:p w14:paraId="5A930442" w14:textId="77777777" w:rsidR="00714447" w:rsidRDefault="00714447" w:rsidP="00714447">
            <w:pPr>
              <w:textAlignment w:val="center"/>
              <w:rPr>
                <w:rFonts w:eastAsiaTheme="minorEastAsia"/>
              </w:rPr>
            </w:pPr>
            <w:r>
              <w:rPr>
                <w:rStyle w:val="ae"/>
                <w:rFonts w:eastAsia="宋体"/>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等线" w:eastAsia="等线" w:hAnsi="等线"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55173543" w14:textId="77777777" w:rsidR="00714447" w:rsidRDefault="00714447" w:rsidP="00714447">
            <w:pPr>
              <w:pStyle w:val="aa"/>
              <w:numPr>
                <w:ilvl w:val="0"/>
                <w:numId w:val="12"/>
              </w:numPr>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Te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76632AA5" w14:textId="77777777" w:rsidR="00714447" w:rsidRPr="005532F3" w:rsidRDefault="00714447" w:rsidP="00714447">
            <w:pPr>
              <w:pStyle w:val="ac"/>
              <w:numPr>
                <w:ilvl w:val="0"/>
                <w:numId w:val="12"/>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5567FDF1" w14:textId="77777777" w:rsidR="00714447" w:rsidRPr="00911FC1" w:rsidRDefault="00714447" w:rsidP="00714447">
            <w:pPr>
              <w:pStyle w:val="aa"/>
              <w:numPr>
                <w:ilvl w:val="1"/>
                <w:numId w:val="13"/>
              </w:numPr>
              <w:contextualSpacing w:val="0"/>
              <w:rPr>
                <w:b/>
                <w:i/>
                <w:lang w:val="en-US"/>
              </w:rPr>
            </w:pPr>
            <m:oMath>
              <m:sSub>
                <m:sSubPr>
                  <m:ctrlPr>
                    <w:rPr>
                      <w:rFonts w:ascii="Cambria Math" w:eastAsia="等线" w:hAnsi="Cambria Math"/>
                    </w:rPr>
                  </m:ctrlPr>
                </m:sSubPr>
                <m:e>
                  <m:r>
                    <w:rPr>
                      <w:rFonts w:ascii="Cambria Math" w:eastAsia="等线" w:hAnsi="Cambria Math"/>
                    </w:rPr>
                    <m:t>error</m:t>
                  </m:r>
                </m:e>
                <m:sub>
                  <m:r>
                    <w:rPr>
                      <w:rFonts w:ascii="Cambria Math" w:eastAsiaTheme="minorEastAsia" w:hAnsi="Cambria Math"/>
                    </w:rPr>
                    <m:t>UE,RxTx diff</m:t>
                  </m:r>
                </m:sub>
              </m:sSub>
            </m:oMath>
            <w:r w:rsidRPr="00911FC1">
              <w:rPr>
                <w:rFonts w:eastAsiaTheme="minorEastAsia" w:hint="eastAsia"/>
                <w:lang w:eastAsia="zh-CN"/>
              </w:rPr>
              <w:t xml:space="preserve"> </w:t>
            </w:r>
            <w:r w:rsidRPr="00911FC1">
              <w:rPr>
                <w:rFonts w:eastAsiaTheme="minorEastAsia"/>
                <w:lang w:eastAsia="zh-CN"/>
              </w:rPr>
              <w:t xml:space="preserve">for 30kHz and </w:t>
            </w:r>
            <w:r w:rsidRPr="00DD401E">
              <w:rPr>
                <w:szCs w:val="20"/>
              </w:rPr>
              <w:sym w:font="Symbol" w:char="F064"/>
            </w:r>
            <w:r w:rsidRPr="00911FC1">
              <w:rPr>
                <w:szCs w:val="20"/>
              </w:rPr>
              <w:t xml:space="preserve"> value for 15kHz </w:t>
            </w:r>
          </w:p>
          <w:p w14:paraId="1185E616" w14:textId="77777777" w:rsidR="00714447" w:rsidRPr="00D35BC9" w:rsidRDefault="00714447" w:rsidP="00714447">
            <w:pPr>
              <w:pStyle w:val="aa"/>
              <w:numPr>
                <w:ilvl w:val="1"/>
                <w:numId w:val="13"/>
              </w:numPr>
              <w:contextualSpacing w:val="0"/>
              <w:rPr>
                <w:b/>
                <w:i/>
                <w:lang w:val="en-US"/>
              </w:rPr>
            </w:pPr>
            <m:oMath>
              <m:sSub>
                <m:sSubPr>
                  <m:ctrlPr>
                    <w:rPr>
                      <w:rFonts w:ascii="Cambria Math" w:eastAsia="等线" w:hAnsi="Cambria Math"/>
                      <w:i/>
                    </w:rPr>
                  </m:ctrlPr>
                </m:sSubPr>
                <m:e>
                  <m:r>
                    <w:rPr>
                      <w:rFonts w:ascii="Cambria Math" w:eastAsia="等线" w:hAnsi="Cambria Math"/>
                    </w:rPr>
                    <m:t>error</m:t>
                  </m:r>
                </m:e>
                <m:sub>
                  <m:r>
                    <w:rPr>
                      <w:rFonts w:ascii="Cambria Math" w:eastAsiaTheme="minorEastAsia" w:hAnsi="Cambria Math"/>
                    </w:rPr>
                    <m:t>BS,RxTx diff</m:t>
                  </m:r>
                </m:sub>
              </m:sSub>
            </m:oMath>
            <w:r>
              <w:rPr>
                <w:rFonts w:eastAsiaTheme="minorEastAsia" w:hint="eastAsia"/>
                <w:i/>
                <w:lang w:eastAsia="zh-CN"/>
              </w:rPr>
              <w:t xml:space="preserve"> </w:t>
            </w:r>
            <w:r w:rsidRPr="00EC06D4">
              <w:rPr>
                <w:rFonts w:eastAsiaTheme="minorEastAsia"/>
                <w:lang w:eastAsia="zh-CN"/>
              </w:rPr>
              <w:t>for fading channel</w:t>
            </w:r>
          </w:p>
          <w:p w14:paraId="58D8A42C" w14:textId="77777777" w:rsidR="00714447" w:rsidRDefault="00714447" w:rsidP="00714447">
            <w:pPr>
              <w:pStyle w:val="ac"/>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等线"/>
                <w:lang w:eastAsia="zh-CN"/>
              </w:rPr>
              <w:t>. The spec impact is larger than TA-based method.</w:t>
            </w:r>
          </w:p>
          <w:p w14:paraId="0A1EFF15" w14:textId="77777777" w:rsidR="00714447" w:rsidRDefault="00714447" w:rsidP="00714447">
            <w:pPr>
              <w:textAlignment w:val="center"/>
              <w:rPr>
                <w:rFonts w:eastAsia="等线"/>
                <w:lang w:eastAsia="zh-CN"/>
              </w:rPr>
            </w:pPr>
          </w:p>
          <w:p w14:paraId="296139AF" w14:textId="477C5EF7" w:rsidR="00714447" w:rsidRPr="00AF4A28" w:rsidRDefault="00714447" w:rsidP="00714447">
            <w:pPr>
              <w:textAlignment w:val="center"/>
              <w:rPr>
                <w:lang w:eastAsia="ko-KR"/>
              </w:rPr>
            </w:pPr>
            <w:r>
              <w:rPr>
                <w:rFonts w:eastAsia="等线" w:hint="eastAsia"/>
                <w:lang w:eastAsia="zh-CN"/>
              </w:rPr>
              <w:lastRenderedPageBreak/>
              <w:t>I</w:t>
            </w:r>
            <w:r>
              <w:rPr>
                <w:rFonts w:eastAsia="等线"/>
                <w:lang w:eastAsia="zh-CN"/>
              </w:rPr>
              <w:t xml:space="preserve">f some RAN guidance is necessary for this topic, we would be fine with the HW’s suggestion </w:t>
            </w:r>
            <w:r>
              <w:rPr>
                <w:rFonts w:eastAsia="等线"/>
                <w:lang w:eastAsia="zh-CN"/>
              </w:rPr>
              <w:t xml:space="preserve">on Monday’s GTW session </w:t>
            </w:r>
            <w:r>
              <w:rPr>
                <w:rFonts w:eastAsia="等线"/>
                <w:lang w:eastAsia="zh-CN"/>
              </w:rPr>
              <w:t xml:space="preserve">to ask RAN4 to feedback the LS before RAN1 November meeting. </w:t>
            </w:r>
          </w:p>
        </w:tc>
      </w:tr>
    </w:tbl>
    <w:p w14:paraId="54C977AA" w14:textId="77777777" w:rsidR="003361F5" w:rsidRDefault="004770E6">
      <w:pPr>
        <w:pStyle w:val="2"/>
      </w:pPr>
      <w:r>
        <w:lastRenderedPageBreak/>
        <w:t>Enhancements based on new QoS related parameters</w:t>
      </w:r>
    </w:p>
    <w:p w14:paraId="50008D06" w14:textId="77777777" w:rsidR="003361F5" w:rsidRDefault="004770E6">
      <w:pPr>
        <w:spacing w:before="120" w:after="120"/>
        <w:ind w:firstLineChars="100" w:firstLine="210"/>
        <w:jc w:val="both"/>
      </w:pPr>
      <w:r>
        <w:t>The work item rapporteur made the following proposal in [1] to ensure timely completion of the enhancements based on new QoS related parameters.</w:t>
      </w:r>
    </w:p>
    <w:tbl>
      <w:tblPr>
        <w:tblStyle w:val="a9"/>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a"/>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a"/>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a"/>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9"/>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xml:space="preserve">. We cannot make decisions about that now. The only thing we can decide now is what is in and what is out of Rel-17. I’m sure the </w:t>
            </w:r>
            <w:r>
              <w:rPr>
                <w:lang w:eastAsia="ko-KR"/>
              </w:rPr>
              <w:lastRenderedPageBreak/>
              <w:t>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lastRenderedPageBreak/>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714447" w14:paraId="42057E68" w14:textId="77777777" w:rsidTr="005C7CE6">
        <w:trPr>
          <w:trHeight w:val="567"/>
        </w:trPr>
        <w:tc>
          <w:tcPr>
            <w:tcW w:w="1627" w:type="dxa"/>
            <w:vAlign w:val="center"/>
          </w:tcPr>
          <w:p w14:paraId="588CB609" w14:textId="7DF27CC3" w:rsidR="00714447" w:rsidRDefault="00714447" w:rsidP="00714447">
            <w:pPr>
              <w:textAlignment w:val="center"/>
              <w:rPr>
                <w:rFonts w:eastAsiaTheme="minorEastAsia"/>
                <w:lang w:eastAsia="zh-CN"/>
              </w:rPr>
            </w:pPr>
            <w:r>
              <w:rPr>
                <w:rFonts w:eastAsiaTheme="minorEastAsia" w:hint="eastAsia"/>
                <w:lang w:eastAsia="zh-CN"/>
              </w:rPr>
              <w:t>v</w:t>
            </w:r>
            <w:r>
              <w:rPr>
                <w:rFonts w:eastAsiaTheme="minorEastAsia"/>
                <w:lang w:eastAsia="zh-CN"/>
              </w:rPr>
              <w:t>ivo</w:t>
            </w:r>
            <w:bookmarkStart w:id="2" w:name="_GoBack"/>
            <w:bookmarkEnd w:id="2"/>
          </w:p>
        </w:tc>
        <w:tc>
          <w:tcPr>
            <w:tcW w:w="7389" w:type="dxa"/>
            <w:vAlign w:val="center"/>
          </w:tcPr>
          <w:p w14:paraId="5089ADC8" w14:textId="77777777" w:rsidR="00714447" w:rsidRDefault="00714447" w:rsidP="00714447">
            <w:pPr>
              <w:jc w:val="both"/>
              <w:textAlignment w:val="center"/>
              <w:rPr>
                <w:rFonts w:eastAsia="等线"/>
                <w:lang w:eastAsia="zh-CN"/>
              </w:rPr>
            </w:pPr>
            <w:r>
              <w:rPr>
                <w:rFonts w:eastAsia="等线"/>
                <w:lang w:eastAsia="zh-CN"/>
              </w:rPr>
              <w:t xml:space="preserve">We do not support above proposal. </w:t>
            </w:r>
          </w:p>
          <w:p w14:paraId="4CDCC293" w14:textId="77777777" w:rsidR="00714447" w:rsidRDefault="00714447" w:rsidP="00714447">
            <w:pPr>
              <w:jc w:val="both"/>
              <w:textAlignment w:val="center"/>
              <w:rPr>
                <w:rFonts w:eastAsia="等线"/>
                <w:lang w:eastAsia="zh-CN"/>
              </w:rPr>
            </w:pPr>
            <w:r>
              <w:rPr>
                <w:rFonts w:eastAsia="等线"/>
                <w:lang w:eastAsia="zh-CN"/>
              </w:rPr>
              <w:t>RAN2 has agreed to work</w:t>
            </w:r>
            <w:r>
              <w:rPr>
                <w:rFonts w:eastAsia="等线" w:hint="eastAsia"/>
                <w:lang w:val="en-US" w:eastAsia="zh-CN"/>
              </w:rPr>
              <w:t xml:space="preserve"> on at least </w:t>
            </w:r>
            <w:r>
              <w:rPr>
                <w:rFonts w:eastAsia="等线"/>
                <w:lang w:eastAsia="zh-CN"/>
              </w:rPr>
              <w:t xml:space="preserve">HARQ NACK </w:t>
            </w:r>
            <w:r>
              <w:rPr>
                <w:rFonts w:eastAsia="等线" w:hint="eastAsia"/>
                <w:lang w:val="en-US" w:eastAsia="zh-CN"/>
              </w:rPr>
              <w:t xml:space="preserve">solution, with details FFS. As the impact of </w:t>
            </w:r>
            <w:r>
              <w:rPr>
                <w:rFonts w:eastAsia="等线"/>
                <w:lang w:eastAsia="zh-CN"/>
              </w:rPr>
              <w:t>HARQ NACK</w:t>
            </w:r>
            <w:r>
              <w:rPr>
                <w:rFonts w:eastAsia="等线" w:hint="eastAsia"/>
                <w:lang w:val="en-US" w:eastAsia="zh-CN"/>
              </w:rPr>
              <w:t xml:space="preserve"> solution to RAN1 and RAN2 is not completely clear to us, we think it is safe to </w:t>
            </w:r>
            <w:r>
              <w:rPr>
                <w:rFonts w:eastAsia="等线"/>
                <w:lang w:val="en-US" w:eastAsia="zh-CN"/>
              </w:rPr>
              <w:t xml:space="preserve">only </w:t>
            </w:r>
            <w:r>
              <w:rPr>
                <w:rFonts w:eastAsia="等线" w:hint="eastAsia"/>
                <w:lang w:val="en-US" w:eastAsia="zh-CN"/>
              </w:rPr>
              <w:t xml:space="preserve">agree </w:t>
            </w:r>
            <w:r>
              <w:rPr>
                <w:rFonts w:eastAsia="等线"/>
                <w:lang w:eastAsia="zh-CN"/>
              </w:rPr>
              <w:t xml:space="preserve">HARQ NACK </w:t>
            </w:r>
            <w:r>
              <w:rPr>
                <w:rFonts w:eastAsia="等线" w:hint="eastAsia"/>
                <w:lang w:val="en-US" w:eastAsia="zh-CN"/>
              </w:rPr>
              <w:t xml:space="preserve">solution </w:t>
            </w:r>
            <w:r>
              <w:rPr>
                <w:rFonts w:eastAsia="等线"/>
                <w:lang w:val="en-US" w:eastAsia="zh-CN"/>
              </w:rPr>
              <w:t>can</w:t>
            </w:r>
            <w:r>
              <w:rPr>
                <w:rFonts w:eastAsia="等线" w:hint="eastAsia"/>
                <w:lang w:val="en-US" w:eastAsia="zh-CN"/>
              </w:rPr>
              <w:t xml:space="preserve"> be prioritized. </w:t>
            </w:r>
            <w:r>
              <w:rPr>
                <w:rFonts w:eastAsia="等线"/>
                <w:lang w:val="en-US" w:eastAsia="zh-CN"/>
              </w:rPr>
              <w:t>O</w:t>
            </w:r>
            <w:r>
              <w:rPr>
                <w:rFonts w:eastAsia="等线" w:hint="eastAsia"/>
                <w:lang w:val="en-US" w:eastAsia="zh-CN"/>
              </w:rPr>
              <w:t xml:space="preserve">ther solution, </w:t>
            </w:r>
            <w:r>
              <w:rPr>
                <w:rFonts w:eastAsia="等线"/>
                <w:lang w:val="en-US" w:eastAsia="zh-CN"/>
              </w:rPr>
              <w:t xml:space="preserve">i.e., </w:t>
            </w:r>
            <w:r>
              <w:rPr>
                <w:rFonts w:eastAsia="等线" w:hint="eastAsia"/>
                <w:lang w:val="en-US" w:eastAsia="zh-CN"/>
              </w:rPr>
              <w:t>TX_timer based solution</w:t>
            </w:r>
            <w:r>
              <w:rPr>
                <w:rFonts w:eastAsia="等线"/>
                <w:lang w:val="en-US" w:eastAsia="zh-CN"/>
              </w:rPr>
              <w:t xml:space="preserve"> does not </w:t>
            </w:r>
            <w:r>
              <w:rPr>
                <w:rFonts w:eastAsia="等线" w:hint="eastAsia"/>
                <w:lang w:val="en-US" w:eastAsia="zh-CN"/>
              </w:rPr>
              <w:t>need to be excluded</w:t>
            </w:r>
            <w:r>
              <w:rPr>
                <w:rFonts w:eastAsia="等线"/>
                <w:lang w:val="en-US" w:eastAsia="zh-CN"/>
              </w:rPr>
              <w:t xml:space="preserve"> by RAN and we should</w:t>
            </w:r>
            <w:r>
              <w:rPr>
                <w:rFonts w:eastAsia="等线"/>
                <w:lang w:eastAsia="zh-CN"/>
              </w:rPr>
              <w:t xml:space="preserve"> leave the discussion and decision to corresponding WG.  </w:t>
            </w:r>
          </w:p>
          <w:p w14:paraId="29306E55" w14:textId="77777777" w:rsidR="00714447" w:rsidRDefault="00714447" w:rsidP="00714447">
            <w:pPr>
              <w:textAlignment w:val="center"/>
              <w:rPr>
                <w:lang w:eastAsia="ko-KR"/>
              </w:rPr>
            </w:pPr>
          </w:p>
        </w:tc>
      </w:tr>
    </w:tbl>
    <w:p w14:paraId="303FF1C1" w14:textId="77777777" w:rsidR="003361F5" w:rsidRDefault="004770E6">
      <w:pPr>
        <w:pStyle w:val="1"/>
        <w:ind w:left="862" w:hanging="862"/>
        <w:rPr>
          <w:lang w:eastAsia="ko-KR"/>
        </w:rPr>
      </w:pPr>
      <w:r>
        <w:rPr>
          <w:lang w:eastAsia="ko-KR"/>
        </w:rPr>
        <w:t>Intermediate phase</w:t>
      </w:r>
    </w:p>
    <w:p w14:paraId="202A3C67" w14:textId="77777777" w:rsidR="003361F5" w:rsidRDefault="004770E6">
      <w:pPr>
        <w:spacing w:before="60" w:after="60"/>
        <w:ind w:firstLineChars="100" w:firstLine="21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1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1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lastRenderedPageBreak/>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7D3AF" w14:textId="77777777" w:rsidR="000016E4" w:rsidRDefault="000016E4">
      <w:r>
        <w:separator/>
      </w:r>
    </w:p>
  </w:endnote>
  <w:endnote w:type="continuationSeparator" w:id="0">
    <w:p w14:paraId="1DE822D6" w14:textId="77777777" w:rsidR="000016E4" w:rsidRDefault="0000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Wingdings-Regular">
    <w:altName w:val="Malgun Gothic Semilight"/>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A6843" w14:textId="77777777" w:rsidR="000016E4" w:rsidRDefault="000016E4">
      <w:r>
        <w:separator/>
      </w:r>
    </w:p>
  </w:footnote>
  <w:footnote w:type="continuationSeparator" w:id="0">
    <w:p w14:paraId="718DC8D0" w14:textId="77777777" w:rsidR="000016E4" w:rsidRDefault="000016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3D5E0E"/>
    <w:multiLevelType w:val="multilevel"/>
    <w:tmpl w:val="003D5E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6"/>
  </w:num>
  <w:num w:numId="4">
    <w:abstractNumId w:val="10"/>
  </w:num>
  <w:num w:numId="5">
    <w:abstractNumId w:val="7"/>
  </w:num>
  <w:num w:numId="6">
    <w:abstractNumId w:val="3"/>
  </w:num>
  <w:num w:numId="7">
    <w:abstractNumId w:val="0"/>
  </w:num>
  <w:num w:numId="8">
    <w:abstractNumId w:val="11"/>
  </w:num>
  <w:num w:numId="9">
    <w:abstractNumId w:val="5"/>
  </w:num>
  <w:num w:numId="10">
    <w:abstractNumId w:val="12"/>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bordersDoNotSurroundHeader/>
  <w:bordersDoNotSurroundFooter/>
  <w:defaultTabStop w:val="567"/>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16E4"/>
    <w:rsid w:val="00005BE6"/>
    <w:rsid w:val="0001594C"/>
    <w:rsid w:val="000358DE"/>
    <w:rsid w:val="00035F7E"/>
    <w:rsid w:val="000370CC"/>
    <w:rsid w:val="000556A5"/>
    <w:rsid w:val="000733DA"/>
    <w:rsid w:val="000B6FBD"/>
    <w:rsid w:val="000B77A7"/>
    <w:rsid w:val="000D1BE8"/>
    <w:rsid w:val="000D6B45"/>
    <w:rsid w:val="000E4D6A"/>
    <w:rsid w:val="000F0054"/>
    <w:rsid w:val="00131F34"/>
    <w:rsid w:val="001604E9"/>
    <w:rsid w:val="00183FFC"/>
    <w:rsid w:val="001F628B"/>
    <w:rsid w:val="002200DA"/>
    <w:rsid w:val="00222092"/>
    <w:rsid w:val="00225BB0"/>
    <w:rsid w:val="002679BE"/>
    <w:rsid w:val="00271074"/>
    <w:rsid w:val="00272C42"/>
    <w:rsid w:val="002A1E7D"/>
    <w:rsid w:val="00305D41"/>
    <w:rsid w:val="00312B9C"/>
    <w:rsid w:val="003361F5"/>
    <w:rsid w:val="0034223A"/>
    <w:rsid w:val="00350B21"/>
    <w:rsid w:val="003C70B9"/>
    <w:rsid w:val="003E3BAE"/>
    <w:rsid w:val="00445819"/>
    <w:rsid w:val="004770E6"/>
    <w:rsid w:val="004953C0"/>
    <w:rsid w:val="004C0501"/>
    <w:rsid w:val="004D4C02"/>
    <w:rsid w:val="004F6A55"/>
    <w:rsid w:val="00524CC1"/>
    <w:rsid w:val="005607E1"/>
    <w:rsid w:val="00577567"/>
    <w:rsid w:val="00593706"/>
    <w:rsid w:val="005C7CE6"/>
    <w:rsid w:val="00620A89"/>
    <w:rsid w:val="00637319"/>
    <w:rsid w:val="00642C7B"/>
    <w:rsid w:val="00655658"/>
    <w:rsid w:val="00664FF8"/>
    <w:rsid w:val="00671722"/>
    <w:rsid w:val="00673AA5"/>
    <w:rsid w:val="006870F3"/>
    <w:rsid w:val="00694015"/>
    <w:rsid w:val="006C18EC"/>
    <w:rsid w:val="006C1D4F"/>
    <w:rsid w:val="006C5572"/>
    <w:rsid w:val="006D3837"/>
    <w:rsid w:val="006D3973"/>
    <w:rsid w:val="00714447"/>
    <w:rsid w:val="007201B8"/>
    <w:rsid w:val="00727006"/>
    <w:rsid w:val="007411B1"/>
    <w:rsid w:val="007766D9"/>
    <w:rsid w:val="00793F4C"/>
    <w:rsid w:val="00796B28"/>
    <w:rsid w:val="007A2B16"/>
    <w:rsid w:val="007B143F"/>
    <w:rsid w:val="007B330B"/>
    <w:rsid w:val="007D7CE1"/>
    <w:rsid w:val="00812749"/>
    <w:rsid w:val="00840530"/>
    <w:rsid w:val="00895C2E"/>
    <w:rsid w:val="008968FB"/>
    <w:rsid w:val="008A329B"/>
    <w:rsid w:val="008A5760"/>
    <w:rsid w:val="008F7C25"/>
    <w:rsid w:val="009111F5"/>
    <w:rsid w:val="0092582A"/>
    <w:rsid w:val="00965C50"/>
    <w:rsid w:val="00990CD7"/>
    <w:rsid w:val="009C4D53"/>
    <w:rsid w:val="009D3910"/>
    <w:rsid w:val="009F0565"/>
    <w:rsid w:val="00A10107"/>
    <w:rsid w:val="00A46955"/>
    <w:rsid w:val="00A61D1F"/>
    <w:rsid w:val="00A92293"/>
    <w:rsid w:val="00AA68FE"/>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9165E"/>
    <w:rsid w:val="00C91D1A"/>
    <w:rsid w:val="00C926FD"/>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5E849"/>
  <w15:docId w15:val="{CDCD7071-D82D-422A-B588-835637F4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0"/>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szCs w:val="26"/>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680"/>
        <w:tab w:val="right" w:pos="9360"/>
      </w:tabs>
    </w:pPr>
  </w:style>
  <w:style w:type="paragraph" w:styleId="a7">
    <w:name w:val="header"/>
    <w:basedOn w:val="a"/>
    <w:link w:val="a8"/>
    <w:uiPriority w:val="99"/>
    <w:unhideWhenUsed/>
    <w:qFormat/>
    <w:pPr>
      <w:tabs>
        <w:tab w:val="center" w:pos="4680"/>
        <w:tab w:val="right" w:pos="9360"/>
      </w:tabs>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a">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列,列表段,Task Body,P"/>
    <w:basedOn w:val="a"/>
    <w:link w:val="ab"/>
    <w:uiPriority w:val="34"/>
    <w:qFormat/>
    <w:pPr>
      <w:ind w:left="720"/>
      <w:contextualSpacing/>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aliases w:val="- Bullets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link w:val="aa"/>
    <w:uiPriority w:val="34"/>
    <w:qFormat/>
    <w:locked/>
    <w:rPr>
      <w:rFonts w:ascii="Times" w:eastAsia="Batang" w:hAnsi="Times" w:cs="Times New Roman"/>
      <w:kern w:val="0"/>
      <w:szCs w:val="24"/>
      <w:lang w:val="en-GB" w:eastAsia="en-US"/>
    </w:rPr>
  </w:style>
  <w:style w:type="character" w:customStyle="1" w:styleId="a8">
    <w:name w:val="页眉 字符"/>
    <w:basedOn w:val="a0"/>
    <w:link w:val="a7"/>
    <w:uiPriority w:val="99"/>
    <w:qFormat/>
    <w:rPr>
      <w:rFonts w:ascii="Times" w:eastAsia="Batang" w:hAnsi="Times" w:cs="Times New Roman"/>
      <w:kern w:val="0"/>
      <w:szCs w:val="24"/>
      <w:lang w:val="en-GB" w:eastAsia="en-US"/>
    </w:rPr>
  </w:style>
  <w:style w:type="character" w:customStyle="1" w:styleId="a6">
    <w:name w:val="页脚 字符"/>
    <w:basedOn w:val="a0"/>
    <w:link w:val="a5"/>
    <w:uiPriority w:val="99"/>
    <w:qFormat/>
    <w:rPr>
      <w:rFonts w:ascii="Times" w:eastAsia="Batang" w:hAnsi="Times" w:cs="Times New Roman"/>
      <w:kern w:val="0"/>
      <w:szCs w:val="24"/>
      <w:lang w:val="en-GB" w:eastAsia="en-US"/>
    </w:rPr>
  </w:style>
  <w:style w:type="character" w:customStyle="1" w:styleId="a4">
    <w:name w:val="文档结构图 字符"/>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 w:type="paragraph" w:styleId="ac">
    <w:name w:val="annotation text"/>
    <w:basedOn w:val="a"/>
    <w:link w:val="ad"/>
    <w:uiPriority w:val="99"/>
    <w:unhideWhenUsed/>
    <w:rsid w:val="00714447"/>
  </w:style>
  <w:style w:type="character" w:customStyle="1" w:styleId="ad">
    <w:name w:val="批注文字 字符"/>
    <w:basedOn w:val="a0"/>
    <w:link w:val="ac"/>
    <w:uiPriority w:val="99"/>
    <w:rsid w:val="00714447"/>
    <w:rPr>
      <w:rFonts w:ascii="Times" w:eastAsia="Batang" w:hAnsi="Times" w:cs="Times New Roman"/>
      <w:szCs w:val="24"/>
      <w:lang w:val="en-GB" w:eastAsia="en-US"/>
    </w:rPr>
  </w:style>
  <w:style w:type="character" w:styleId="ae">
    <w:name w:val="annotation reference"/>
    <w:basedOn w:val="a0"/>
    <w:uiPriority w:val="99"/>
    <w:semiHidden/>
    <w:unhideWhenUsed/>
    <w:rsid w:val="00714447"/>
    <w:rPr>
      <w:sz w:val="21"/>
      <w:szCs w:val="21"/>
    </w:rPr>
  </w:style>
  <w:style w:type="paragraph" w:styleId="af">
    <w:name w:val="Balloon Text"/>
    <w:basedOn w:val="a"/>
    <w:link w:val="af0"/>
    <w:uiPriority w:val="99"/>
    <w:semiHidden/>
    <w:unhideWhenUsed/>
    <w:rsid w:val="00714447"/>
    <w:rPr>
      <w:sz w:val="18"/>
      <w:szCs w:val="18"/>
    </w:rPr>
  </w:style>
  <w:style w:type="character" w:customStyle="1" w:styleId="af0">
    <w:name w:val="批注框文本 字符"/>
    <w:basedOn w:val="a0"/>
    <w:link w:val="af"/>
    <w:uiPriority w:val="99"/>
    <w:semiHidden/>
    <w:rsid w:val="00714447"/>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4176</Words>
  <Characters>23809</Characters>
  <Application>Microsoft Office Word</Application>
  <DocSecurity>0</DocSecurity>
  <Lines>198</Lines>
  <Paragraphs>55</Paragraphs>
  <ScaleCrop>false</ScaleCrop>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Lihui</cp:lastModifiedBy>
  <cp:revision>3</cp:revision>
  <dcterms:created xsi:type="dcterms:W3CDTF">2021-09-14T03:51:00Z</dcterms:created>
  <dcterms:modified xsi:type="dcterms:W3CDTF">2021-09-14T08:53:00Z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