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w:t>
      </w:r>
      <w:proofErr w:type="spellStart"/>
      <w:r>
        <w:t>tdoc</w:t>
      </w:r>
      <w:proofErr w:type="spellEnd"/>
      <w:r>
        <w:t xml:space="preserve"> RP-211256 on R4 Measurement Gap </w:t>
      </w:r>
      <w:proofErr w:type="spellStart"/>
      <w:r>
        <w:t>Enh</w:t>
      </w:r>
      <w:proofErr w:type="spellEnd"/>
      <w:r>
        <w:t xml:space="preserve"> and can include other impact to RAN2 plan, e.g. the discussions on </w:t>
      </w:r>
      <w:proofErr w:type="spellStart"/>
      <w:r>
        <w:t>Cov</w:t>
      </w:r>
      <w:proofErr w:type="spellEnd"/>
      <w:r>
        <w:t xml:space="preserve"> </w:t>
      </w:r>
      <w:proofErr w:type="spellStart"/>
      <w:r>
        <w:t>Enh</w:t>
      </w:r>
      <w:proofErr w:type="spellEnd"/>
      <w:r>
        <w:t xml:space="preserve">, </w:t>
      </w:r>
      <w:proofErr w:type="spellStart"/>
      <w:r>
        <w:t>feMIMO</w:t>
      </w:r>
      <w:proofErr w:type="spellEnd"/>
      <w:r>
        <w:t xml:space="preserve">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宋体"/>
                <w:lang w:eastAsia="zh-CN"/>
              </w:rPr>
            </w:pPr>
            <w:r>
              <w:rPr>
                <w:rFonts w:eastAsia="宋体" w:hint="eastAsia"/>
                <w:lang w:eastAsia="zh-CN"/>
              </w:rPr>
              <w:t>O</w:t>
            </w:r>
            <w:r>
              <w:rPr>
                <w:rFonts w:eastAsia="宋体"/>
                <w:lang w:eastAsia="zh-CN"/>
              </w:rPr>
              <w:t>PPO</w:t>
            </w:r>
          </w:p>
        </w:tc>
        <w:tc>
          <w:tcPr>
            <w:tcW w:w="7415" w:type="dxa"/>
          </w:tcPr>
          <w:p w14:paraId="48703B94" w14:textId="012E4A96" w:rsidR="00C058BF" w:rsidRPr="004B39EA" w:rsidRDefault="004B39EA" w:rsidP="00ED0A10">
            <w:pPr>
              <w:pStyle w:val="TAL"/>
              <w:rPr>
                <w:rFonts w:eastAsia="宋体"/>
                <w:lang w:eastAsia="zh-CN"/>
              </w:rPr>
            </w:pPr>
            <w:r>
              <w:rPr>
                <w:rFonts w:eastAsia="宋体" w:hint="eastAsia"/>
                <w:lang w:eastAsia="zh-CN"/>
              </w:rPr>
              <w:t>s</w:t>
            </w:r>
            <w:r>
              <w:rPr>
                <w:rFonts w:eastAsia="宋体"/>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宋体"/>
                <w:lang w:eastAsia="zh-CN"/>
              </w:rPr>
            </w:pPr>
            <w:r>
              <w:rPr>
                <w:rFonts w:eastAsia="宋体" w:hint="eastAsia"/>
                <w:lang w:eastAsia="zh-CN"/>
              </w:rPr>
              <w:t>CATT</w:t>
            </w:r>
          </w:p>
        </w:tc>
        <w:tc>
          <w:tcPr>
            <w:tcW w:w="7415" w:type="dxa"/>
          </w:tcPr>
          <w:p w14:paraId="79EF1070" w14:textId="3A78AE46" w:rsidR="00044140" w:rsidRPr="00044140" w:rsidRDefault="00044140" w:rsidP="00982C1F">
            <w:pPr>
              <w:pStyle w:val="TAL"/>
              <w:rPr>
                <w:rFonts w:eastAsia="宋体"/>
                <w:lang w:eastAsia="zh-CN"/>
              </w:rPr>
            </w:pPr>
            <w:r>
              <w:rPr>
                <w:rFonts w:eastAsia="宋体"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7415" w:type="dxa"/>
          </w:tcPr>
          <w:p w14:paraId="44350AAA" w14:textId="780EED9E" w:rsidR="0078176D" w:rsidRDefault="00D576FE" w:rsidP="00982C1F">
            <w:pPr>
              <w:pStyle w:val="TAL"/>
              <w:rPr>
                <w:rFonts w:eastAsia="宋体"/>
                <w:lang w:eastAsia="zh-CN"/>
              </w:rPr>
            </w:pPr>
            <w:r>
              <w:rPr>
                <w:rFonts w:eastAsia="宋体"/>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宋体"/>
                <w:lang w:eastAsia="zh-CN"/>
              </w:rPr>
            </w:pPr>
            <w:r>
              <w:rPr>
                <w:rFonts w:eastAsia="宋体" w:hint="eastAsia"/>
                <w:lang w:eastAsia="zh-CN"/>
              </w:rPr>
              <w:t>v</w:t>
            </w:r>
            <w:r>
              <w:rPr>
                <w:rFonts w:eastAsia="宋体"/>
                <w:lang w:eastAsia="zh-CN"/>
              </w:rPr>
              <w:t>ivo</w:t>
            </w:r>
          </w:p>
        </w:tc>
        <w:tc>
          <w:tcPr>
            <w:tcW w:w="7415" w:type="dxa"/>
          </w:tcPr>
          <w:p w14:paraId="708C7FE9" w14:textId="62A69553" w:rsidR="008C64B6" w:rsidRDefault="008C64B6" w:rsidP="00982C1F">
            <w:pPr>
              <w:pStyle w:val="TAL"/>
              <w:rPr>
                <w:rFonts w:eastAsia="宋体"/>
                <w:lang w:eastAsia="zh-CN"/>
              </w:rPr>
            </w:pPr>
            <w:r>
              <w:rPr>
                <w:rFonts w:eastAsia="宋体"/>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 xml:space="preserve">e can try to identify the RAN2 impact before dropping objectives from other </w:t>
            </w:r>
            <w:proofErr w:type="spellStart"/>
            <w:r>
              <w:rPr>
                <w:rFonts w:eastAsia="MS Mincho"/>
              </w:rPr>
              <w:t>WIs.</w:t>
            </w:r>
            <w:proofErr w:type="spellEnd"/>
            <w:r>
              <w:rPr>
                <w:rFonts w:eastAsia="MS Mincho"/>
              </w:rPr>
              <w:t xml:space="preserve">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w:t>
            </w:r>
            <w:proofErr w:type="spellStart"/>
            <w:r>
              <w:t>downscoping</w:t>
            </w:r>
            <w:proofErr w:type="spellEnd"/>
            <w:r>
              <w:t xml:space="preserve">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xml:space="preserve">". But the proposal from QC is a good one, though: We should understand roughly what is necessary to do and the onus on that should be with the </w:t>
            </w:r>
            <w:proofErr w:type="spellStart"/>
            <w:r>
              <w:rPr>
                <w:lang w:eastAsia="zh-CN"/>
              </w:rPr>
              <w:t>rappporteur</w:t>
            </w:r>
            <w:proofErr w:type="spellEnd"/>
            <w:r>
              <w:rPr>
                <w:lang w:eastAsia="zh-CN"/>
              </w:rPr>
              <w:t xml:space="preserve">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 xml:space="preserve">Note that even with </w:t>
            </w:r>
            <w:proofErr w:type="spellStart"/>
            <w:r>
              <w:rPr>
                <w:lang w:eastAsia="zh-CN"/>
              </w:rPr>
              <w:t>downscoping</w:t>
            </w:r>
            <w:proofErr w:type="spellEnd"/>
            <w:r>
              <w:rPr>
                <w:lang w:eastAsia="zh-CN"/>
              </w:rPr>
              <w:t>,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 xml:space="preserve">Huawei, </w:t>
            </w:r>
            <w:proofErr w:type="spellStart"/>
            <w:r>
              <w:rPr>
                <w:lang w:eastAsia="zh-CN"/>
              </w:rPr>
              <w:t>HiSilicon</w:t>
            </w:r>
            <w:proofErr w:type="spellEnd"/>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 xml:space="preserve">Similarly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lastRenderedPageBreak/>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 xml:space="preserve">R17 Other, 5G </w:t>
      </w:r>
      <w:proofErr w:type="spellStart"/>
      <w:r w:rsidR="00F6018F" w:rsidRPr="00F6018F">
        <w:t>Bcast</w:t>
      </w:r>
      <w:proofErr w:type="spellEnd"/>
      <w:r w:rsidR="00F6018F" w:rsidRPr="00F6018F">
        <w:t xml:space="preserve"> </w:t>
      </w:r>
      <w:proofErr w:type="spellStart"/>
      <w:r w:rsidR="00F6018F" w:rsidRPr="00F6018F">
        <w:t>etc</w:t>
      </w:r>
      <w:proofErr w:type="spellEnd"/>
      <w:r w:rsidR="00F6018F" w:rsidRPr="00F6018F">
        <w:t xml:space="preserve">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w:t>
      </w:r>
      <w:proofErr w:type="spellStart"/>
      <w:r w:rsidR="0073555C">
        <w:t>Enh</w:t>
      </w:r>
      <w:proofErr w:type="spellEnd"/>
      <w:r w:rsidR="0073555C">
        <w:t xml:space="preserve">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DF31C2" w14:paraId="583DE687" w14:textId="77777777" w:rsidTr="006658B8">
        <w:tc>
          <w:tcPr>
            <w:tcW w:w="1656" w:type="dxa"/>
          </w:tcPr>
          <w:p w14:paraId="23CA4AD8" w14:textId="77777777" w:rsidR="00DF31C2" w:rsidRDefault="00DF31C2" w:rsidP="006658B8">
            <w:r>
              <w:rPr>
                <w:lang w:eastAsia="zh-CN"/>
              </w:rPr>
              <w:t>Nokia, Nokia Shanghai Bell</w:t>
            </w:r>
          </w:p>
        </w:tc>
        <w:tc>
          <w:tcPr>
            <w:tcW w:w="7406" w:type="dxa"/>
          </w:tcPr>
          <w:p w14:paraId="22A61344" w14:textId="77777777" w:rsidR="00DF31C2" w:rsidRDefault="00DF31C2" w:rsidP="006658B8">
            <w:r>
              <w:t>We were wondering if the "reserve" should reflect the real e-meeting time as well, to fully allow visibility into real TU allocations. See also our later comments on "Other WIs".</w:t>
            </w:r>
          </w:p>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DF31C2"/>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 xml:space="preserve">Agree to </w:t>
            </w:r>
            <w:proofErr w:type="spellStart"/>
            <w:r>
              <w:t>Futurewei’s</w:t>
            </w:r>
            <w:proofErr w:type="spellEnd"/>
            <w:r>
              <w:t xml:space="preserve">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lastRenderedPageBreak/>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proofErr w:type="spellStart"/>
            <w:r w:rsidR="008C26C1">
              <w:rPr>
                <w:rFonts w:eastAsia="MS Mincho"/>
              </w:rPr>
              <w:t>ehavior</w:t>
            </w:r>
            <w:proofErr w:type="spellEnd"/>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lastRenderedPageBreak/>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 xml:space="preserve">Huawei, </w:t>
            </w:r>
            <w:proofErr w:type="spellStart"/>
            <w:r>
              <w:rPr>
                <w:lang w:eastAsia="zh-CN"/>
              </w:rPr>
              <w:t>HiSilicon</w:t>
            </w:r>
            <w:proofErr w:type="spellEnd"/>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has to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 xml:space="preserve">We are fine with the allocation and are happy to see it got an explicit row in the </w:t>
            </w:r>
            <w:proofErr w:type="spellStart"/>
            <w:r>
              <w:t>the</w:t>
            </w:r>
            <w:proofErr w:type="spellEnd"/>
            <w:r>
              <w:t xml:space="preserve"> TU-planning excel sheet.</w:t>
            </w:r>
          </w:p>
        </w:tc>
      </w:tr>
      <w:tr w:rsidR="008847CE" w14:paraId="7295195C" w14:textId="77777777" w:rsidTr="00750879">
        <w:tc>
          <w:tcPr>
            <w:tcW w:w="1656" w:type="dxa"/>
          </w:tcPr>
          <w:p w14:paraId="339AEC1D" w14:textId="00FB45AC" w:rsidR="008847CE" w:rsidRDefault="0000754C" w:rsidP="00750879">
            <w:r>
              <w:t xml:space="preserve">Huawei, </w:t>
            </w:r>
            <w:proofErr w:type="spellStart"/>
            <w:r>
              <w:t>HiSilicon</w:t>
            </w:r>
            <w:proofErr w:type="spellEnd"/>
          </w:p>
        </w:tc>
        <w:tc>
          <w:tcPr>
            <w:tcW w:w="7406" w:type="dxa"/>
          </w:tcPr>
          <w:p w14:paraId="5960D340" w14:textId="51FC6306" w:rsidR="008847CE" w:rsidRDefault="0000754C" w:rsidP="00750879">
            <w:r>
              <w:t>We didn't think we need to do this operation at this meeting, as explained before. We prefer to come back on this (and other RAN2 TUs adjustments) in RAN#93.</w:t>
            </w:r>
          </w:p>
        </w:tc>
      </w:tr>
      <w:tr w:rsidR="00DF31C2" w14:paraId="56C00184" w14:textId="77777777" w:rsidTr="006658B8">
        <w:tc>
          <w:tcPr>
            <w:tcW w:w="1656" w:type="dxa"/>
          </w:tcPr>
          <w:p w14:paraId="63BEE65F" w14:textId="77777777" w:rsidR="00DF31C2" w:rsidRDefault="00DF31C2" w:rsidP="006658B8">
            <w:r>
              <w:t>Nokia, Nokia Shanghai Bell</w:t>
            </w:r>
          </w:p>
        </w:tc>
        <w:tc>
          <w:tcPr>
            <w:tcW w:w="7406" w:type="dxa"/>
          </w:tcPr>
          <w:p w14:paraId="2D98B762" w14:textId="77777777" w:rsidR="00DF31C2" w:rsidRDefault="00DF31C2" w:rsidP="006658B8">
            <w:r>
              <w:t>Fine with this for now, but we would propose to check how the progress has been in RAN#93e (for RAN4) and RAN#94e (for both RAN2 and RAN4) to see how feasible the WI scope seems for Rel-17 completion. Then we can make more informed decision about final Rel-17 content. This helps to ensure RAN2 TUs are spent efficiently.</w:t>
            </w:r>
          </w:p>
        </w:tc>
      </w:tr>
      <w:tr w:rsidR="008847CE" w14:paraId="34F1DF5E" w14:textId="77777777" w:rsidTr="00750879">
        <w:tc>
          <w:tcPr>
            <w:tcW w:w="1656" w:type="dxa"/>
          </w:tcPr>
          <w:p w14:paraId="5CFAD9D4" w14:textId="11BE6F8D" w:rsidR="008847CE" w:rsidRDefault="00053D74" w:rsidP="00750879">
            <w:pPr>
              <w:rPr>
                <w:lang w:eastAsia="zh-CN"/>
              </w:rPr>
            </w:pPr>
            <w:r>
              <w:rPr>
                <w:lang w:eastAsia="zh-CN"/>
              </w:rPr>
              <w:t>Futurewei</w:t>
            </w:r>
          </w:p>
        </w:tc>
        <w:tc>
          <w:tcPr>
            <w:tcW w:w="7406" w:type="dxa"/>
          </w:tcPr>
          <w:p w14:paraId="1E837A27" w14:textId="0B25E952" w:rsidR="008847CE" w:rsidRDefault="00053D74" w:rsidP="00DF31C2">
            <w:r>
              <w:t>As the 0.5 RAN2 TU allocation from Nov. does not affect RAN2 Q3 work, if we’d want to agree it now (instead of RAN#93e), the reservation should serve as the indication of RAN2’s bandwidth on this WI. This should be taken into account in RAN4’s Q3 efforts of converging on major issues. As such, the 2</w:t>
            </w:r>
            <w:r w:rsidRPr="00053D74">
              <w:rPr>
                <w:vertAlign w:val="superscript"/>
              </w:rPr>
              <w:t>nd</w:t>
            </w:r>
            <w:r>
              <w:t xml:space="preserve"> sentence “Revisit in RP93 …” can be removed. </w:t>
            </w: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Heading2"/>
      </w:pPr>
      <w:r>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 xml:space="preserve">The </w:t>
            </w:r>
            <w:proofErr w:type="spellStart"/>
            <w:r>
              <w:t>FeMIMO</w:t>
            </w:r>
            <w:proofErr w:type="spellEnd"/>
            <w:r>
              <w:t xml:space="preserve">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t>
            </w:r>
            <w:proofErr w:type="spellStart"/>
            <w:r>
              <w:t>WIs.</w:t>
            </w:r>
            <w:proofErr w:type="spellEnd"/>
            <w:r>
              <w:t xml:space="preserve"> It will </w:t>
            </w:r>
            <w:r w:rsidR="00CB01B7">
              <w:t xml:space="preserve">initially </w:t>
            </w:r>
            <w:r>
              <w:t>be allocated the equivalent of 0.5</w:t>
            </w:r>
            <w:r w:rsidR="00CB01B7">
              <w:t>-1</w:t>
            </w:r>
            <w:r>
              <w:t xml:space="preserve"> TU, taken from the common Pool of Chairman-</w:t>
            </w:r>
            <w:proofErr w:type="spellStart"/>
            <w:r>
              <w:t>m</w:t>
            </w:r>
            <w:r w:rsidR="00CB01B7">
              <w:t>gmt</w:t>
            </w:r>
            <w:proofErr w:type="spellEnd"/>
            <w:r w:rsidR="00CB01B7">
              <w:t xml:space="preserve">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proofErr w:type="spellStart"/>
            <w:r w:rsidRPr="00BB13AD">
              <w:rPr>
                <w:b/>
              </w:rPr>
              <w:t>feMIMO</w:t>
            </w:r>
            <w:proofErr w:type="spellEnd"/>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lastRenderedPageBreak/>
              <w:t xml:space="preserve">Coverage </w:t>
            </w:r>
            <w:proofErr w:type="spellStart"/>
            <w:r w:rsidRPr="00CB01B7">
              <w:rPr>
                <w:b/>
              </w:rPr>
              <w:t>Enh</w:t>
            </w:r>
            <w:proofErr w:type="spellEnd"/>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w:t>
            </w:r>
            <w:proofErr w:type="spellStart"/>
            <w:r>
              <w:t>tdocs</w:t>
            </w:r>
            <w:proofErr w:type="spellEnd"/>
            <w:r>
              <w:t xml:space="preserve">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lastRenderedPageBreak/>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proofErr w:type="spellStart"/>
            <w:r w:rsidRPr="00BB13AD">
              <w:rPr>
                <w:b/>
              </w:rPr>
              <w:t>feMIMO</w:t>
            </w:r>
            <w:proofErr w:type="spellEnd"/>
            <w:r>
              <w:t xml:space="preserve"> –we also think that we do not need to increase TU, we should discuss how to down scoping RAN2 impact also. </w:t>
            </w:r>
          </w:p>
          <w:p w14:paraId="0195EB79" w14:textId="34E46A7C" w:rsidR="00CD24C2" w:rsidRDefault="00CD24C2" w:rsidP="00750879">
            <w:r w:rsidRPr="00CB01B7">
              <w:rPr>
                <w:b/>
              </w:rPr>
              <w:t xml:space="preserve">Coverage </w:t>
            </w:r>
            <w:proofErr w:type="spellStart"/>
            <w:r w:rsidRPr="00CB01B7">
              <w:rPr>
                <w:b/>
              </w:rPr>
              <w:t>Enh</w:t>
            </w:r>
            <w:proofErr w:type="spellEnd"/>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t>
            </w:r>
            <w:proofErr w:type="spellStart"/>
            <w:r>
              <w:t>WIs.</w:t>
            </w:r>
            <w:proofErr w:type="spellEnd"/>
            <w:r>
              <w:t xml:space="preserve"> Not only would it make it clear how many TUs are allocated for each of those two WIs, but it would make it clear when they start. We assume we should simply take the 1 TU for "</w:t>
            </w:r>
            <w:proofErr w:type="spellStart"/>
            <w:r w:rsidRPr="00BC311F">
              <w:rPr>
                <w:i/>
                <w:iCs/>
              </w:rPr>
              <w:t>Misc</w:t>
            </w:r>
            <w:proofErr w:type="spellEnd"/>
            <w:r w:rsidRPr="00BC311F">
              <w:rPr>
                <w:i/>
                <w:iCs/>
              </w:rPr>
              <w:t xml:space="preserve"> R1 items (</w:t>
            </w:r>
            <w:proofErr w:type="spellStart"/>
            <w:r w:rsidRPr="00BC311F">
              <w:rPr>
                <w:i/>
                <w:iCs/>
              </w:rPr>
              <w:t>Cov</w:t>
            </w:r>
            <w:proofErr w:type="spellEnd"/>
            <w:r w:rsidRPr="00BC311F">
              <w:rPr>
                <w:i/>
                <w:iCs/>
              </w:rPr>
              <w:t xml:space="preserve"> </w:t>
            </w:r>
            <w:proofErr w:type="spellStart"/>
            <w:r w:rsidRPr="00BC311F">
              <w:rPr>
                <w:i/>
                <w:iCs/>
              </w:rPr>
              <w:t>Enh</w:t>
            </w:r>
            <w:proofErr w:type="spellEnd"/>
            <w:r w:rsidRPr="00BC311F">
              <w:rPr>
                <w:i/>
                <w:iCs/>
              </w:rPr>
              <w:t xml:space="preserve">, DSS sched </w:t>
            </w:r>
            <w:proofErr w:type="spellStart"/>
            <w:r w:rsidRPr="00BC311F">
              <w:rPr>
                <w:i/>
                <w:iCs/>
              </w:rPr>
              <w:t>enh</w:t>
            </w:r>
            <w:proofErr w:type="spellEnd"/>
            <w:r w:rsidRPr="00BC311F">
              <w:rPr>
                <w:i/>
                <w:iCs/>
              </w:rPr>
              <w:t xml:space="preserve"> </w:t>
            </w:r>
            <w:proofErr w:type="spellStart"/>
            <w:r w:rsidRPr="00BC311F">
              <w:rPr>
                <w:i/>
                <w:iCs/>
              </w:rPr>
              <w:t>etc</w:t>
            </w:r>
            <w:proofErr w:type="spellEnd"/>
            <w:r w:rsidRPr="00BC311F">
              <w:rPr>
                <w:i/>
                <w:iCs/>
              </w:rPr>
              <w:t>)</w:t>
            </w:r>
            <w:r>
              <w:t xml:space="preserve">" and give 0.5 TUs to DSS and </w:t>
            </w:r>
            <w:proofErr w:type="spellStart"/>
            <w:r>
              <w:t>CovEnh</w:t>
            </w:r>
            <w:proofErr w:type="spellEnd"/>
            <w:r>
              <w:t xml:space="preserve"> from Aug onwards.</w:t>
            </w:r>
          </w:p>
        </w:tc>
      </w:tr>
      <w:tr w:rsidR="005748E2" w14:paraId="288D19C2" w14:textId="77777777" w:rsidTr="00750879">
        <w:tc>
          <w:tcPr>
            <w:tcW w:w="1656" w:type="dxa"/>
          </w:tcPr>
          <w:p w14:paraId="7547B885" w14:textId="35864ED2" w:rsidR="005748E2" w:rsidRDefault="0000754C" w:rsidP="00750879">
            <w:pPr>
              <w:rPr>
                <w:lang w:eastAsia="zh-CN"/>
              </w:rPr>
            </w:pPr>
            <w:r>
              <w:rPr>
                <w:lang w:eastAsia="zh-CN"/>
              </w:rPr>
              <w:t xml:space="preserve">Huawei, </w:t>
            </w:r>
            <w:proofErr w:type="spellStart"/>
            <w:r>
              <w:rPr>
                <w:lang w:eastAsia="zh-CN"/>
              </w:rPr>
              <w:t>HiSilicon</w:t>
            </w:r>
            <w:proofErr w:type="spellEnd"/>
          </w:p>
        </w:tc>
        <w:tc>
          <w:tcPr>
            <w:tcW w:w="7406" w:type="dxa"/>
          </w:tcPr>
          <w:p w14:paraId="205BF406" w14:textId="79BE9403" w:rsidR="0000754C" w:rsidRDefault="0000754C" w:rsidP="0000754C">
            <w:pPr>
              <w:rPr>
                <w:b/>
                <w:highlight w:val="yellow"/>
              </w:rPr>
            </w:pPr>
            <w:r w:rsidRPr="00BB13AD">
              <w:rPr>
                <w:b/>
              </w:rPr>
              <w:t>RACH indication</w:t>
            </w:r>
            <w:r>
              <w:t>– no problem to have a separate Agenda Item in RAN2 if that helps, but not sure about allocating extra TUs. Our initial preference would be no.</w:t>
            </w:r>
            <w:r w:rsidRPr="00CD24C2">
              <w:t xml:space="preserve"> </w:t>
            </w:r>
          </w:p>
          <w:p w14:paraId="02AD46CD" w14:textId="103053B4" w:rsidR="0000754C" w:rsidRDefault="0000754C" w:rsidP="0000754C">
            <w:pPr>
              <w:rPr>
                <w:rFonts w:eastAsia="MS Mincho"/>
              </w:rPr>
            </w:pPr>
            <w:proofErr w:type="spellStart"/>
            <w:r w:rsidRPr="00BB13AD">
              <w:rPr>
                <w:b/>
              </w:rPr>
              <w:t>feMIMO</w:t>
            </w:r>
            <w:proofErr w:type="spellEnd"/>
            <w:r>
              <w:t xml:space="preserve"> – We think that we should not increase TUs, but rather focus the RAN2 work on some scenarios only (as discussed in another email thread).</w:t>
            </w:r>
          </w:p>
          <w:p w14:paraId="4C81D7ED" w14:textId="0D88EE87" w:rsidR="0000754C" w:rsidRDefault="0000754C" w:rsidP="0000754C">
            <w:r w:rsidRPr="00CB01B7">
              <w:rPr>
                <w:b/>
              </w:rPr>
              <w:t xml:space="preserve">Coverage </w:t>
            </w:r>
            <w:proofErr w:type="spellStart"/>
            <w:r w:rsidRPr="00CB01B7">
              <w:rPr>
                <w:b/>
              </w:rPr>
              <w:t>Enh</w:t>
            </w:r>
            <w:proofErr w:type="spellEnd"/>
            <w:r>
              <w:t xml:space="preserve"> – TUs should be kept as “R1 other”.  </w:t>
            </w:r>
          </w:p>
          <w:p w14:paraId="18A18D47" w14:textId="77777777" w:rsidR="0000754C" w:rsidRDefault="0000754C" w:rsidP="0000754C">
            <w:r w:rsidRPr="00CB01B7">
              <w:rPr>
                <w:b/>
              </w:rPr>
              <w:t>DSS</w:t>
            </w:r>
            <w:r>
              <w:t xml:space="preserve"> – TUs should be kept as “R1 other”.  </w:t>
            </w:r>
          </w:p>
          <w:p w14:paraId="5B7EBFB3" w14:textId="380491DE" w:rsidR="005748E2" w:rsidRPr="0000754C" w:rsidRDefault="0000754C" w:rsidP="0000754C">
            <w:pPr>
              <w:rPr>
                <w:rFonts w:eastAsia="MS Mincho"/>
              </w:rPr>
            </w:pPr>
            <w:r>
              <w:t xml:space="preserve">We can keep track on which items go under this R1 other (although this is already visible in the excel sheet). To not have a fixed 0.5 TUs allocation for any of those will help, as it is more flexible. We can adapt better to the flow from RAN1. We have seen in the past already some 0.5 TUs allocation being voided in practice in the meetings. </w:t>
            </w:r>
          </w:p>
        </w:tc>
      </w:tr>
      <w:tr w:rsidR="00DF31C2" w14:paraId="09CA3274" w14:textId="77777777" w:rsidTr="006658B8">
        <w:tc>
          <w:tcPr>
            <w:tcW w:w="1656" w:type="dxa"/>
          </w:tcPr>
          <w:p w14:paraId="6AFEECB8" w14:textId="77777777" w:rsidR="00DF31C2" w:rsidRDefault="00DF31C2" w:rsidP="006658B8">
            <w:pPr>
              <w:rPr>
                <w:lang w:eastAsia="zh-CN"/>
              </w:rPr>
            </w:pPr>
            <w:r>
              <w:t>Nokia, Nokia Shanghai Bell</w:t>
            </w:r>
          </w:p>
        </w:tc>
        <w:tc>
          <w:tcPr>
            <w:tcW w:w="7406" w:type="dxa"/>
          </w:tcPr>
          <w:p w14:paraId="50CC3A4A" w14:textId="356EF5AA" w:rsidR="00DF31C2" w:rsidRDefault="00412339" w:rsidP="006658B8">
            <w:r>
              <w:rPr>
                <w:b/>
                <w:bCs/>
              </w:rPr>
              <w:t>RAN1/RAN4 WIs</w:t>
            </w:r>
            <w:r w:rsidR="00DF31C2" w:rsidRPr="0008459A">
              <w:rPr>
                <w:b/>
                <w:bCs/>
              </w:rPr>
              <w:t xml:space="preserve">: </w:t>
            </w:r>
            <w:r w:rsidR="00DF31C2" w:rsidRPr="0008459A">
              <w:t xml:space="preserve">We agree with Ericsson that it's best to separate allocations for separate </w:t>
            </w:r>
            <w:proofErr w:type="spellStart"/>
            <w:r w:rsidR="00DF31C2" w:rsidRPr="0008459A">
              <w:t>WIs.</w:t>
            </w:r>
            <w:proofErr w:type="spellEnd"/>
            <w:r w:rsidR="00DF31C2">
              <w:t xml:space="preserve"> This holds for all items, especially if multiple meetings are needed to complete the work. That will also reduce the chairman's flexibility, but makes the allocations far more visible.</w:t>
            </w:r>
            <w:r w:rsidR="00461F2D">
              <w:t xml:space="preserve"> The chair can still determine how to handle these topics flexibly depending on the need (and these allocations can be changed if there is need).</w:t>
            </w:r>
          </w:p>
          <w:p w14:paraId="45E51501" w14:textId="77777777" w:rsidR="00DF31C2" w:rsidRDefault="00DF31C2" w:rsidP="006658B8">
            <w:proofErr w:type="spellStart"/>
            <w:r w:rsidRPr="0008459A">
              <w:rPr>
                <w:b/>
                <w:bCs/>
              </w:rPr>
              <w:t>FeMIMO</w:t>
            </w:r>
            <w:proofErr w:type="spellEnd"/>
            <w:r w:rsidRPr="0008459A">
              <w:rPr>
                <w:b/>
                <w:bCs/>
              </w:rPr>
              <w:t>:</w:t>
            </w:r>
            <w:r>
              <w:t xml:space="preserve"> With the current TUs, it's may not be possible to complete even the so-called "scenario 1": RAN2 used ~1 TU for this topic ion April meeting, and 2 </w:t>
            </w:r>
            <w:r>
              <w:lastRenderedPageBreak/>
              <w:t xml:space="preserve">TUs in May meeting (all coming from the chairman's discretionary TU budget). And this was only intended for replying to LS from RAN1. </w:t>
            </w:r>
          </w:p>
          <w:p w14:paraId="0063A554" w14:textId="034D67AA" w:rsidR="00DF31C2" w:rsidRDefault="00DF31C2" w:rsidP="006658B8">
            <w:r w:rsidRPr="0008459A">
              <w:rPr>
                <w:b/>
                <w:bCs/>
              </w:rPr>
              <w:t>RACH indication:</w:t>
            </w:r>
            <w:r>
              <w:t xml:space="preserve"> Note that this topic spans multiple WIs and is additional to the work done in those. Therefore, it would be good to have the separate AI for this and indicate how much time is expected to be spent with it.</w:t>
            </w:r>
          </w:p>
        </w:tc>
      </w:tr>
      <w:tr w:rsidR="005748E2" w14:paraId="04A755B5" w14:textId="77777777" w:rsidTr="00750879">
        <w:tc>
          <w:tcPr>
            <w:tcW w:w="1656" w:type="dxa"/>
          </w:tcPr>
          <w:p w14:paraId="4821F840" w14:textId="42AEC0B8" w:rsidR="005748E2" w:rsidRPr="00856D03" w:rsidRDefault="00062407" w:rsidP="00750879">
            <w:pPr>
              <w:rPr>
                <w:rFonts w:eastAsia="MS Mincho"/>
              </w:rPr>
            </w:pPr>
            <w:r>
              <w:rPr>
                <w:rFonts w:eastAsia="MS Mincho"/>
              </w:rPr>
              <w:lastRenderedPageBreak/>
              <w:t>Futurewei</w:t>
            </w:r>
          </w:p>
        </w:tc>
        <w:tc>
          <w:tcPr>
            <w:tcW w:w="7406" w:type="dxa"/>
          </w:tcPr>
          <w:p w14:paraId="5A088F00" w14:textId="77777777" w:rsidR="005748E2" w:rsidRDefault="00062407" w:rsidP="00750879">
            <w:pPr>
              <w:rPr>
                <w:rFonts w:eastAsia="MS Mincho"/>
              </w:rPr>
            </w:pPr>
            <w:r>
              <w:rPr>
                <w:rFonts w:eastAsia="MS Mincho"/>
              </w:rPr>
              <w:t xml:space="preserve">We think a RAN2 AI of </w:t>
            </w:r>
            <w:r w:rsidRPr="00062407">
              <w:rPr>
                <w:rFonts w:eastAsia="MS Mincho"/>
                <w:b/>
                <w:bCs/>
              </w:rPr>
              <w:t>RACH indication</w:t>
            </w:r>
            <w:r>
              <w:rPr>
                <w:rFonts w:eastAsia="MS Mincho"/>
              </w:rPr>
              <w:t xml:space="preserve"> is helpful, as it can be handled using the chairman’s management time.</w:t>
            </w:r>
          </w:p>
          <w:p w14:paraId="3DB776BA" w14:textId="77777777" w:rsidR="00062407" w:rsidRDefault="00062407" w:rsidP="00750879">
            <w:pPr>
              <w:rPr>
                <w:rFonts w:eastAsia="MS Mincho"/>
              </w:rPr>
            </w:pPr>
            <w:r>
              <w:rPr>
                <w:rFonts w:eastAsia="MS Mincho"/>
              </w:rPr>
              <w:t xml:space="preserve">We should first try not to increase TU for </w:t>
            </w:r>
            <w:proofErr w:type="spellStart"/>
            <w:r w:rsidRPr="00062407">
              <w:rPr>
                <w:rFonts w:eastAsia="MS Mincho"/>
                <w:b/>
                <w:bCs/>
              </w:rPr>
              <w:t>FeMIMO</w:t>
            </w:r>
            <w:proofErr w:type="spellEnd"/>
            <w:r>
              <w:rPr>
                <w:rFonts w:eastAsia="MS Mincho"/>
              </w:rPr>
              <w:t xml:space="preserve">, by clarifying and </w:t>
            </w:r>
            <w:proofErr w:type="spellStart"/>
            <w:r>
              <w:rPr>
                <w:rFonts w:eastAsia="MS Mincho"/>
              </w:rPr>
              <w:t>downscoping</w:t>
            </w:r>
            <w:proofErr w:type="spellEnd"/>
            <w:r>
              <w:rPr>
                <w:rFonts w:eastAsia="MS Mincho"/>
              </w:rPr>
              <w:t xml:space="preserve"> RAN2 scope.</w:t>
            </w:r>
          </w:p>
          <w:p w14:paraId="5A3D81BF" w14:textId="03EA8953" w:rsidR="00062407" w:rsidRPr="00062407" w:rsidRDefault="00062407" w:rsidP="00750879">
            <w:pPr>
              <w:rPr>
                <w:rFonts w:eastAsia="MS Mincho"/>
              </w:rPr>
            </w:pPr>
            <w:r>
              <w:rPr>
                <w:rFonts w:eastAsia="MS Mincho"/>
              </w:rPr>
              <w:t xml:space="preserve">For other items, they can be </w:t>
            </w:r>
            <w:r w:rsidR="00982BF4">
              <w:rPr>
                <w:rFonts w:eastAsia="MS Mincho"/>
              </w:rPr>
              <w:t>kept in</w:t>
            </w:r>
            <w:r w:rsidRPr="00062407">
              <w:rPr>
                <w:rFonts w:eastAsia="MS Mincho" w:hint="eastAsia"/>
              </w:rPr>
              <w:t>“</w:t>
            </w:r>
            <w:r w:rsidRPr="00062407">
              <w:rPr>
                <w:rFonts w:eastAsia="MS Mincho"/>
              </w:rPr>
              <w:t>R1 other”</w:t>
            </w:r>
            <w:r w:rsidR="00982BF4">
              <w:rPr>
                <w:rFonts w:eastAsia="MS Mincho"/>
              </w:rPr>
              <w:t xml:space="preserve"> until RAN2 impact (other than nominal signaling support) is more clear.</w:t>
            </w: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C4F9" w14:textId="77777777" w:rsidR="00D1561E" w:rsidRDefault="00D1561E" w:rsidP="000274E9">
      <w:pPr>
        <w:spacing w:after="0"/>
      </w:pPr>
      <w:r>
        <w:separator/>
      </w:r>
    </w:p>
  </w:endnote>
  <w:endnote w:type="continuationSeparator" w:id="0">
    <w:p w14:paraId="2381D395" w14:textId="77777777" w:rsidR="00D1561E" w:rsidRDefault="00D1561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F96C" w14:textId="77777777" w:rsidR="00D1561E" w:rsidRDefault="00D1561E" w:rsidP="000274E9">
      <w:pPr>
        <w:spacing w:after="0"/>
      </w:pPr>
      <w:r>
        <w:separator/>
      </w:r>
    </w:p>
  </w:footnote>
  <w:footnote w:type="continuationSeparator" w:id="0">
    <w:p w14:paraId="79C4DB31" w14:textId="77777777" w:rsidR="00D1561E" w:rsidRDefault="00D1561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754C"/>
    <w:rsid w:val="000246A2"/>
    <w:rsid w:val="000274E9"/>
    <w:rsid w:val="00034DF6"/>
    <w:rsid w:val="00044140"/>
    <w:rsid w:val="000448B7"/>
    <w:rsid w:val="00053D74"/>
    <w:rsid w:val="00060303"/>
    <w:rsid w:val="00062407"/>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0541B"/>
    <w:rsid w:val="00410E8D"/>
    <w:rsid w:val="004112A5"/>
    <w:rsid w:val="00412339"/>
    <w:rsid w:val="0042082E"/>
    <w:rsid w:val="0042217D"/>
    <w:rsid w:val="00456178"/>
    <w:rsid w:val="00461F2D"/>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82BF4"/>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D49D8"/>
    <w:rsid w:val="00AE7B7A"/>
    <w:rsid w:val="00B171A4"/>
    <w:rsid w:val="00B2426A"/>
    <w:rsid w:val="00B409B5"/>
    <w:rsid w:val="00B47036"/>
    <w:rsid w:val="00B54163"/>
    <w:rsid w:val="00B73420"/>
    <w:rsid w:val="00B75C4A"/>
    <w:rsid w:val="00BA6190"/>
    <w:rsid w:val="00BB13AD"/>
    <w:rsid w:val="00BB357F"/>
    <w:rsid w:val="00BC0EF9"/>
    <w:rsid w:val="00BC311F"/>
    <w:rsid w:val="00C058BF"/>
    <w:rsid w:val="00C1777E"/>
    <w:rsid w:val="00C205EB"/>
    <w:rsid w:val="00C258A6"/>
    <w:rsid w:val="00C33678"/>
    <w:rsid w:val="00C40517"/>
    <w:rsid w:val="00C43944"/>
    <w:rsid w:val="00C670AB"/>
    <w:rsid w:val="00C819E0"/>
    <w:rsid w:val="00C82EC5"/>
    <w:rsid w:val="00C91629"/>
    <w:rsid w:val="00C95162"/>
    <w:rsid w:val="00CB01B7"/>
    <w:rsid w:val="00CB31B2"/>
    <w:rsid w:val="00CD24C2"/>
    <w:rsid w:val="00CF79C3"/>
    <w:rsid w:val="00D1108A"/>
    <w:rsid w:val="00D1561E"/>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DF31C2"/>
    <w:rsid w:val="00E101B8"/>
    <w:rsid w:val="00E136A8"/>
    <w:rsid w:val="00E250A8"/>
    <w:rsid w:val="00E26542"/>
    <w:rsid w:val="00E45140"/>
    <w:rsid w:val="00E46E40"/>
    <w:rsid w:val="00E51443"/>
    <w:rsid w:val="00E62652"/>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54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2.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Futurewei - Hao Bi</cp:lastModifiedBy>
  <cp:revision>7</cp:revision>
  <dcterms:created xsi:type="dcterms:W3CDTF">2021-06-16T09:42:00Z</dcterms:created>
  <dcterms:modified xsi:type="dcterms:W3CDTF">2021-06-16T12:59:00Z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