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17B3B6A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initial round </w:t>
      </w:r>
      <w:r w:rsidR="00161A56" w:rsidRPr="00161A56">
        <w:rPr>
          <w:rFonts w:ascii="Arial" w:hAnsi="Arial" w:cs="Arial"/>
        </w:rPr>
        <w:t xml:space="preserve">of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79C79203" w14:textId="4C8F68E1" w:rsidR="00AF4D2E" w:rsidRPr="0013578B" w:rsidRDefault="00AF4D2E" w:rsidP="00AF4D2E">
      <w:p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[Observation]</w:t>
      </w:r>
    </w:p>
    <w:p w14:paraId="34B763D8" w14:textId="2490876C" w:rsidR="0036150C" w:rsidRDefault="0036150C" w:rsidP="00AF4D2E">
      <w:pPr>
        <w:snapToGrid w:val="0"/>
        <w:spacing w:after="120"/>
        <w:jc w:val="both"/>
        <w:rPr>
          <w:rFonts w:ascii="Times New Roman" w:hAnsi="Times New Roman" w:cs="Times New Roman"/>
          <w:sz w:val="20"/>
          <w:szCs w:val="20"/>
        </w:rPr>
      </w:pPr>
      <w:r w:rsidRPr="0013578B">
        <w:rPr>
          <w:rFonts w:ascii="Times New Roman" w:hAnsi="Times New Roman" w:cs="Times New Roman"/>
          <w:sz w:val="20"/>
          <w:szCs w:val="20"/>
          <w:highlight w:val="yellow"/>
        </w:rPr>
        <w:t>...</w:t>
      </w:r>
    </w:p>
    <w:p w14:paraId="7B183257" w14:textId="1E76BFFA" w:rsidR="00AF4D2E" w:rsidRDefault="003E0354" w:rsidP="00AF4D2E">
      <w:pPr>
        <w:snapToGrid w:val="0"/>
        <w:spacing w:after="120"/>
        <w:jc w:val="both"/>
        <w:rPr>
          <w:rFonts w:ascii="Times New Roman" w:hAnsi="Times New Roman" w:cs="Times New Roman"/>
          <w:sz w:val="20"/>
          <w:szCs w:val="20"/>
        </w:rPr>
      </w:pPr>
      <w:r w:rsidRPr="00F046C7">
        <w:rPr>
          <w:rFonts w:ascii="Times New Roman" w:hAnsi="Times New Roman" w:cs="Times New Roman"/>
          <w:b/>
          <w:sz w:val="20"/>
          <w:szCs w:val="20"/>
        </w:rPr>
        <w:t>Proposed way forward</w:t>
      </w:r>
      <w:r>
        <w:rPr>
          <w:rFonts w:ascii="Times New Roman" w:hAnsi="Times New Roman" w:cs="Times New Roman"/>
          <w:sz w:val="20"/>
          <w:szCs w:val="20"/>
        </w:rPr>
        <w:t>: Revise the WID for Rel.17 NR_FeMIMO as follows:</w:t>
      </w:r>
    </w:p>
    <w:p w14:paraId="4598BC3F" w14:textId="1EA18D4F" w:rsidR="003E0354" w:rsidRDefault="003E0354" w:rsidP="00694EE6">
      <w:pPr>
        <w:pStyle w:val="ListParagraph"/>
        <w:numPr>
          <w:ilvl w:val="0"/>
          <w:numId w:val="7"/>
        </w:numPr>
        <w:snapToGrid w:val="0"/>
        <w:spacing w:after="120"/>
        <w:jc w:val="both"/>
        <w:rPr>
          <w:rFonts w:ascii="Times New Roman" w:hAnsi="Times New Roman" w:cs="Times New Roman"/>
          <w:sz w:val="20"/>
          <w:szCs w:val="20"/>
        </w:rPr>
      </w:pPr>
      <w:r>
        <w:rPr>
          <w:rFonts w:ascii="Times New Roman" w:hAnsi="Times New Roman" w:cs="Times New Roman"/>
          <w:sz w:val="20"/>
          <w:szCs w:val="20"/>
        </w:rPr>
        <w:t>Add two additional supporters per their requests as</w:t>
      </w:r>
      <w:r w:rsidR="00EF1C37">
        <w:rPr>
          <w:rFonts w:ascii="Times New Roman" w:hAnsi="Times New Roman" w:cs="Times New Roman"/>
          <w:sz w:val="20"/>
          <w:szCs w:val="20"/>
        </w:rPr>
        <w:t xml:space="preserve"> indicated in</w:t>
      </w:r>
      <w:r>
        <w:rPr>
          <w:rFonts w:ascii="Times New Roman" w:hAnsi="Times New Roman" w:cs="Times New Roman"/>
          <w:sz w:val="20"/>
          <w:szCs w:val="20"/>
        </w:rPr>
        <w:t xml:space="preserve"> RP-201470</w:t>
      </w:r>
    </w:p>
    <w:p w14:paraId="36B6D5AF" w14:textId="30159BAB" w:rsidR="00EF1C37" w:rsidRPr="0013578B" w:rsidRDefault="00F046C7" w:rsidP="00694EE6">
      <w:pPr>
        <w:pStyle w:val="ListParagraph"/>
        <w:numPr>
          <w:ilvl w:val="0"/>
          <w:numId w:val="7"/>
        </w:num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w:t>
      </w:r>
      <w:r w:rsidR="00EF1C37" w:rsidRPr="0013578B">
        <w:rPr>
          <w:rFonts w:ascii="Times New Roman" w:hAnsi="Times New Roman" w:cs="Times New Roman"/>
          <w:sz w:val="20"/>
          <w:szCs w:val="20"/>
          <w:highlight w:val="yellow"/>
        </w:rPr>
        <w:t>...</w:t>
      </w:r>
      <w:r w:rsidRPr="0013578B">
        <w:rPr>
          <w:rFonts w:ascii="Times New Roman" w:hAnsi="Times New Roman" w:cs="Times New Roman"/>
          <w:sz w:val="20"/>
          <w:szCs w:val="20"/>
          <w:highlight w:val="yellow"/>
        </w:rPr>
        <w:t>]</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ook w:val="04A0" w:firstRow="1" w:lastRow="0" w:firstColumn="1" w:lastColumn="0" w:noHBand="0" w:noVBand="1"/>
      </w:tblPr>
      <w:tblGrid>
        <w:gridCol w:w="1126"/>
        <w:gridCol w:w="8985"/>
      </w:tblGrid>
      <w:tr w:rsidR="0031056B" w:rsidRPr="004473BB" w14:paraId="374B4D29" w14:textId="77777777" w:rsidTr="00F43FF8">
        <w:tc>
          <w:tcPr>
            <w:tcW w:w="1126"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985"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31056B" w:rsidRPr="004473BB" w14:paraId="163978BA" w14:textId="77777777" w:rsidTr="00F43FF8">
        <w:trPr>
          <w:trHeight w:val="125"/>
        </w:trPr>
        <w:tc>
          <w:tcPr>
            <w:tcW w:w="1126"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985"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lastRenderedPageBreak/>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F43FF8">
        <w:tc>
          <w:tcPr>
            <w:tcW w:w="1126"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985"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F43FF8">
        <w:tc>
          <w:tcPr>
            <w:tcW w:w="1126"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985"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F43FF8">
        <w:tc>
          <w:tcPr>
            <w:tcW w:w="1126" w:type="dxa"/>
          </w:tcPr>
          <w:p w14:paraId="2EC90816" w14:textId="48E72E17" w:rsidR="00F43FF8" w:rsidRPr="0021453A" w:rsidRDefault="0021453A"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985" w:type="dxa"/>
          </w:tcPr>
          <w:p w14:paraId="708F8B50" w14:textId="407209DF" w:rsidR="00F43FF8" w:rsidRDefault="00250387"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agree that we should avoid up-scoping of the FeMIMO WI at current stage. </w:t>
            </w:r>
            <w:r w:rsidR="0095340F">
              <w:rPr>
                <w:rFonts w:ascii="Times New Roman" w:eastAsia="等线" w:hAnsi="Times New Roman" w:cs="Times New Roman"/>
                <w:sz w:val="20"/>
                <w:szCs w:val="20"/>
                <w:lang w:eastAsia="zh-CN"/>
              </w:rPr>
              <w:t xml:space="preserve">This </w:t>
            </w:r>
            <w:r w:rsidR="008F0A9B">
              <w:rPr>
                <w:rFonts w:ascii="Times New Roman" w:eastAsia="等线" w:hAnsi="Times New Roman" w:cs="Times New Roman" w:hint="eastAsia"/>
                <w:sz w:val="20"/>
                <w:szCs w:val="20"/>
                <w:lang w:eastAsia="zh-CN"/>
              </w:rPr>
              <w:t>is</w:t>
            </w:r>
            <w:r w:rsidR="0095340F">
              <w:rPr>
                <w:rFonts w:ascii="Times New Roman" w:eastAsia="等线"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等线" w:hAnsi="Times New Roman" w:cs="Times New Roman"/>
                <w:sz w:val="20"/>
                <w:szCs w:val="20"/>
                <w:lang w:eastAsia="zh-CN"/>
              </w:rPr>
            </w:pPr>
          </w:p>
          <w:p w14:paraId="143F7B0D" w14:textId="201C305C" w:rsidR="004B7659" w:rsidRDefault="008D2460"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等线" w:hAnsi="Times New Roman" w:cs="Times New Roman"/>
                <w:sz w:val="20"/>
                <w:szCs w:val="20"/>
                <w:lang w:eastAsia="zh-CN"/>
              </w:rPr>
              <w:t xml:space="preserve"> </w:t>
            </w:r>
          </w:p>
          <w:p w14:paraId="13C95E72" w14:textId="77777777" w:rsidR="00741230" w:rsidRDefault="00741230" w:rsidP="00F43FF8">
            <w:pPr>
              <w:snapToGrid w:val="0"/>
              <w:rPr>
                <w:rFonts w:ascii="Times New Roman" w:eastAsia="等线" w:hAnsi="Times New Roman" w:cs="Times New Roman"/>
                <w:sz w:val="20"/>
                <w:szCs w:val="20"/>
                <w:lang w:eastAsia="zh-CN"/>
              </w:rPr>
            </w:pPr>
          </w:p>
          <w:p w14:paraId="29B76345" w14:textId="0BEB7077" w:rsidR="00DE7819" w:rsidRDefault="004B7659"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等线" w:hAnsi="Times New Roman" w:cs="Times New Roman"/>
                <w:sz w:val="20"/>
                <w:szCs w:val="20"/>
                <w:lang w:eastAsia="zh-CN"/>
              </w:rPr>
              <w:t>UE need</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separate IFFT windows for reception of two P</w:t>
            </w:r>
            <w:r w:rsidR="00DE7819">
              <w:rPr>
                <w:rFonts w:ascii="Times New Roman" w:eastAsia="等线" w:hAnsi="Times New Roman" w:cs="Times New Roman"/>
                <w:sz w:val="20"/>
                <w:szCs w:val="20"/>
                <w:lang w:eastAsia="zh-CN"/>
              </w:rPr>
              <w:t>DSCHs</w:t>
            </w:r>
            <w:r w:rsidR="00DE7819" w:rsidRPr="00DE7819">
              <w:rPr>
                <w:rFonts w:ascii="Times New Roman" w:eastAsia="等线" w:hAnsi="Times New Roman" w:cs="Times New Roman"/>
                <w:sz w:val="20"/>
                <w:szCs w:val="20"/>
                <w:lang w:eastAsia="zh-CN"/>
              </w:rPr>
              <w:t>. If UE only has single IFFT operation, it is hard to implement such inter-cell MTRP to receive two PDSCHs at a time.</w:t>
            </w:r>
            <w:r w:rsidR="00DE7819">
              <w:rPr>
                <w:rFonts w:ascii="Times New Roman" w:eastAsia="等线" w:hAnsi="Times New Roman" w:cs="Times New Roman"/>
                <w:sz w:val="20"/>
                <w:szCs w:val="20"/>
                <w:lang w:eastAsia="zh-CN"/>
              </w:rPr>
              <w:t xml:space="preserve"> How </w:t>
            </w:r>
            <w:r w:rsidR="00DE7819" w:rsidRPr="00DE7819">
              <w:rPr>
                <w:rFonts w:ascii="Times New Roman" w:eastAsia="等线" w:hAnsi="Times New Roman" w:cs="Times New Roman"/>
                <w:sz w:val="20"/>
                <w:szCs w:val="20"/>
                <w:lang w:eastAsia="zh-CN"/>
              </w:rPr>
              <w:t>the current M</w:t>
            </w:r>
            <w:r w:rsidR="00DE7819">
              <w:rPr>
                <w:rFonts w:ascii="Times New Roman" w:eastAsia="等线" w:hAnsi="Times New Roman" w:cs="Times New Roman"/>
                <w:sz w:val="20"/>
                <w:szCs w:val="20"/>
                <w:lang w:eastAsia="zh-CN"/>
              </w:rPr>
              <w:t>-</w:t>
            </w:r>
            <w:r w:rsidR="00DE7819" w:rsidRPr="00DE7819">
              <w:rPr>
                <w:rFonts w:ascii="Times New Roman" w:eastAsia="等线" w:hAnsi="Times New Roman" w:cs="Times New Roman"/>
                <w:sz w:val="20"/>
                <w:szCs w:val="20"/>
                <w:lang w:eastAsia="zh-CN"/>
              </w:rPr>
              <w:t>TRP structure work</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especially when two PDSCHs overlap in time and frequency domain</w:t>
            </w:r>
            <w:r w:rsidR="00DE7819">
              <w:rPr>
                <w:rFonts w:ascii="Times New Roman" w:eastAsia="等线"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等线" w:hAnsi="Times New Roman" w:cs="Times New Roman"/>
                <w:sz w:val="20"/>
                <w:szCs w:val="20"/>
                <w:lang w:eastAsia="zh-CN"/>
              </w:rPr>
            </w:pPr>
          </w:p>
          <w:p w14:paraId="36F02E3D" w14:textId="29930BB9" w:rsidR="00883285"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Regarding QC’s suggestion to focus on FR2 multi-panel UEs, if timing difference issue</w:t>
            </w:r>
            <w:r w:rsidR="00174DE2">
              <w:rPr>
                <w:rFonts w:ascii="Times New Roman" w:eastAsia="等线" w:hAnsi="Times New Roman" w:cs="Times New Roman"/>
                <w:sz w:val="20"/>
                <w:szCs w:val="20"/>
                <w:lang w:eastAsia="zh-CN"/>
              </w:rPr>
              <w:t xml:space="preserve"> for such UEs</w:t>
            </w:r>
            <w:r>
              <w:rPr>
                <w:rFonts w:ascii="Times New Roman" w:eastAsia="等线" w:hAnsi="Times New Roman" w:cs="Times New Roman"/>
                <w:sz w:val="20"/>
                <w:szCs w:val="20"/>
                <w:lang w:eastAsia="zh-CN"/>
              </w:rPr>
              <w:t xml:space="preserve"> is</w:t>
            </w:r>
            <w:r w:rsidR="006F39C5">
              <w:rPr>
                <w:rFonts w:ascii="Times New Roman" w:eastAsia="等线" w:hAnsi="Times New Roman" w:cs="Times New Roman"/>
                <w:sz w:val="20"/>
                <w:szCs w:val="20"/>
                <w:lang w:eastAsia="zh-CN"/>
              </w:rPr>
              <w:t xml:space="preserve"> </w:t>
            </w:r>
            <w:r w:rsidR="006F39C5">
              <w:rPr>
                <w:rFonts w:ascii="Times New Roman" w:eastAsia="等线" w:hAnsi="Times New Roman" w:cs="Times New Roman" w:hint="eastAsia"/>
                <w:sz w:val="20"/>
                <w:szCs w:val="20"/>
                <w:lang w:eastAsia="zh-CN"/>
              </w:rPr>
              <w:t>anyway</w:t>
            </w:r>
            <w:r>
              <w:rPr>
                <w:rFonts w:ascii="Times New Roman" w:eastAsia="等线" w:hAnsi="Times New Roman" w:cs="Times New Roman"/>
                <w:sz w:val="20"/>
                <w:szCs w:val="20"/>
                <w:lang w:eastAsia="zh-CN"/>
              </w:rPr>
              <w:t xml:space="preserve"> to be</w:t>
            </w:r>
            <w:r w:rsidR="00373052">
              <w:rPr>
                <w:rFonts w:ascii="Times New Roman" w:eastAsia="等线" w:hAnsi="Times New Roman" w:cs="Times New Roman"/>
                <w:sz w:val="20"/>
                <w:szCs w:val="20"/>
                <w:lang w:eastAsia="zh-CN"/>
              </w:rPr>
              <w:t xml:space="preserve"> discussed and</w:t>
            </w:r>
            <w:r>
              <w:rPr>
                <w:rFonts w:ascii="Times New Roman" w:eastAsia="等线" w:hAnsi="Times New Roman" w:cs="Times New Roman"/>
                <w:sz w:val="20"/>
                <w:szCs w:val="20"/>
                <w:lang w:eastAsia="zh-CN"/>
              </w:rPr>
              <w:t xml:space="preserve"> addressed in item 1 for L1/L2-centric mobi</w:t>
            </w:r>
            <w:bookmarkStart w:id="2" w:name="_GoBack"/>
            <w:bookmarkEnd w:id="2"/>
            <w:r>
              <w:rPr>
                <w:rFonts w:ascii="Times New Roman" w:eastAsia="等线" w:hAnsi="Times New Roman" w:cs="Times New Roman"/>
                <w:sz w:val="20"/>
                <w:szCs w:val="20"/>
                <w:lang w:eastAsia="zh-CN"/>
              </w:rPr>
              <w:t xml:space="preserve">lity, there is no need to update </w:t>
            </w:r>
            <w:r w:rsidR="00373052">
              <w:rPr>
                <w:rFonts w:ascii="Times New Roman" w:eastAsia="等线" w:hAnsi="Times New Roman" w:cs="Times New Roman"/>
                <w:sz w:val="20"/>
                <w:szCs w:val="20"/>
                <w:lang w:eastAsia="zh-CN"/>
              </w:rPr>
              <w:t>the current scope of item 2b</w:t>
            </w:r>
            <w:r>
              <w:rPr>
                <w:rFonts w:ascii="Times New Roman" w:eastAsia="等线" w:hAnsi="Times New Roman" w:cs="Times New Roman"/>
                <w:sz w:val="20"/>
                <w:szCs w:val="20"/>
                <w:lang w:eastAsia="zh-CN"/>
              </w:rPr>
              <w:t>.</w:t>
            </w:r>
            <w:r w:rsidR="00373052">
              <w:rPr>
                <w:rFonts w:ascii="Times New Roman" w:eastAsia="等线" w:hAnsi="Times New Roman" w:cs="Times New Roman"/>
                <w:sz w:val="20"/>
                <w:szCs w:val="20"/>
                <w:lang w:eastAsia="zh-CN"/>
              </w:rPr>
              <w:t xml:space="preserve"> </w:t>
            </w:r>
          </w:p>
          <w:p w14:paraId="34B60392" w14:textId="77777777" w:rsidR="00741230" w:rsidRDefault="00741230" w:rsidP="00883285">
            <w:pPr>
              <w:snapToGrid w:val="0"/>
              <w:rPr>
                <w:rFonts w:ascii="Times New Roman" w:eastAsia="等线" w:hAnsi="Times New Roman" w:cs="Times New Roman"/>
                <w:sz w:val="20"/>
                <w:szCs w:val="20"/>
                <w:lang w:eastAsia="zh-CN"/>
              </w:rPr>
            </w:pPr>
          </w:p>
          <w:p w14:paraId="7147FAA6" w14:textId="687676C2" w:rsidR="00883285" w:rsidRPr="00250387"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So our suggestion is to keep item 2b as it is</w:t>
            </w:r>
            <w:r w:rsidR="00B403E0">
              <w:rPr>
                <w:rFonts w:ascii="Times New Roman" w:eastAsia="等线" w:hAnsi="Times New Roman" w:cs="Times New Roman"/>
                <w:sz w:val="20"/>
                <w:szCs w:val="20"/>
                <w:lang w:eastAsia="zh-CN"/>
              </w:rPr>
              <w:t xml:space="preserve"> now, or to clarify it assumes timing difference &lt;= 1 CP for multiple TRPs.</w:t>
            </w:r>
          </w:p>
        </w:tc>
      </w:tr>
      <w:tr w:rsidR="00F43FF8" w:rsidRPr="004473BB" w14:paraId="743B42F4" w14:textId="77777777" w:rsidTr="00F43FF8">
        <w:tc>
          <w:tcPr>
            <w:tcW w:w="1126" w:type="dxa"/>
          </w:tcPr>
          <w:p w14:paraId="2E1EC641" w14:textId="33E2497A" w:rsidR="00F43FF8" w:rsidRPr="004473BB" w:rsidRDefault="00F43FF8" w:rsidP="00F43FF8">
            <w:pPr>
              <w:snapToGrid w:val="0"/>
              <w:rPr>
                <w:rFonts w:ascii="Times New Roman" w:hAnsi="Times New Roman" w:cs="Times New Roman"/>
                <w:sz w:val="20"/>
                <w:szCs w:val="20"/>
              </w:rPr>
            </w:pPr>
          </w:p>
        </w:tc>
        <w:tc>
          <w:tcPr>
            <w:tcW w:w="8985" w:type="dxa"/>
          </w:tcPr>
          <w:p w14:paraId="11A7FA55" w14:textId="78ECEA37" w:rsidR="00F43FF8" w:rsidRPr="004473BB" w:rsidRDefault="00F43FF8" w:rsidP="00F43FF8">
            <w:pPr>
              <w:snapToGrid w:val="0"/>
              <w:rPr>
                <w:rFonts w:ascii="Times New Roman" w:hAnsi="Times New Roman" w:cs="Times New Roman"/>
                <w:sz w:val="20"/>
                <w:szCs w:val="20"/>
              </w:rPr>
            </w:pPr>
          </w:p>
        </w:tc>
      </w:tr>
      <w:tr w:rsidR="00F43FF8" w:rsidRPr="004473BB" w14:paraId="7695E0BD" w14:textId="77777777" w:rsidTr="00F43FF8">
        <w:tc>
          <w:tcPr>
            <w:tcW w:w="1126" w:type="dxa"/>
          </w:tcPr>
          <w:p w14:paraId="20846DB3" w14:textId="540ACF17" w:rsidR="00F43FF8" w:rsidRPr="004473BB" w:rsidRDefault="00F43FF8" w:rsidP="00F43FF8">
            <w:pPr>
              <w:snapToGrid w:val="0"/>
              <w:rPr>
                <w:rFonts w:ascii="Times New Roman" w:hAnsi="Times New Roman" w:cs="Times New Roman"/>
                <w:sz w:val="20"/>
                <w:szCs w:val="20"/>
              </w:rPr>
            </w:pPr>
          </w:p>
        </w:tc>
        <w:tc>
          <w:tcPr>
            <w:tcW w:w="8985" w:type="dxa"/>
          </w:tcPr>
          <w:p w14:paraId="1371249A" w14:textId="0B298CCA" w:rsidR="00F43FF8" w:rsidRPr="004473BB" w:rsidRDefault="00F43FF8" w:rsidP="00F43FF8">
            <w:pPr>
              <w:snapToGrid w:val="0"/>
              <w:rPr>
                <w:rFonts w:ascii="Times New Roman" w:hAnsi="Times New Roman" w:cs="Times New Roman"/>
                <w:sz w:val="20"/>
                <w:szCs w:val="20"/>
              </w:rPr>
            </w:pPr>
          </w:p>
        </w:tc>
      </w:tr>
      <w:tr w:rsidR="00F43FF8" w:rsidRPr="004473BB" w14:paraId="0EB8030E" w14:textId="77777777" w:rsidTr="00F43FF8">
        <w:tc>
          <w:tcPr>
            <w:tcW w:w="1126" w:type="dxa"/>
          </w:tcPr>
          <w:p w14:paraId="6EDBA6B9" w14:textId="42724007" w:rsidR="00F43FF8" w:rsidRPr="004473BB" w:rsidRDefault="00F43FF8" w:rsidP="00F43FF8">
            <w:pPr>
              <w:snapToGrid w:val="0"/>
              <w:rPr>
                <w:rFonts w:ascii="Times New Roman" w:hAnsi="Times New Roman" w:cs="Times New Roman"/>
                <w:sz w:val="20"/>
                <w:szCs w:val="20"/>
              </w:rPr>
            </w:pPr>
          </w:p>
        </w:tc>
        <w:tc>
          <w:tcPr>
            <w:tcW w:w="8985" w:type="dxa"/>
          </w:tcPr>
          <w:p w14:paraId="7B97EEFB" w14:textId="3DB7778D" w:rsidR="00F43FF8" w:rsidRPr="004473BB" w:rsidRDefault="00F43FF8" w:rsidP="00F43FF8">
            <w:pPr>
              <w:snapToGrid w:val="0"/>
              <w:rPr>
                <w:rFonts w:ascii="Times New Roman" w:hAnsi="Times New Roman" w:cs="Times New Roman"/>
                <w:sz w:val="20"/>
                <w:szCs w:val="20"/>
              </w:rPr>
            </w:pPr>
          </w:p>
        </w:tc>
      </w:tr>
      <w:tr w:rsidR="00F43FF8" w:rsidRPr="004473BB" w14:paraId="2CCE1239" w14:textId="77777777" w:rsidTr="00F43FF8">
        <w:tc>
          <w:tcPr>
            <w:tcW w:w="1126" w:type="dxa"/>
          </w:tcPr>
          <w:p w14:paraId="4459EAE8" w14:textId="43EFD2E5" w:rsidR="00F43FF8" w:rsidRPr="004473BB" w:rsidRDefault="00F43FF8" w:rsidP="00F43FF8">
            <w:pPr>
              <w:snapToGrid w:val="0"/>
              <w:rPr>
                <w:rFonts w:ascii="Times New Roman" w:hAnsi="Times New Roman" w:cs="Times New Roman"/>
                <w:sz w:val="20"/>
                <w:szCs w:val="20"/>
              </w:rPr>
            </w:pPr>
          </w:p>
        </w:tc>
        <w:tc>
          <w:tcPr>
            <w:tcW w:w="8985" w:type="dxa"/>
          </w:tcPr>
          <w:p w14:paraId="4895904F" w14:textId="340F2449" w:rsidR="00F43FF8" w:rsidRPr="004473BB" w:rsidRDefault="00F43FF8" w:rsidP="00F43FF8">
            <w:pPr>
              <w:snapToGrid w:val="0"/>
              <w:rPr>
                <w:rFonts w:ascii="Times New Roman" w:hAnsi="Times New Roman" w:cs="Times New Roman"/>
                <w:sz w:val="20"/>
                <w:szCs w:val="20"/>
              </w:rPr>
            </w:pPr>
          </w:p>
        </w:tc>
      </w:tr>
      <w:tr w:rsidR="00F43FF8" w:rsidRPr="004473BB" w14:paraId="7943B050" w14:textId="77777777" w:rsidTr="00F43FF8">
        <w:tc>
          <w:tcPr>
            <w:tcW w:w="1126" w:type="dxa"/>
          </w:tcPr>
          <w:p w14:paraId="789DE148" w14:textId="0EE2C5D7" w:rsidR="00F43FF8" w:rsidRPr="004473BB" w:rsidRDefault="00F43FF8" w:rsidP="00F43FF8">
            <w:pPr>
              <w:snapToGrid w:val="0"/>
              <w:rPr>
                <w:rFonts w:ascii="Times New Roman" w:hAnsi="Times New Roman" w:cs="Times New Roman"/>
                <w:sz w:val="20"/>
                <w:szCs w:val="20"/>
              </w:rPr>
            </w:pPr>
          </w:p>
        </w:tc>
        <w:tc>
          <w:tcPr>
            <w:tcW w:w="8985" w:type="dxa"/>
          </w:tcPr>
          <w:p w14:paraId="1AB6FE3A" w14:textId="627A74E1" w:rsidR="00F43FF8" w:rsidRPr="004473BB" w:rsidRDefault="00F43FF8" w:rsidP="00F43FF8">
            <w:pPr>
              <w:snapToGrid w:val="0"/>
              <w:rPr>
                <w:rFonts w:ascii="Times New Roman" w:hAnsi="Times New Roman" w:cs="Times New Roman"/>
                <w:sz w:val="20"/>
                <w:szCs w:val="20"/>
              </w:rPr>
            </w:pPr>
          </w:p>
        </w:tc>
      </w:tr>
      <w:tr w:rsidR="00F43FF8" w:rsidRPr="004473BB" w14:paraId="1E543CCA" w14:textId="77777777" w:rsidTr="00F43FF8">
        <w:tc>
          <w:tcPr>
            <w:tcW w:w="1126" w:type="dxa"/>
            <w:shd w:val="clear" w:color="auto" w:fill="auto"/>
            <w:vAlign w:val="center"/>
          </w:tcPr>
          <w:p w14:paraId="5CE64273" w14:textId="3CFF245A" w:rsidR="00F43FF8" w:rsidRPr="004473BB" w:rsidRDefault="00F43FF8" w:rsidP="00F43FF8">
            <w:pPr>
              <w:snapToGrid w:val="0"/>
              <w:rPr>
                <w:rFonts w:ascii="Times New Roman" w:eastAsia="Malgun Gothic" w:hAnsi="Times New Roman" w:cs="Times New Roman"/>
                <w:color w:val="000000"/>
                <w:kern w:val="24"/>
                <w:sz w:val="20"/>
                <w:szCs w:val="20"/>
                <w:lang w:val="en-GB"/>
              </w:rPr>
            </w:pPr>
          </w:p>
        </w:tc>
        <w:tc>
          <w:tcPr>
            <w:tcW w:w="8985" w:type="dxa"/>
            <w:shd w:val="clear" w:color="auto" w:fill="auto"/>
            <w:vAlign w:val="center"/>
          </w:tcPr>
          <w:p w14:paraId="08902E7E" w14:textId="2CCC8460" w:rsidR="00F43FF8" w:rsidRPr="004473BB" w:rsidRDefault="00F43FF8" w:rsidP="00F43FF8">
            <w:pPr>
              <w:snapToGrid w:val="0"/>
              <w:rPr>
                <w:rFonts w:ascii="Times New Roman" w:eastAsia="Malgun Gothic" w:hAnsi="Times New Roman" w:cs="Times New Roman"/>
                <w:color w:val="00B050"/>
                <w:kern w:val="24"/>
                <w:sz w:val="20"/>
                <w:szCs w:val="20"/>
                <w:lang w:val="en-GB"/>
              </w:rPr>
            </w:pPr>
          </w:p>
        </w:tc>
      </w:tr>
      <w:tr w:rsidR="00F43FF8" w:rsidRPr="004473BB" w14:paraId="51D43CB7" w14:textId="77777777" w:rsidTr="00F43FF8">
        <w:tc>
          <w:tcPr>
            <w:tcW w:w="1126" w:type="dxa"/>
            <w:shd w:val="clear" w:color="auto" w:fill="auto"/>
            <w:vAlign w:val="center"/>
          </w:tcPr>
          <w:p w14:paraId="20ACE0E2" w14:textId="794FA798"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233C0D3A" w14:textId="2322637E" w:rsidR="00F43FF8" w:rsidRPr="004473BB" w:rsidRDefault="00F43FF8" w:rsidP="00F43FF8">
            <w:pPr>
              <w:snapToGrid w:val="0"/>
              <w:rPr>
                <w:rFonts w:ascii="Times New Roman" w:hAnsi="Times New Roman" w:cs="Times New Roman"/>
                <w:color w:val="00B050"/>
                <w:sz w:val="20"/>
                <w:szCs w:val="20"/>
              </w:rPr>
            </w:pPr>
          </w:p>
        </w:tc>
      </w:tr>
      <w:tr w:rsidR="00F43FF8" w:rsidRPr="004473BB" w14:paraId="6CCD83AF" w14:textId="77777777" w:rsidTr="00F43FF8">
        <w:tc>
          <w:tcPr>
            <w:tcW w:w="1126" w:type="dxa"/>
            <w:shd w:val="clear" w:color="auto" w:fill="auto"/>
            <w:vAlign w:val="center"/>
          </w:tcPr>
          <w:p w14:paraId="562A1FBB" w14:textId="6DF9E54A"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29102E50" w14:textId="7FDD75B7" w:rsidR="00F43FF8" w:rsidRPr="004473BB" w:rsidRDefault="00F43FF8" w:rsidP="00F43FF8">
            <w:pPr>
              <w:snapToGrid w:val="0"/>
              <w:rPr>
                <w:rFonts w:ascii="Times New Roman" w:hAnsi="Times New Roman" w:cs="Times New Roman"/>
                <w:color w:val="00B050"/>
                <w:sz w:val="20"/>
                <w:szCs w:val="20"/>
              </w:rPr>
            </w:pPr>
          </w:p>
        </w:tc>
      </w:tr>
      <w:tr w:rsidR="00F43FF8" w:rsidRPr="004473BB" w14:paraId="6D02CB0A" w14:textId="77777777" w:rsidTr="00F43FF8">
        <w:tc>
          <w:tcPr>
            <w:tcW w:w="1126" w:type="dxa"/>
            <w:shd w:val="clear" w:color="auto" w:fill="auto"/>
            <w:vAlign w:val="center"/>
          </w:tcPr>
          <w:p w14:paraId="2341BB80" w14:textId="354FEA78"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2BC2D8C5" w14:textId="26DE32CF" w:rsidR="00F43FF8" w:rsidRPr="004473BB" w:rsidRDefault="00F43FF8" w:rsidP="00F43FF8">
            <w:pPr>
              <w:snapToGrid w:val="0"/>
              <w:rPr>
                <w:rFonts w:ascii="Times New Roman" w:hAnsi="Times New Roman" w:cs="Times New Roman"/>
                <w:color w:val="00B050"/>
                <w:sz w:val="20"/>
                <w:szCs w:val="20"/>
              </w:rPr>
            </w:pPr>
          </w:p>
        </w:tc>
      </w:tr>
      <w:tr w:rsidR="00F43FF8" w:rsidRPr="004473BB" w14:paraId="7A0FDF0B" w14:textId="77777777" w:rsidTr="00F43FF8">
        <w:tc>
          <w:tcPr>
            <w:tcW w:w="1126" w:type="dxa"/>
            <w:shd w:val="clear" w:color="auto" w:fill="auto"/>
            <w:vAlign w:val="center"/>
          </w:tcPr>
          <w:p w14:paraId="1F3437CB" w14:textId="78954455"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314D35A6" w14:textId="55E2CB12" w:rsidR="00F43FF8" w:rsidRPr="004473BB" w:rsidRDefault="00F43FF8" w:rsidP="00F43FF8">
            <w:pPr>
              <w:snapToGrid w:val="0"/>
              <w:rPr>
                <w:rFonts w:ascii="Times New Roman" w:hAnsi="Times New Roman" w:cs="Times New Roman"/>
                <w:color w:val="00B050"/>
                <w:sz w:val="20"/>
                <w:szCs w:val="20"/>
              </w:rPr>
            </w:pPr>
          </w:p>
        </w:tc>
      </w:tr>
      <w:tr w:rsidR="00F43FF8" w:rsidRPr="004473BB" w14:paraId="5D37296C" w14:textId="77777777" w:rsidTr="00F43FF8">
        <w:tc>
          <w:tcPr>
            <w:tcW w:w="1126" w:type="dxa"/>
            <w:shd w:val="clear" w:color="auto" w:fill="auto"/>
            <w:vAlign w:val="center"/>
          </w:tcPr>
          <w:p w14:paraId="4DEC9C9C" w14:textId="6037774F"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1B6A6F29" w14:textId="116B6612" w:rsidR="00F43FF8" w:rsidRPr="004473BB" w:rsidRDefault="00F43FF8" w:rsidP="00F43FF8">
            <w:pPr>
              <w:snapToGrid w:val="0"/>
              <w:rPr>
                <w:rFonts w:ascii="Times New Roman" w:hAnsi="Times New Roman" w:cs="Times New Roman"/>
                <w:color w:val="00B050"/>
                <w:sz w:val="20"/>
                <w:szCs w:val="20"/>
              </w:rPr>
            </w:pPr>
          </w:p>
        </w:tc>
      </w:tr>
      <w:tr w:rsidR="00F43FF8" w:rsidRPr="004473BB" w14:paraId="43DC10AA" w14:textId="77777777" w:rsidTr="00F43FF8">
        <w:tc>
          <w:tcPr>
            <w:tcW w:w="1126" w:type="dxa"/>
          </w:tcPr>
          <w:p w14:paraId="283CF08C" w14:textId="691BCB34" w:rsidR="00F43FF8" w:rsidRPr="004473BB" w:rsidRDefault="00F43FF8" w:rsidP="00F43FF8">
            <w:pPr>
              <w:snapToGrid w:val="0"/>
              <w:rPr>
                <w:rFonts w:ascii="Times New Roman" w:hAnsi="Times New Roman" w:cs="Times New Roman"/>
                <w:sz w:val="20"/>
                <w:szCs w:val="20"/>
              </w:rPr>
            </w:pPr>
          </w:p>
        </w:tc>
        <w:tc>
          <w:tcPr>
            <w:tcW w:w="8985" w:type="dxa"/>
          </w:tcPr>
          <w:p w14:paraId="1FB02730" w14:textId="4AE9096F" w:rsidR="00F43FF8" w:rsidRPr="004473BB" w:rsidRDefault="00F43FF8" w:rsidP="00F43FF8">
            <w:pPr>
              <w:snapToGrid w:val="0"/>
              <w:rPr>
                <w:rFonts w:ascii="Times New Roman" w:hAnsi="Times New Roman" w:cs="Times New Roman"/>
                <w:color w:val="00B050"/>
                <w:sz w:val="20"/>
                <w:szCs w:val="20"/>
              </w:rPr>
            </w:pPr>
          </w:p>
        </w:tc>
      </w:tr>
      <w:tr w:rsidR="00F43FF8" w:rsidRPr="004473BB" w14:paraId="27EC87D9" w14:textId="77777777" w:rsidTr="00F43FF8">
        <w:tc>
          <w:tcPr>
            <w:tcW w:w="1126" w:type="dxa"/>
          </w:tcPr>
          <w:p w14:paraId="6C781462" w14:textId="036CA634" w:rsidR="00F43FF8" w:rsidRPr="004473BB" w:rsidRDefault="00F43FF8" w:rsidP="00F43FF8">
            <w:pPr>
              <w:snapToGrid w:val="0"/>
              <w:rPr>
                <w:rFonts w:ascii="Times New Roman" w:hAnsi="Times New Roman" w:cs="Times New Roman"/>
                <w:sz w:val="20"/>
                <w:szCs w:val="20"/>
              </w:rPr>
            </w:pPr>
          </w:p>
        </w:tc>
        <w:tc>
          <w:tcPr>
            <w:tcW w:w="8985" w:type="dxa"/>
          </w:tcPr>
          <w:p w14:paraId="49178F98" w14:textId="6A4F6899" w:rsidR="00F43FF8" w:rsidRPr="004473BB" w:rsidRDefault="00F43FF8" w:rsidP="00F43FF8">
            <w:pPr>
              <w:pStyle w:val="ListParagraph"/>
              <w:numPr>
                <w:ilvl w:val="0"/>
                <w:numId w:val="1"/>
              </w:numPr>
              <w:snapToGrid w:val="0"/>
              <w:spacing w:after="0" w:line="240" w:lineRule="auto"/>
              <w:contextualSpacing w:val="0"/>
              <w:rPr>
                <w:rFonts w:ascii="Times New Roman" w:hAnsi="Times New Roman" w:cs="Times New Roman"/>
                <w:sz w:val="20"/>
                <w:szCs w:val="20"/>
              </w:rPr>
            </w:pPr>
          </w:p>
        </w:tc>
      </w:tr>
      <w:tr w:rsidR="00F43FF8" w:rsidRPr="004473BB" w14:paraId="7A07F06F" w14:textId="77777777" w:rsidTr="00F43FF8">
        <w:tc>
          <w:tcPr>
            <w:tcW w:w="1126" w:type="dxa"/>
          </w:tcPr>
          <w:p w14:paraId="5188420C" w14:textId="3D25A36F" w:rsidR="00F43FF8" w:rsidRPr="004473BB" w:rsidRDefault="00F43FF8" w:rsidP="00F43FF8">
            <w:pPr>
              <w:snapToGrid w:val="0"/>
              <w:rPr>
                <w:rFonts w:ascii="Times New Roman" w:hAnsi="Times New Roman" w:cs="Times New Roman"/>
                <w:sz w:val="20"/>
                <w:szCs w:val="20"/>
              </w:rPr>
            </w:pPr>
          </w:p>
        </w:tc>
        <w:tc>
          <w:tcPr>
            <w:tcW w:w="8985" w:type="dxa"/>
          </w:tcPr>
          <w:p w14:paraId="735AB613" w14:textId="7A30CC97" w:rsidR="00F43FF8" w:rsidRPr="004473BB" w:rsidRDefault="00F43FF8" w:rsidP="00F43FF8">
            <w:pPr>
              <w:snapToGrid w:val="0"/>
              <w:rPr>
                <w:rFonts w:ascii="Times New Roman" w:hAnsi="Times New Roman" w:cs="Times New Roman"/>
                <w:sz w:val="20"/>
                <w:szCs w:val="20"/>
              </w:rPr>
            </w:pP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40CE9F6F" w14:textId="0E78D489"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5985CC78"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bookmarkStart w:id="3" w:name="_Ref47994488"/>
      <w:r>
        <w:rPr>
          <w:rFonts w:cs="Times New Roman"/>
          <w:sz w:val="18"/>
          <w:szCs w:val="18"/>
          <w:lang w:eastAsia="ko-KR"/>
        </w:rPr>
        <w:t>RP-201470</w:t>
      </w:r>
      <w:r w:rsidR="00EF0075" w:rsidRPr="0039763A">
        <w:rPr>
          <w:rFonts w:cs="Times New Roman"/>
          <w:sz w:val="18"/>
          <w:szCs w:val="18"/>
          <w:lang w:eastAsia="ko-KR"/>
        </w:rPr>
        <w:tab/>
      </w:r>
      <w:r w:rsidR="00703D4D">
        <w:rPr>
          <w:rFonts w:eastAsia="Times New Roman" w:cs="Times New Roman"/>
          <w:sz w:val="18"/>
          <w:szCs w:val="18"/>
          <w:lang w:val="en-US" w:eastAsia="ko-KR"/>
        </w:rPr>
        <w:t>Revised WID: Further enhancements on MIMO for NR</w:t>
      </w:r>
      <w:r w:rsidR="006B0FF0" w:rsidRPr="0039763A">
        <w:rPr>
          <w:rFonts w:cs="Times New Roman"/>
          <w:sz w:val="18"/>
          <w:szCs w:val="18"/>
          <w:lang w:eastAsia="ko-KR"/>
        </w:rPr>
        <w:tab/>
      </w:r>
      <w:r>
        <w:rPr>
          <w:rFonts w:cs="Times New Roman"/>
          <w:sz w:val="18"/>
          <w:szCs w:val="18"/>
          <w:lang w:eastAsia="ko-KR"/>
        </w:rPr>
        <w:t>Samsung</w:t>
      </w:r>
      <w:r w:rsidR="00EF0075" w:rsidRPr="0039763A">
        <w:rPr>
          <w:rFonts w:cs="Times New Roman"/>
          <w:sz w:val="18"/>
          <w:szCs w:val="18"/>
          <w:lang w:eastAsia="ko-KR"/>
        </w:rPr>
        <w:t xml:space="preserve"> </w:t>
      </w:r>
      <w:bookmarkEnd w:id="3"/>
    </w:p>
    <w:p w14:paraId="29D3EB21" w14:textId="30B4791C"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RP-201839</w:t>
      </w:r>
      <w:r w:rsidR="00EF0075" w:rsidRPr="0039763A">
        <w:rPr>
          <w:rFonts w:cs="Times New Roman"/>
          <w:sz w:val="18"/>
          <w:szCs w:val="18"/>
          <w:lang w:eastAsia="ko-KR"/>
        </w:rPr>
        <w:tab/>
      </w:r>
      <w:r w:rsidR="00181BEB">
        <w:rPr>
          <w:rFonts w:ascii="Arial" w:hAnsi="Arial" w:cs="Arial"/>
          <w:b/>
          <w:bCs/>
          <w:sz w:val="24"/>
          <w:lang w:val="en-US"/>
        </w:rPr>
        <w:t xml:space="preserve">MIMO </w:t>
      </w:r>
      <w:r w:rsidR="00181BEB">
        <w:rPr>
          <w:rFonts w:ascii="Arial" w:hAnsi="Arial" w:cs="Arial"/>
          <w:b/>
          <w:bCs/>
          <w:color w:val="000000" w:themeColor="text1"/>
          <w:sz w:val="24"/>
          <w:lang w:val="en-US"/>
        </w:rPr>
        <w:t>m</w:t>
      </w:r>
      <w:r w:rsidR="00181BEB" w:rsidRPr="00811DD5">
        <w:rPr>
          <w:rFonts w:ascii="Arial" w:hAnsi="Arial" w:cs="Arial"/>
          <w:b/>
          <w:bCs/>
          <w:color w:val="000000" w:themeColor="text1"/>
          <w:sz w:val="24"/>
          <w:lang w:val="en-US"/>
        </w:rPr>
        <w:t xml:space="preserve">ulti-TRP </w:t>
      </w:r>
      <w:r w:rsidR="00181BEB">
        <w:rPr>
          <w:rFonts w:ascii="Arial" w:hAnsi="Arial" w:cs="Arial"/>
          <w:b/>
          <w:bCs/>
          <w:color w:val="000000" w:themeColor="text1"/>
          <w:sz w:val="24"/>
          <w:lang w:val="en-US"/>
        </w:rPr>
        <w:t>timing constraints</w:t>
      </w:r>
      <w:r w:rsidR="00181BEB" w:rsidRPr="00811DD5">
        <w:rPr>
          <w:rFonts w:ascii="Arial" w:hAnsi="Arial" w:cs="Arial"/>
          <w:b/>
          <w:bCs/>
          <w:color w:val="000000" w:themeColor="text1"/>
          <w:sz w:val="24"/>
          <w:lang w:val="en-US"/>
        </w:rPr>
        <w:t xml:space="preserve"> for inter-cell operation</w:t>
      </w:r>
      <w:r w:rsidR="00EF0075" w:rsidRPr="0039763A">
        <w:rPr>
          <w:rFonts w:cs="Times New Roman"/>
          <w:sz w:val="18"/>
          <w:szCs w:val="18"/>
          <w:lang w:eastAsia="ko-KR"/>
        </w:rPr>
        <w:tab/>
      </w:r>
      <w:r w:rsidR="00181BEB">
        <w:rPr>
          <w:rFonts w:cs="Times New Roman"/>
          <w:sz w:val="18"/>
          <w:szCs w:val="18"/>
          <w:lang w:eastAsia="ko-KR"/>
        </w:rPr>
        <w:t>Intel Corporation</w:t>
      </w:r>
    </w:p>
    <w:p w14:paraId="41F0097C" w14:textId="1BD67CA7"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RP-201895</w:t>
      </w:r>
      <w:r w:rsidR="00EF0075" w:rsidRPr="0039763A">
        <w:rPr>
          <w:rFonts w:cs="Times New Roman"/>
          <w:sz w:val="18"/>
          <w:szCs w:val="18"/>
          <w:lang w:eastAsia="ko-KR"/>
        </w:rPr>
        <w:tab/>
      </w:r>
      <w:r w:rsidR="00F128E4"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00F128E4" w:rsidRPr="0039763A">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6A539" w14:textId="77777777" w:rsidR="00F45E9E" w:rsidRDefault="00F45E9E" w:rsidP="00FE429F">
      <w:r>
        <w:separator/>
      </w:r>
    </w:p>
  </w:endnote>
  <w:endnote w:type="continuationSeparator" w:id="0">
    <w:p w14:paraId="1C51F3F2" w14:textId="77777777" w:rsidR="00F45E9E" w:rsidRDefault="00F45E9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FFA1F" w14:textId="77777777" w:rsidR="00F45E9E" w:rsidRDefault="00F45E9E" w:rsidP="00FE429F">
      <w:r>
        <w:separator/>
      </w:r>
    </w:p>
  </w:footnote>
  <w:footnote w:type="continuationSeparator" w:id="0">
    <w:p w14:paraId="7D7D349C" w14:textId="77777777" w:rsidR="00F45E9E" w:rsidRDefault="00F45E9E"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nsid w:val="0F7A6EC8"/>
    <w:multiLevelType w:val="hybridMultilevel"/>
    <w:tmpl w:val="97EE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0"/>
  </w:num>
  <w:num w:numId="6">
    <w:abstractNumId w:val="8"/>
  </w:num>
  <w:num w:numId="7">
    <w:abstractNumId w:val="1"/>
  </w:num>
  <w:num w:numId="8">
    <w:abstractNumId w:val="9"/>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2632"/>
    <w:rsid w:val="00044518"/>
    <w:rsid w:val="0004622E"/>
    <w:rsid w:val="000521E1"/>
    <w:rsid w:val="00062E39"/>
    <w:rsid w:val="0006422D"/>
    <w:rsid w:val="0006702A"/>
    <w:rsid w:val="00073C52"/>
    <w:rsid w:val="00074156"/>
    <w:rsid w:val="00080063"/>
    <w:rsid w:val="000829E3"/>
    <w:rsid w:val="00082A90"/>
    <w:rsid w:val="00083A34"/>
    <w:rsid w:val="00083D1C"/>
    <w:rsid w:val="00084798"/>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EB"/>
    <w:rsid w:val="00182247"/>
    <w:rsid w:val="00185D8C"/>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4BEF"/>
    <w:rsid w:val="0022736B"/>
    <w:rsid w:val="0023052E"/>
    <w:rsid w:val="00230C20"/>
    <w:rsid w:val="00230FAC"/>
    <w:rsid w:val="0023293E"/>
    <w:rsid w:val="00236C8C"/>
    <w:rsid w:val="0023796D"/>
    <w:rsid w:val="00241AE3"/>
    <w:rsid w:val="00242FA5"/>
    <w:rsid w:val="0024453E"/>
    <w:rsid w:val="00250387"/>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934A2"/>
    <w:rsid w:val="004A01BD"/>
    <w:rsid w:val="004A0660"/>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43C60"/>
    <w:rsid w:val="00544C75"/>
    <w:rsid w:val="00545709"/>
    <w:rsid w:val="005506DE"/>
    <w:rsid w:val="00551EB8"/>
    <w:rsid w:val="00552572"/>
    <w:rsid w:val="005555CA"/>
    <w:rsid w:val="00561599"/>
    <w:rsid w:val="00563169"/>
    <w:rsid w:val="00564F29"/>
    <w:rsid w:val="005670BF"/>
    <w:rsid w:val="00572054"/>
    <w:rsid w:val="0057259D"/>
    <w:rsid w:val="005747A5"/>
    <w:rsid w:val="00577C23"/>
    <w:rsid w:val="005848D4"/>
    <w:rsid w:val="00587858"/>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41230"/>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14B"/>
    <w:rsid w:val="00835383"/>
    <w:rsid w:val="008371AE"/>
    <w:rsid w:val="00837C0B"/>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249D"/>
    <w:rsid w:val="008A250E"/>
    <w:rsid w:val="008B0A17"/>
    <w:rsid w:val="008B240D"/>
    <w:rsid w:val="008B2948"/>
    <w:rsid w:val="008B4639"/>
    <w:rsid w:val="008B48E6"/>
    <w:rsid w:val="008B5942"/>
    <w:rsid w:val="008C2A8F"/>
    <w:rsid w:val="008C5C2A"/>
    <w:rsid w:val="008D2460"/>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48F1"/>
    <w:rsid w:val="00936916"/>
    <w:rsid w:val="00937D62"/>
    <w:rsid w:val="009423ED"/>
    <w:rsid w:val="00942E58"/>
    <w:rsid w:val="00945A75"/>
    <w:rsid w:val="00946FB5"/>
    <w:rsid w:val="00950545"/>
    <w:rsid w:val="00950849"/>
    <w:rsid w:val="0095340F"/>
    <w:rsid w:val="00953A0D"/>
    <w:rsid w:val="00957BEE"/>
    <w:rsid w:val="00957DB7"/>
    <w:rsid w:val="009609E1"/>
    <w:rsid w:val="009672FA"/>
    <w:rsid w:val="009679FB"/>
    <w:rsid w:val="00970ABD"/>
    <w:rsid w:val="009721B7"/>
    <w:rsid w:val="00974BD2"/>
    <w:rsid w:val="00975AD2"/>
    <w:rsid w:val="009766C5"/>
    <w:rsid w:val="009772BB"/>
    <w:rsid w:val="0097794B"/>
    <w:rsid w:val="00977BDD"/>
    <w:rsid w:val="00980467"/>
    <w:rsid w:val="00983770"/>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6962"/>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80B"/>
    <w:rsid w:val="009F3367"/>
    <w:rsid w:val="009F39EF"/>
    <w:rsid w:val="009F4C72"/>
    <w:rsid w:val="009F5A4D"/>
    <w:rsid w:val="00A02640"/>
    <w:rsid w:val="00A03BC2"/>
    <w:rsid w:val="00A055DC"/>
    <w:rsid w:val="00A07BC7"/>
    <w:rsid w:val="00A146EC"/>
    <w:rsid w:val="00A148E5"/>
    <w:rsid w:val="00A14B75"/>
    <w:rsid w:val="00A16F43"/>
    <w:rsid w:val="00A21D2E"/>
    <w:rsid w:val="00A224BA"/>
    <w:rsid w:val="00A23DDB"/>
    <w:rsid w:val="00A244B2"/>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5605"/>
    <w:rsid w:val="00A826A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41193"/>
    <w:rsid w:val="00C45A18"/>
    <w:rsid w:val="00C47F9F"/>
    <w:rsid w:val="00C50BBC"/>
    <w:rsid w:val="00C56FE6"/>
    <w:rsid w:val="00C61EDB"/>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752A"/>
    <w:rsid w:val="00D22E23"/>
    <w:rsid w:val="00D244A9"/>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819"/>
    <w:rsid w:val="00DE7C82"/>
    <w:rsid w:val="00DF18F0"/>
    <w:rsid w:val="00DF3774"/>
    <w:rsid w:val="00DF442F"/>
    <w:rsid w:val="00DF4E1A"/>
    <w:rsid w:val="00DF4F95"/>
    <w:rsid w:val="00E01812"/>
    <w:rsid w:val="00E03DAF"/>
    <w:rsid w:val="00E06806"/>
    <w:rsid w:val="00E06DC2"/>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FBB"/>
    <w:rsid w:val="00EF1C37"/>
    <w:rsid w:val="00EF23CE"/>
    <w:rsid w:val="00EF5933"/>
    <w:rsid w:val="00EF61D1"/>
    <w:rsid w:val="00EF6F9B"/>
    <w:rsid w:val="00EF7CA6"/>
    <w:rsid w:val="00F015D7"/>
    <w:rsid w:val="00F02197"/>
    <w:rsid w:val="00F0221B"/>
    <w:rsid w:val="00F046C7"/>
    <w:rsid w:val="00F0515E"/>
    <w:rsid w:val="00F06F6B"/>
    <w:rsid w:val="00F06FF4"/>
    <w:rsid w:val="00F07BCC"/>
    <w:rsid w:val="00F128E4"/>
    <w:rsid w:val="00F13416"/>
    <w:rsid w:val="00F144B7"/>
    <w:rsid w:val="00F22600"/>
    <w:rsid w:val="00F300E4"/>
    <w:rsid w:val="00F302E6"/>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11F94A-435F-4AC1-9896-48FE891F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1395</Words>
  <Characters>7953</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ZTE</cp:lastModifiedBy>
  <cp:revision>53</cp:revision>
  <dcterms:created xsi:type="dcterms:W3CDTF">2020-09-15T08:09:00Z</dcterms:created>
  <dcterms:modified xsi:type="dcterms:W3CDTF">2020-09-15T08:56:00Z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