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261803B6" w:rsidR="00477743" w:rsidRPr="00526125" w:rsidRDefault="00C143E4"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A7B7C">
        <w:rPr>
          <w:rFonts w:ascii="Arial" w:hAnsi="Arial" w:cs="Arial"/>
          <w:b/>
          <w:noProof/>
          <w:sz w:val="24"/>
          <w:szCs w:val="24"/>
          <w:lang w:val="de-DE"/>
        </w:rPr>
        <w:t>9617</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7238E89"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E884649" w:rsidR="001E41F3" w:rsidRDefault="002B1BF4">
            <w:pPr>
              <w:pStyle w:val="CRCoverPage"/>
              <w:spacing w:after="0"/>
              <w:rPr>
                <w:noProof/>
              </w:rPr>
            </w:pPr>
            <w:r>
              <w:rPr>
                <w:b/>
                <w:noProof/>
                <w:sz w:val="28"/>
              </w:rPr>
              <w:t>0411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DEE5B5E"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3A7B7C">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A7CFB2" w:rsidR="001E41F3" w:rsidRPr="001905FC" w:rsidRDefault="00B05259">
            <w:pPr>
              <w:pStyle w:val="CRCoverPage"/>
              <w:spacing w:after="0"/>
              <w:ind w:left="100"/>
              <w:rPr>
                <w:noProof/>
                <w:lang w:val="en-US"/>
              </w:rPr>
            </w:pPr>
            <w:r>
              <w:rPr>
                <w:noProof/>
                <w:lang w:val="en-US"/>
              </w:rPr>
              <w:t xml:space="preserve">OOB </w:t>
            </w:r>
            <w:r w:rsidR="00895630">
              <w:rPr>
                <w:noProof/>
                <w:lang w:val="en-US"/>
              </w:rPr>
              <w:t xml:space="preserve">blocking </w:t>
            </w:r>
            <w:r>
              <w:rPr>
                <w:noProof/>
                <w:lang w:val="en-US"/>
              </w:rPr>
              <w:t>for Inter-band 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FE3217" w:rsidR="001E41F3" w:rsidRDefault="007F4E68">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03D690" w14:textId="77777777" w:rsidR="002E2106" w:rsidRDefault="007069F5" w:rsidP="00B05259">
            <w:pPr>
              <w:pStyle w:val="CRCoverPage"/>
              <w:spacing w:after="0"/>
              <w:rPr>
                <w:noProof/>
              </w:rPr>
            </w:pPr>
            <w:r>
              <w:rPr>
                <w:noProof/>
              </w:rPr>
              <w:t xml:space="preserve">Missing </w:t>
            </w:r>
            <w:r w:rsidR="00B05259">
              <w:rPr>
                <w:noProof/>
              </w:rPr>
              <w:t xml:space="preserve">in-gap and exclusion region for FR1 OOB </w:t>
            </w:r>
            <w:r w:rsidR="006209F3">
              <w:rPr>
                <w:noProof/>
              </w:rPr>
              <w:t xml:space="preserve">blocking for </w:t>
            </w:r>
            <w:r w:rsidR="00B05259">
              <w:rPr>
                <w:noProof/>
              </w:rPr>
              <w:t>Interband CA</w:t>
            </w:r>
          </w:p>
          <w:p w14:paraId="1D691295" w14:textId="578787A1" w:rsidR="007F4E68" w:rsidRDefault="00B91C26" w:rsidP="00B05259">
            <w:pPr>
              <w:pStyle w:val="CRCoverPage"/>
              <w:spacing w:after="0"/>
              <w:rPr>
                <w:noProof/>
              </w:rPr>
            </w:pPr>
            <w:r w:rsidRPr="00B91C26">
              <w:rPr>
                <w:noProof/>
                <w:highlight w:val="green"/>
              </w:rPr>
              <w:t>Endorsed draft CR reference R4-2004399</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D58716F" w:rsidR="0084088E" w:rsidRPr="00BA2662" w:rsidRDefault="007069F5" w:rsidP="002E2106">
            <w:pPr>
              <w:pStyle w:val="CRCoverPage"/>
              <w:spacing w:after="0"/>
              <w:jc w:val="both"/>
            </w:pPr>
            <w:r>
              <w:t xml:space="preserve">Add </w:t>
            </w:r>
            <w:r w:rsidR="00B05259">
              <w:t xml:space="preserve">statement to add in gap OOB </w:t>
            </w:r>
            <w:r w:rsidR="006209F3">
              <w:t xml:space="preserve">blocking </w:t>
            </w:r>
            <w:r w:rsidR="00B05259">
              <w:t xml:space="preserve">requirements </w:t>
            </w:r>
            <w:r w:rsidR="008E4165">
              <w:t>to cover overlapping OOB ranges</w:t>
            </w:r>
            <w:r w:rsidR="00B05259">
              <w:t xml:space="preserve"> and </w:t>
            </w:r>
            <w:r w:rsidR="008E4165">
              <w:t>exclusion zones.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741C7D" w:rsidR="00062057" w:rsidRDefault="00B05259" w:rsidP="00062057">
            <w:pPr>
              <w:pStyle w:val="CRCoverPage"/>
              <w:spacing w:after="0"/>
              <w:rPr>
                <w:noProof/>
              </w:rPr>
            </w:pPr>
            <w:r>
              <w:rPr>
                <w:noProof/>
              </w:rPr>
              <w:t xml:space="preserve">UE OOB </w:t>
            </w:r>
            <w:r w:rsidR="006209F3">
              <w:rPr>
                <w:noProof/>
              </w:rPr>
              <w:t xml:space="preserve">blocking </w:t>
            </w:r>
            <w:r>
              <w:rPr>
                <w:noProof/>
              </w:rPr>
              <w:t>requirements cannot be met for CW interferer in the gap between 2CCs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E47C70D" w:rsidR="00062057" w:rsidRDefault="007069F5" w:rsidP="00062057">
            <w:pPr>
              <w:pStyle w:val="CRCoverPage"/>
              <w:spacing w:after="0"/>
              <w:ind w:left="100"/>
              <w:rPr>
                <w:noProof/>
              </w:rPr>
            </w:pPr>
            <w:r>
              <w:rPr>
                <w:noProof/>
              </w:rPr>
              <w:t>7.</w:t>
            </w:r>
            <w:r w:rsidR="002E445E">
              <w:rPr>
                <w:noProof/>
              </w:rPr>
              <w:t>6A.3.3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C0794F6" w14:textId="77777777" w:rsidR="00BB679D" w:rsidRDefault="00BB679D" w:rsidP="00BB679D">
      <w:pPr>
        <w:pStyle w:val="Heading4"/>
        <w:ind w:left="0" w:firstLine="0"/>
        <w:rPr>
          <w:rFonts w:eastAsia="MS Mincho"/>
        </w:rPr>
      </w:pPr>
      <w:bookmarkStart w:id="4" w:name="_Toc45889055"/>
      <w:bookmarkStart w:id="5" w:name="_Toc45888456"/>
      <w:bookmarkStart w:id="6" w:name="_Toc37251536"/>
      <w:bookmarkStart w:id="7" w:name="_Toc36107762"/>
      <w:bookmarkStart w:id="8" w:name="_Toc29803020"/>
      <w:bookmarkStart w:id="9" w:name="_Toc29802395"/>
      <w:bookmarkStart w:id="10" w:name="_Toc29801971"/>
      <w:bookmarkStart w:id="11" w:name="_Toc21344483"/>
      <w:r>
        <w:rPr>
          <w:rFonts w:eastAsia="MS Mincho"/>
        </w:rPr>
        <w:t>7.6A.3.3</w:t>
      </w:r>
      <w:r>
        <w:rPr>
          <w:rFonts w:eastAsia="MS Mincho"/>
        </w:rPr>
        <w:tab/>
        <w:t>Out-of-band blocking for Inter-band CA</w:t>
      </w:r>
      <w:bookmarkEnd w:id="4"/>
      <w:bookmarkEnd w:id="5"/>
      <w:bookmarkEnd w:id="6"/>
      <w:bookmarkEnd w:id="7"/>
      <w:bookmarkEnd w:id="8"/>
      <w:bookmarkEnd w:id="9"/>
      <w:bookmarkEnd w:id="10"/>
      <w:bookmarkEnd w:id="11"/>
    </w:p>
    <w:p w14:paraId="19EA5898" w14:textId="79FFB69C" w:rsidR="00BB679D" w:rsidRDefault="00BB679D" w:rsidP="00BB679D">
      <w:pPr>
        <w:rPr>
          <w:ins w:id="12" w:author="Qualcomm User" w:date="2020-07-25T11:57:00Z"/>
        </w:rPr>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620D67DF" w14:textId="53E2E37A" w:rsidR="00CC1099" w:rsidRDefault="00CC1099" w:rsidP="00BB679D">
      <w:pPr>
        <w:rPr>
          <w:rFonts w:eastAsia="MS Mincho"/>
        </w:rPr>
      </w:pPr>
      <w:ins w:id="13" w:author="Qualcomm User" w:date="2020-07-25T11:57:00Z">
        <w:r>
          <w:rPr>
            <w:rFonts w:eastAsia="MS Mincho"/>
          </w:rPr>
          <w:t xml:space="preserve">For inter-band carrier aggregation with component carriers in operating bands &lt; 2.7GHz including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r>
          <w:t>F</w:t>
        </w:r>
        <w:r>
          <w:rPr>
            <w:vertAlign w:val="subscript"/>
          </w:rPr>
          <w:t>DL_High(</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3*</w:t>
        </w:r>
      </w:ins>
      <w:ins w:id="14" w:author="Qualcomm User" w:date="2020-08-05T21:27:00Z">
        <w:r w:rsidR="00592DD5" w:rsidRPr="00592DD5">
          <w:rPr>
            <w:rFonts w:eastAsia="MS Mincho"/>
          </w:rPr>
          <w:t xml:space="preserve"> </w:t>
        </w:r>
        <w:r w:rsidR="00592DD5">
          <w:rPr>
            <w:rFonts w:eastAsia="MS Mincho"/>
          </w:rPr>
          <w:t>BW</w:t>
        </w:r>
        <w:r w:rsidR="00592DD5" w:rsidRPr="00636B97">
          <w:rPr>
            <w:rFonts w:eastAsia="MS Mincho"/>
            <w:vertAlign w:val="subscript"/>
          </w:rPr>
          <w:t>channel</w:t>
        </w:r>
      </w:ins>
      <w:ins w:id="15" w:author="Qualcomm User" w:date="2020-07-25T11:57:00Z">
        <w:r>
          <w:rPr>
            <w:rFonts w:eastAsia="MS Mincho"/>
          </w:rPr>
          <w:t xml:space="preserve"> ≤ f ≤ </w:t>
        </w:r>
        <w:r>
          <w:t>F</w:t>
        </w:r>
        <w:r>
          <w:rPr>
            <w:vertAlign w:val="subscript"/>
          </w:rPr>
          <w:t>DL_High(</w:t>
        </w:r>
        <w:r>
          <w:rPr>
            <w:i/>
            <w:vertAlign w:val="subscript"/>
          </w:rPr>
          <w:t>j</w:t>
        </w:r>
        <w:r>
          <w:rPr>
            <w:vertAlign w:val="subscript"/>
          </w:rPr>
          <w:t xml:space="preserve">) </w:t>
        </w:r>
        <w:r>
          <w:rPr>
            <w:rFonts w:eastAsia="MS Mincho"/>
          </w:rPr>
          <w:t>+ 3*</w:t>
        </w:r>
      </w:ins>
      <w:ins w:id="16" w:author="Qualcomm User" w:date="2020-08-05T21:27:00Z">
        <w:r w:rsidR="00592DD5" w:rsidRPr="00592DD5">
          <w:rPr>
            <w:rFonts w:eastAsia="MS Mincho"/>
          </w:rPr>
          <w:t xml:space="preserve"> </w:t>
        </w:r>
        <w:r w:rsidR="00592DD5">
          <w:rPr>
            <w:rFonts w:eastAsia="MS Mincho"/>
          </w:rPr>
          <w:t>BW</w:t>
        </w:r>
        <w:r w:rsidR="00592DD5" w:rsidRPr="00636B97">
          <w:rPr>
            <w:rFonts w:eastAsia="MS Mincho"/>
            <w:vertAlign w:val="subscript"/>
          </w:rPr>
          <w:t>channel</w:t>
        </w:r>
      </w:ins>
      <w:ins w:id="17" w:author="Qualcomm User" w:date="2020-07-25T11:57:00Z">
        <w:r>
          <w:rPr>
            <w:rFonts w:eastAsia="MS Mincho"/>
          </w:rPr>
          <w:t xml:space="preserve">, </w:t>
        </w:r>
        <w:r>
          <w:t xml:space="preserve">the appropriate adjacent channel selectivity and in-band blocking requirements in the respective subclauses 7.5 and 7.6.2 shall be applied for carrier </w:t>
        </w:r>
        <w:r>
          <w:rPr>
            <w:i/>
          </w:rPr>
          <w:t>j</w:t>
        </w:r>
        <w:r>
          <w:t>. F</w:t>
        </w:r>
        <w:r>
          <w:rPr>
            <w:vertAlign w:val="subscript"/>
          </w:rPr>
          <w:t>DL_Low(</w:t>
        </w:r>
        <w:r>
          <w:rPr>
            <w:i/>
            <w:vertAlign w:val="subscript"/>
          </w:rPr>
          <w:t>j</w:t>
        </w:r>
        <w:r>
          <w:rPr>
            <w:vertAlign w:val="subscript"/>
          </w:rPr>
          <w:t>)</w:t>
        </w:r>
        <w:r>
          <w:rPr>
            <w:rFonts w:eastAsia="MS Mincho"/>
            <w:vertAlign w:val="subscript"/>
          </w:rPr>
          <w:t xml:space="preserve"> </w:t>
        </w:r>
        <w:r>
          <w:rPr>
            <w:rFonts w:eastAsia="MS Mincho"/>
          </w:rPr>
          <w:t xml:space="preserve">and </w:t>
        </w:r>
        <w:r>
          <w:t>F</w:t>
        </w:r>
        <w:r>
          <w:rPr>
            <w:vertAlign w:val="subscript"/>
          </w:rPr>
          <w:t>DL_High(</w:t>
        </w:r>
        <w:r>
          <w:rPr>
            <w:i/>
            <w:vertAlign w:val="subscript"/>
          </w:rPr>
          <w:t>j</w:t>
        </w:r>
        <w:r>
          <w:rPr>
            <w:vertAlign w:val="subscript"/>
          </w:rPr>
          <w:t>)</w:t>
        </w:r>
        <w:r>
          <w:rPr>
            <w:rFonts w:eastAsia="MS Mincho"/>
            <w:vertAlign w:val="subscript"/>
          </w:rPr>
          <w:t xml:space="preserve"> </w:t>
        </w:r>
        <w:r>
          <w:rPr>
            <w:rFonts w:eastAsia="MS Mincho"/>
          </w:rPr>
          <w:t xml:space="preserve">denote the respective lower and upper frequency limits of the operating band containing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ins>
      <w:ins w:id="18" w:author="Qualcomm User" w:date="2020-08-05T21:27:00Z">
        <w:r w:rsidR="00592DD5">
          <w:rPr>
            <w:rFonts w:eastAsia="MS Mincho"/>
          </w:rPr>
          <w:t>BW</w:t>
        </w:r>
        <w:r w:rsidR="00592DD5" w:rsidRPr="00636B97">
          <w:rPr>
            <w:rFonts w:eastAsia="MS Mincho"/>
            <w:vertAlign w:val="subscript"/>
          </w:rPr>
          <w:t>channel</w:t>
        </w:r>
      </w:ins>
      <w:ins w:id="19" w:author="Qualcomm User" w:date="2020-07-25T11:57:00Z">
        <w:r>
          <w:rPr>
            <w:rFonts w:eastAsia="MS Mincho"/>
          </w:rPr>
          <w:t xml:space="preserve"> denotes the channel bandwidth of the wanted signal component carrier j. If CW interferer falls in a gap between </w:t>
        </w:r>
        <w:r>
          <w:t>F</w:t>
        </w:r>
        <w:r>
          <w:rPr>
            <w:vertAlign w:val="subscript"/>
          </w:rPr>
          <w:t>DL_High(</w:t>
        </w:r>
        <w:r>
          <w:rPr>
            <w:i/>
            <w:vertAlign w:val="subscript"/>
          </w:rPr>
          <w:t>j</w:t>
        </w:r>
        <w:r>
          <w:rPr>
            <w:vertAlign w:val="subscript"/>
          </w:rPr>
          <w:t xml:space="preserve">) </w:t>
        </w:r>
        <w:r>
          <w:rPr>
            <w:rFonts w:eastAsia="MS Mincho"/>
          </w:rPr>
          <w:t xml:space="preserve">and </w:t>
        </w:r>
        <w:r>
          <w:t>F</w:t>
        </w:r>
        <w:r>
          <w:rPr>
            <w:vertAlign w:val="subscript"/>
          </w:rPr>
          <w:t>DL_Low(</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ins>
    </w:p>
    <w:p w14:paraId="4E556DAC" w14:textId="77777777" w:rsidR="00BB679D" w:rsidRDefault="00BB679D" w:rsidP="00BB679D">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14:paraId="3E5D5100" w14:textId="77777777" w:rsidR="00BB679D" w:rsidRDefault="00BB679D" w:rsidP="00BB679D">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14:paraId="1CF94DF6" w14:textId="77777777" w:rsidR="00BB679D" w:rsidRDefault="00BB679D" w:rsidP="00BB679D">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23308B7E" w14:textId="77777777" w:rsidR="00BB679D" w:rsidRDefault="00BB679D" w:rsidP="00BB679D">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B679D" w14:paraId="56EA5910"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864324C" w14:textId="77777777" w:rsidR="00BB679D" w:rsidRDefault="00BB679D">
            <w:pPr>
              <w:pStyle w:val="TAH"/>
              <w:rPr>
                <w:lang w:eastAsia="zh-CN"/>
              </w:rPr>
            </w:pPr>
            <w:r>
              <w:rPr>
                <w:lang w:eastAsia="en-GB"/>
              </w:rPr>
              <w:t>CA band combination</w:t>
            </w:r>
          </w:p>
        </w:tc>
      </w:tr>
      <w:tr w:rsidR="00BB679D" w14:paraId="5B3D4228"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7679147" w14:textId="77777777" w:rsidR="00BB679D" w:rsidRDefault="00BB679D">
            <w:pPr>
              <w:pStyle w:val="TAC"/>
              <w:rPr>
                <w:lang w:eastAsia="en-GB"/>
              </w:rPr>
            </w:pPr>
            <w:r>
              <w:rPr>
                <w:lang w:val="en-US" w:eastAsia="zh-CN"/>
              </w:rPr>
              <w:t>CA_n5-n79</w:t>
            </w:r>
          </w:p>
        </w:tc>
      </w:tr>
      <w:tr w:rsidR="00BB679D" w14:paraId="5C93619B"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81FF1FD" w14:textId="77777777" w:rsidR="00BB679D" w:rsidRDefault="00BB679D">
            <w:pPr>
              <w:pStyle w:val="TAC"/>
              <w:rPr>
                <w:lang w:eastAsia="en-GB"/>
              </w:rPr>
            </w:pPr>
            <w:r>
              <w:rPr>
                <w:lang w:eastAsia="en-GB"/>
              </w:rPr>
              <w:t>CA_n8-n78</w:t>
            </w:r>
          </w:p>
        </w:tc>
      </w:tr>
      <w:tr w:rsidR="00BB679D" w14:paraId="333FC506"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D146A53" w14:textId="77777777" w:rsidR="00BB679D" w:rsidRDefault="00BB679D">
            <w:pPr>
              <w:pStyle w:val="TAC"/>
              <w:rPr>
                <w:lang w:eastAsia="en-GB"/>
              </w:rPr>
            </w:pPr>
            <w:r>
              <w:rPr>
                <w:lang w:eastAsia="en-GB"/>
              </w:rPr>
              <w:t>CA_n8-n79</w:t>
            </w:r>
          </w:p>
        </w:tc>
      </w:tr>
      <w:tr w:rsidR="00BB679D" w14:paraId="4573C579"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0764CF9" w14:textId="77777777" w:rsidR="00BB679D" w:rsidRDefault="00BB679D">
            <w:pPr>
              <w:pStyle w:val="TAC"/>
              <w:rPr>
                <w:lang w:eastAsia="en-GB"/>
              </w:rPr>
            </w:pPr>
            <w:r>
              <w:rPr>
                <w:lang w:val="en-US" w:eastAsia="zh-CN"/>
              </w:rPr>
              <w:t>CA_n20-n78</w:t>
            </w:r>
          </w:p>
        </w:tc>
      </w:tr>
      <w:tr w:rsidR="00BB679D" w14:paraId="08CECDC1"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56B84B5" w14:textId="77777777" w:rsidR="00BB679D" w:rsidRDefault="00BB679D">
            <w:pPr>
              <w:pStyle w:val="TAC"/>
              <w:rPr>
                <w:lang w:eastAsia="en-GB"/>
              </w:rPr>
            </w:pPr>
            <w:r>
              <w:rPr>
                <w:lang w:eastAsia="en-GB"/>
              </w:rPr>
              <w:t>CA_n28-n77</w:t>
            </w:r>
          </w:p>
        </w:tc>
      </w:tr>
      <w:tr w:rsidR="00BB679D" w14:paraId="2F3885B0"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0B808DC" w14:textId="77777777" w:rsidR="00BB679D" w:rsidRDefault="00BB679D">
            <w:pPr>
              <w:pStyle w:val="TAC"/>
              <w:rPr>
                <w:lang w:eastAsia="en-GB"/>
              </w:rPr>
            </w:pPr>
            <w:r>
              <w:rPr>
                <w:lang w:eastAsia="en-GB"/>
              </w:rPr>
              <w:t>CA_n78-n92</w:t>
            </w:r>
          </w:p>
        </w:tc>
      </w:tr>
    </w:tbl>
    <w:p w14:paraId="266D7965" w14:textId="77777777" w:rsidR="00BB679D" w:rsidRDefault="00BB679D" w:rsidP="00BB679D"/>
    <w:p w14:paraId="50D6EF78" w14:textId="77777777" w:rsidR="00BB679D" w:rsidRDefault="00BB679D" w:rsidP="00BB679D">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B679D" w14:paraId="50D94907" w14:textId="77777777" w:rsidTr="00BB679D">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0ADB3A2" w14:textId="77777777" w:rsidR="00BB679D" w:rsidRDefault="00BB679D">
            <w:pPr>
              <w:pStyle w:val="TAH"/>
              <w:rPr>
                <w:lang w:eastAsia="en-GB"/>
              </w:rPr>
            </w:pPr>
            <w:r>
              <w:br w:type="page"/>
            </w:r>
            <w:r>
              <w:rPr>
                <w:lang w:eastAsia="en-GB"/>
              </w:rPr>
              <w:t>Parameter</w:t>
            </w:r>
          </w:p>
        </w:tc>
        <w:tc>
          <w:tcPr>
            <w:tcW w:w="2261" w:type="dxa"/>
            <w:tcBorders>
              <w:top w:val="single" w:sz="4" w:space="0" w:color="auto"/>
              <w:left w:val="single" w:sz="4" w:space="0" w:color="auto"/>
              <w:bottom w:val="single" w:sz="4" w:space="0" w:color="auto"/>
              <w:right w:val="single" w:sz="4" w:space="0" w:color="auto"/>
            </w:tcBorders>
            <w:hideMark/>
          </w:tcPr>
          <w:p w14:paraId="02D138B4" w14:textId="77777777" w:rsidR="00BB679D" w:rsidRDefault="00BB679D">
            <w:pPr>
              <w:pStyle w:val="TAH"/>
              <w:rPr>
                <w:lang w:eastAsia="en-GB"/>
              </w:rPr>
            </w:pPr>
            <w:r>
              <w:rPr>
                <w:lang w:eastAsia="en-GB"/>
              </w:rPr>
              <w:t>Unit</w:t>
            </w:r>
          </w:p>
        </w:tc>
        <w:tc>
          <w:tcPr>
            <w:tcW w:w="2749" w:type="dxa"/>
            <w:tcBorders>
              <w:top w:val="single" w:sz="4" w:space="0" w:color="auto"/>
              <w:left w:val="single" w:sz="4" w:space="0" w:color="auto"/>
              <w:bottom w:val="single" w:sz="4" w:space="0" w:color="auto"/>
              <w:right w:val="single" w:sz="4" w:space="0" w:color="auto"/>
            </w:tcBorders>
            <w:hideMark/>
          </w:tcPr>
          <w:p w14:paraId="2F79059E" w14:textId="77777777" w:rsidR="00BB679D" w:rsidRDefault="00BB679D">
            <w:pPr>
              <w:pStyle w:val="TAH"/>
              <w:rPr>
                <w:lang w:eastAsia="en-GB"/>
              </w:rPr>
            </w:pPr>
            <w:r>
              <w:rPr>
                <w:lang w:eastAsia="en-GB"/>
              </w:rPr>
              <w:t>Level</w:t>
            </w:r>
          </w:p>
        </w:tc>
      </w:tr>
      <w:tr w:rsidR="00BB679D" w14:paraId="255F49D8" w14:textId="77777777" w:rsidTr="00BB679D">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AD37F17" w14:textId="77777777" w:rsidR="00BB679D" w:rsidRDefault="00BB679D">
            <w:pPr>
              <w:pStyle w:val="TAL"/>
              <w:rPr>
                <w:rFonts w:cs="Arial"/>
                <w:vertAlign w:val="subscript"/>
                <w:lang w:eastAsia="en-GB"/>
              </w:rPr>
            </w:pPr>
            <w:r>
              <w:rPr>
                <w:rFonts w:cs="Arial"/>
                <w:lang w:eastAsia="en-GB"/>
              </w:rPr>
              <w:t>P</w:t>
            </w:r>
            <w:r>
              <w:rPr>
                <w:rFonts w:cs="Arial"/>
                <w:vertAlign w:val="subscript"/>
                <w:lang w:eastAsia="en-GB"/>
              </w:rPr>
              <w:t xml:space="preserve">Interferer </w:t>
            </w:r>
            <w:r>
              <w:rPr>
                <w:rFonts w:cs="Arial"/>
                <w:lang w:eastAsia="en-GB"/>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EBF5E42" w14:textId="77777777" w:rsidR="00BB679D" w:rsidRDefault="00BB679D">
            <w:pPr>
              <w:pStyle w:val="TAC"/>
              <w:rPr>
                <w:rFonts w:cs="Arial"/>
                <w:lang w:eastAsia="en-GB"/>
              </w:rPr>
            </w:pPr>
            <w:r>
              <w:rPr>
                <w:rFonts w:cs="Arial"/>
                <w:lang w:eastAsia="en-GB"/>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E900010" w14:textId="77777777" w:rsidR="00BB679D" w:rsidRDefault="00BB679D">
            <w:pPr>
              <w:pStyle w:val="TAC"/>
              <w:rPr>
                <w:rFonts w:cs="Arial"/>
                <w:lang w:eastAsia="en-GB"/>
              </w:rPr>
            </w:pPr>
            <w:r>
              <w:rPr>
                <w:rFonts w:cs="Arial"/>
                <w:lang w:eastAsia="en-GB"/>
              </w:rPr>
              <w:t>-44</w:t>
            </w:r>
            <w:r>
              <w:rPr>
                <w:rFonts w:cs="Arial"/>
                <w:vertAlign w:val="superscript"/>
                <w:lang w:eastAsia="en-GB"/>
              </w:rPr>
              <w:t>1</w:t>
            </w:r>
          </w:p>
        </w:tc>
      </w:tr>
      <w:tr w:rsidR="00BB679D" w14:paraId="559FF2FF" w14:textId="77777777" w:rsidTr="00BB679D">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3A0A9D3" w14:textId="77777777" w:rsidR="00BB679D" w:rsidRDefault="00BB679D">
            <w:pPr>
              <w:pStyle w:val="TAN"/>
              <w:rPr>
                <w:lang w:eastAsia="en-GB"/>
              </w:rPr>
            </w:pPr>
            <w:r>
              <w:rPr>
                <w:lang w:eastAsia="en-GB"/>
              </w:rPr>
              <w:t>NOTE 1: The requirement applies when</w:t>
            </w:r>
            <w:r>
              <w:rPr>
                <w:lang w:eastAsia="en-GB"/>
              </w:rPr>
              <w:fldChar w:fldCharType="begin"/>
            </w:r>
            <w:r>
              <w:rPr>
                <w:lang w:eastAsia="en-GB"/>
              </w:rPr>
              <w:instrText xml:space="preserve"> QUOTE </w:instrText>
            </w:r>
            <w:r>
              <w:rPr>
                <w:rFonts w:ascii="Cambria Math" w:hAnsi="Cambria Math"/>
                <w:lang w:eastAsia="en-GB"/>
              </w:rPr>
              <w:instrText>|fInterferer- fSUL- fDL|≤(BWSUL+ BWDL)/2</w:instrText>
            </w:r>
            <w:r>
              <w:rPr>
                <w:lang w:eastAsia="en-GB"/>
              </w:rPr>
              <w:instrText xml:space="preserve"> </w:instrText>
            </w:r>
            <w:r>
              <w:rPr>
                <w:lang w:eastAsia="en-GB"/>
              </w:rPr>
              <w:fldChar w:fldCharType="separate"/>
            </w:r>
            <w:r>
              <w:rPr>
                <w:position w:val="-8"/>
                <w:lang w:eastAsia="en-GB"/>
              </w:rPr>
              <w:t xml:space="preserve"> </w:t>
            </w:r>
            <w:r>
              <w:rPr>
                <w:lang w:eastAsia="en-GB"/>
              </w:rPr>
              <w:fldChar w:fldCharType="end"/>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f</m:t>
                      </m:r>
                    </m:e>
                    <m:sub>
                      <m:r>
                        <w:rPr>
                          <w:rFonts w:ascii="Cambria Math" w:hAnsi="Cambria Math"/>
                          <w:lang w:eastAsia="en-GB"/>
                        </w:rPr>
                        <m:t>Interferer</m:t>
                      </m:r>
                    </m:sub>
                  </m:sSub>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HB</m:t>
                      </m:r>
                    </m:sup>
                  </m:sSubSup>
                </m:e>
              </m:d>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DL</m:t>
                  </m:r>
                </m:sub>
                <m:sup>
                  <m:r>
                    <w:rPr>
                      <w:rFonts w:ascii="Cambria Math" w:hAnsi="Cambria Math"/>
                      <w:lang w:eastAsia="en-GB"/>
                    </w:rPr>
                    <m:t>HB</m:t>
                  </m:r>
                </m:sup>
              </m:sSubSup>
              <m:r>
                <m:rPr>
                  <m:sty m:val="p"/>
                </m:rPr>
                <w:rPr>
                  <w:rFonts w:ascii="Cambria Math" w:hAnsi="Cambria Math"/>
                  <w:lang w:eastAsia="en-GB"/>
                </w:rPr>
                <m:t>)/2</m:t>
              </m:r>
            </m:oMath>
            <w:r>
              <w:rPr>
                <w:lang w:eastAsia="en-GB"/>
              </w:rPr>
              <w:t xml:space="preserve">, where </w:t>
            </w:r>
            <m:oMath>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oMath>
            <w:r>
              <w:rPr>
                <w:lang w:eastAsia="en-GB"/>
              </w:rPr>
              <w:t xml:space="preserve"> and </w:t>
            </w:r>
            <m:oMath>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HB</m:t>
                  </m:r>
                </m:sup>
              </m:sSubSup>
            </m:oMath>
            <w:r>
              <w:rPr>
                <w:lang w:eastAsia="en-GB"/>
              </w:rPr>
              <w:t xml:space="preserve"> are the carrier frequencies for lower frequency band UL and higher frequency band DL, respectively. </w:t>
            </w:r>
            <m:oMath>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oMath>
            <w:r>
              <w:rPr>
                <w:lang w:eastAsia="en-GB"/>
              </w:rPr>
              <w:t xml:space="preserve">and </w:t>
            </w:r>
            <m:oMath>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DL</m:t>
                  </m:r>
                </m:sub>
                <m:sup>
                  <m:r>
                    <w:rPr>
                      <w:rFonts w:ascii="Cambria Math" w:hAnsi="Cambria Math"/>
                      <w:lang w:eastAsia="en-GB"/>
                    </w:rPr>
                    <m:t>HB</m:t>
                  </m:r>
                </m:sup>
              </m:sSubSup>
              <m:r>
                <m:rPr>
                  <m:sty m:val="p"/>
                </m:rPr>
                <w:rPr>
                  <w:rFonts w:ascii="Cambria Math" w:hAnsi="Cambria Math"/>
                  <w:lang w:eastAsia="en-GB"/>
                </w:rPr>
                <m:t xml:space="preserve"> </m:t>
              </m:r>
            </m:oMath>
            <w:r>
              <w:rPr>
                <w:lang w:eastAsia="en-GB"/>
              </w:rPr>
              <w:t>are the channel bandwidths configured for lower frequency band UL carrier and higher frequency band DL carrier in MHz, respectively.</w:t>
            </w:r>
          </w:p>
        </w:tc>
      </w:tr>
    </w:tbl>
    <w:p w14:paraId="7439F753" w14:textId="77777777" w:rsidR="00BB679D" w:rsidRDefault="00BB679D" w:rsidP="00BB679D"/>
    <w:p w14:paraId="6ED2316C" w14:textId="77777777" w:rsidR="00BB679D" w:rsidRDefault="00BB679D" w:rsidP="00BB679D">
      <w:r>
        <w:t>For all interferer frequency ranges specified in clause 7.6.3 a maximum of</w:t>
      </w:r>
    </w:p>
    <w:p w14:paraId="10BEE942" w14:textId="77777777" w:rsidR="00BB679D" w:rsidRDefault="00BB679D" w:rsidP="00BB679D">
      <w:pPr>
        <w:pStyle w:val="EQ"/>
        <w:jc w:val="center"/>
      </w:pPr>
      <w:r>
        <w:t xml:space="preserve"> </w:t>
      </w:r>
      <w:r>
        <w:rPr>
          <w:rFonts w:eastAsia="Osaka"/>
        </w:rPr>
        <w:object w:dxaOrig="3750" w:dyaOrig="285" w14:anchorId="566C7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5pt;height:14.25pt;mso-width-percent:0;mso-height-percent:0;mso-width-percent:0;mso-height-percent:0" o:ole="">
            <v:imagedata r:id="rId16" o:title=""/>
          </v:shape>
          <o:OLEObject Type="Embed" ProgID="Equation.3" ShapeID="_x0000_i1025" DrawAspect="Content" ObjectID="_1661239707" r:id="rId17"/>
        </w:object>
      </w:r>
    </w:p>
    <w:p w14:paraId="0707478C" w14:textId="77777777" w:rsidR="00BB679D" w:rsidRDefault="00BB679D" w:rsidP="00BB679D">
      <w:r>
        <w:t xml:space="preserve">exceptions are allowed for spurious response frequencies in each assigned frequency channel when measured using a step size of   </w:t>
      </w:r>
      <w:r>
        <w:rPr>
          <w:rFonts w:eastAsia="MS Mincho"/>
          <w:position w:val="-10"/>
        </w:rPr>
        <w:object w:dxaOrig="1920" w:dyaOrig="315" w14:anchorId="19E89E24">
          <v:shape id="对象 52" o:spid="_x0000_i1026" type="#_x0000_t75" style="width:96pt;height:15.75pt;mso-wrap-style:square;mso-position-horizontal-relative:page;mso-position-vertical-relative:page" o:ole="">
            <v:imagedata r:id="rId18" o:title=""/>
          </v:shape>
          <o:OLEObject Type="Embed" ProgID="Equation.3" ShapeID="对象 52" DrawAspect="Content" ObjectID="_1661239708" r:id="rId19">
            <o:FieldCodes>\* MERGEFORMAT</o:FieldCodes>
          </o:OLEObject>
        </w:object>
      </w:r>
      <w:r>
        <w:t xml:space="preserve">MHz with </w:t>
      </w:r>
      <w:r>
        <w:rPr>
          <w:i/>
        </w:rPr>
        <w:t>N</w:t>
      </w:r>
      <w:r>
        <w:rPr>
          <w:i/>
          <w:vertAlign w:val="subscript"/>
        </w:rPr>
        <w:t>RB</w:t>
      </w:r>
      <w:r>
        <w:t xml:space="preserve"> the number of resource blocks in the downlink transmission </w:t>
      </w:r>
      <w:r>
        <w:lastRenderedPageBreak/>
        <w:t xml:space="preserve">bandwidth configuration, </w:t>
      </w:r>
      <w:r>
        <w:rPr>
          <w:rFonts w:eastAsia="SimSun"/>
          <w:lang w:val="en-US" w:eastAsia="zh-CN"/>
        </w:rPr>
        <w:t>BW</w:t>
      </w:r>
      <w:r>
        <w:rPr>
          <w:rFonts w:eastAsia="SimSun"/>
          <w:vertAlign w:val="subscript"/>
          <w:lang w:val="en-US" w:eastAsia="zh-CN"/>
        </w:rPr>
        <w:t>Channel</w:t>
      </w:r>
      <w:r>
        <w:t xml:space="preserve"> the bandwidth of the frequency channel in MHz and n = 1, 2, 3 for SCS = 15, 30, 60 kHz, respectively. For these exceptions, the requirements in clause 7.7 apply.</w:t>
      </w:r>
    </w:p>
    <w:p w14:paraId="1C782F1C" w14:textId="21FAB354" w:rsidR="00663D7F" w:rsidRDefault="00BB679D" w:rsidP="009519A9">
      <w:r>
        <w:t>The throughput of each carrier shall be ≥ 95% of the maximum throughput of the reference measurement channels as specified in Annexes A.2.2, A.2.3, A.3.2, and A.3.3 (with one sided dynamic OCNG Pattern OP.1 FDD/TDD for the DL-signal as described in Annex A.5.1.1/A.5.2.1).</w:t>
      </w: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C3364" w14:textId="77777777" w:rsidR="002B0F78" w:rsidRDefault="002B0F78">
      <w:r>
        <w:separator/>
      </w:r>
    </w:p>
  </w:endnote>
  <w:endnote w:type="continuationSeparator" w:id="0">
    <w:p w14:paraId="3F930C2E" w14:textId="77777777" w:rsidR="002B0F78" w:rsidRDefault="002B0F78">
      <w:r>
        <w:continuationSeparator/>
      </w:r>
    </w:p>
  </w:endnote>
  <w:endnote w:type="continuationNotice" w:id="1">
    <w:p w14:paraId="4E22E146" w14:textId="77777777" w:rsidR="002B0F78" w:rsidRDefault="002B0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86F96" w14:textId="77777777" w:rsidR="002B0F78" w:rsidRDefault="002B0F78">
      <w:r>
        <w:separator/>
      </w:r>
    </w:p>
  </w:footnote>
  <w:footnote w:type="continuationSeparator" w:id="0">
    <w:p w14:paraId="51E4478D" w14:textId="77777777" w:rsidR="002B0F78" w:rsidRDefault="002B0F78">
      <w:r>
        <w:continuationSeparator/>
      </w:r>
    </w:p>
  </w:footnote>
  <w:footnote w:type="continuationNotice" w:id="1">
    <w:p w14:paraId="4F5310D2" w14:textId="77777777" w:rsidR="002B0F78" w:rsidRDefault="002B0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0F78"/>
    <w:rsid w:val="002B1751"/>
    <w:rsid w:val="002B1BF4"/>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7B7C"/>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2DD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3E30"/>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AF7916"/>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1E78"/>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B5435-B4F7-4C8E-9608-90F828E9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43</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24</cp:revision>
  <dcterms:created xsi:type="dcterms:W3CDTF">2020-04-01T16:07:00Z</dcterms:created>
  <dcterms:modified xsi:type="dcterms:W3CDTF">2020-09-10T08:42:00Z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