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Meeting #85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RP-192334</w:t>
      </w:r>
      <w:bookmarkStart w:id="0" w:name="_GoBack"/>
      <w:bookmarkEnd w:id="0"/>
    </w:p>
    <w:p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Newport Beach, USA, 16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20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September, 2019</w:t>
      </w:r>
      <w:r>
        <w:rPr>
          <w:rFonts w:ascii="Arial" w:hAnsi="Arial" w:cs="Arial"/>
          <w:b/>
          <w:bCs/>
          <w:sz w:val="22"/>
        </w:rPr>
        <w:tab/>
      </w:r>
    </w:p>
    <w:p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sz w:val="22"/>
        </w:rPr>
        <w:tab/>
      </w:r>
      <w:bookmarkStart w:id="1" w:name="Source"/>
      <w:bookmarkEnd w:id="1"/>
      <w:r>
        <w:rPr>
          <w:rFonts w:ascii="Arial" w:hAnsi="Arial"/>
          <w:sz w:val="22"/>
        </w:rPr>
        <w:t>8.2.4</w:t>
      </w:r>
    </w:p>
    <w:p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sz w:val="22"/>
        </w:rPr>
        <w:t xml:space="preserve">Nokia, Nokia Shanghai Bell </w:t>
      </w:r>
    </w:p>
    <w:p>
      <w:pPr>
        <w:spacing w:after="120"/>
        <w:ind w:left="1988" w:hanging="1988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  <w:sz w:val="22"/>
          <w:szCs w:val="22"/>
        </w:rPr>
        <w:t>Scope of Rel-17 NR</w:t>
      </w:r>
      <w:r>
        <w:rPr>
          <w:rFonts w:ascii="Arial" w:hAnsi="Arial"/>
          <w:sz w:val="22"/>
        </w:rPr>
        <w:t xml:space="preserve">-U Enhancements email discussion </w:t>
      </w:r>
      <w:r>
        <w:rPr>
          <w:rFonts w:ascii="Arial" w:hAnsi="Arial"/>
          <w:sz w:val="22"/>
          <w:lang w:val="en-US"/>
        </w:rPr>
        <w:t>[Unlicensed_enh]</w:t>
      </w:r>
    </w:p>
    <w:p>
      <w:pPr>
        <w:spacing w:after="120"/>
        <w:ind w:left="1988" w:hanging="1988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sz w:val="22"/>
        </w:rPr>
        <w:tab/>
      </w:r>
      <w:bookmarkStart w:id="2" w:name="DocumentFor"/>
      <w:bookmarkEnd w:id="2"/>
      <w:r>
        <w:rPr>
          <w:rFonts w:ascii="Arial" w:hAnsi="Arial"/>
          <w:sz w:val="22"/>
        </w:rPr>
        <w:t>Discussion/Decision</w:t>
      </w:r>
    </w:p>
    <w:p>
      <w:pPr>
        <w:pStyle w:val="Heading1"/>
        <w:rPr>
          <w:lang w:eastAsia="zh-CN"/>
        </w:rPr>
      </w:pPr>
      <w:r>
        <w:t>Introduction</w:t>
      </w:r>
      <w:r>
        <w:rPr>
          <w:rFonts w:eastAsia="MS Mincho"/>
          <w:lang w:val="en-US"/>
        </w:rPr>
        <w:t xml:space="preserve">  </w:t>
      </w:r>
    </w:p>
    <w:p>
      <w:pPr>
        <w:rPr>
          <w:lang w:val="en-US"/>
        </w:rPr>
      </w:pPr>
      <w:r>
        <w:rPr>
          <w:lang w:val="en-US"/>
        </w:rPr>
        <w:t>As endorsed in [1], an email discussion is to take place after RAN#85 to consider the possible scope of any NR-Unlicensed enhancements, with the following provisos:</w:t>
      </w:r>
    </w:p>
    <w:p>
      <w:pPr>
        <w:numPr>
          <w:ilvl w:val="1"/>
          <w:numId w:val="25"/>
        </w:numPr>
      </w:pPr>
      <w:r>
        <w:rPr>
          <w:lang w:val="en-US"/>
        </w:rPr>
        <w:t>Generic unlicensed operation enhancements not covered by any other item are addressed here</w:t>
      </w:r>
    </w:p>
    <w:p>
      <w:pPr>
        <w:numPr>
          <w:ilvl w:val="1"/>
          <w:numId w:val="25"/>
        </w:numPr>
      </w:pPr>
      <w:r>
        <w:rPr>
          <w:lang w:val="en-US"/>
        </w:rPr>
        <w:t>Unlicensed aspects specific to other items will be addressed by those items</w:t>
      </w:r>
    </w:p>
    <w:p>
      <w:pPr>
        <w:rPr>
          <w:lang w:val="en-US"/>
        </w:rPr>
      </w:pPr>
      <w:r>
        <w:rPr>
          <w:lang w:val="en-US"/>
        </w:rPr>
        <w:t xml:space="preserve">This document provides the template for this email discussion. </w:t>
      </w:r>
    </w:p>
    <w:p>
      <w:pPr>
        <w:pStyle w:val="Heading1"/>
        <w:rPr>
          <w:rFonts w:cs="Arial"/>
        </w:rPr>
      </w:pPr>
      <w:r>
        <w:t>Discussion steps</w:t>
      </w:r>
    </w:p>
    <w:p>
      <w:pPr>
        <w:pStyle w:val="Heading2"/>
      </w:pPr>
      <w:r>
        <w:t>Step 1</w:t>
      </w:r>
    </w:p>
    <w:p>
      <w:pPr>
        <w:rPr>
          <w:lang w:val="en-US"/>
        </w:rPr>
      </w:pPr>
      <w:r>
        <w:rPr>
          <w:lang w:val="en-US"/>
        </w:rPr>
        <w:t>Companies are invited to propose which aspects of potential enhancements for NR-U operation, excluding those that relate to beyond 52.6 GHz</w:t>
      </w:r>
      <w:r>
        <w:rPr>
          <w:rStyle w:val="FootnoteReference"/>
          <w:lang w:val="en-US"/>
        </w:rPr>
        <w:footnoteReference w:id="1"/>
      </w:r>
      <w:r>
        <w:rPr>
          <w:lang w:val="en-US"/>
        </w:rPr>
        <w:t>.</w:t>
      </w:r>
    </w:p>
    <w:p>
      <w:pPr>
        <w:rPr>
          <w:lang w:val="en-US"/>
        </w:rPr>
      </w:pPr>
      <w:r>
        <w:rPr>
          <w:lang w:val="en-US"/>
        </w:rPr>
        <w:t>Some starting points could include (but are not limited to) those that are deprioritised from Rel-16 (see [2]).</w:t>
      </w:r>
    </w:p>
    <w:p>
      <w:pPr>
        <w:rPr>
          <w:lang w:val="en-US"/>
        </w:rPr>
      </w:pPr>
    </w:p>
    <w:p>
      <w:pPr>
        <w:pStyle w:val="Heading2"/>
      </w:pPr>
      <w:r>
        <w:t>Step 2</w:t>
      </w:r>
    </w:p>
    <w:p>
      <w:pPr>
        <w:rPr>
          <w:lang w:val="en-US"/>
        </w:rPr>
      </w:pPr>
      <w:r>
        <w:rPr>
          <w:lang w:val="en-US"/>
        </w:rPr>
        <w:t xml:space="preserve">When the email discussion on Beyond 52.6 GHz has converged regarding the Rel-17study/work scope for waveforms, the scope of channel access study/work for NR-U in the 60 GHz band can be discussed.  </w:t>
      </w:r>
    </w:p>
    <w:p>
      <w:pPr>
        <w:rPr>
          <w:lang w:val="en-US"/>
        </w:rPr>
      </w:pPr>
    </w:p>
    <w:p>
      <w:pPr>
        <w:pStyle w:val="Heading1"/>
      </w:pPr>
      <w:r>
        <w:t>Company inputs: Step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0"/>
        <w:gridCol w:w="5461"/>
        <w:gridCol w:w="2471"/>
      </w:tblGrid>
      <w:tr>
        <w:tc>
          <w:tcPr>
            <w:tcW w:w="1480" w:type="dxa"/>
          </w:tcPr>
          <w:p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5461" w:type="dxa"/>
          </w:tcPr>
          <w:p>
            <w:pPr>
              <w:rPr>
                <w:b/>
              </w:rPr>
            </w:pPr>
            <w:r>
              <w:rPr>
                <w:b/>
              </w:rPr>
              <w:t>Proposed enhancement (one per row)</w:t>
            </w:r>
          </w:p>
        </w:tc>
        <w:tc>
          <w:tcPr>
            <w:tcW w:w="2471" w:type="dxa"/>
          </w:tcPr>
          <w:p>
            <w:pPr>
              <w:rPr>
                <w:b/>
              </w:rPr>
            </w:pPr>
            <w:r>
              <w:rPr>
                <w:b/>
              </w:rPr>
              <w:t>Priority</w:t>
            </w:r>
          </w:p>
        </w:tc>
      </w:tr>
      <w:tr>
        <w:tc>
          <w:tcPr>
            <w:tcW w:w="1480" w:type="dxa"/>
          </w:tcPr>
          <w:p/>
        </w:tc>
        <w:tc>
          <w:tcPr>
            <w:tcW w:w="5461" w:type="dxa"/>
          </w:tcPr>
          <w:p/>
        </w:tc>
        <w:tc>
          <w:tcPr>
            <w:tcW w:w="2471" w:type="dxa"/>
          </w:tcPr>
          <w:p/>
        </w:tc>
      </w:tr>
      <w:tr>
        <w:tc>
          <w:tcPr>
            <w:tcW w:w="1480" w:type="dxa"/>
          </w:tcPr>
          <w:p/>
        </w:tc>
        <w:tc>
          <w:tcPr>
            <w:tcW w:w="5461" w:type="dxa"/>
          </w:tcPr>
          <w:p/>
        </w:tc>
        <w:tc>
          <w:tcPr>
            <w:tcW w:w="2471" w:type="dxa"/>
          </w:tcPr>
          <w:p/>
        </w:tc>
      </w:tr>
      <w:tr>
        <w:tc>
          <w:tcPr>
            <w:tcW w:w="1480" w:type="dxa"/>
          </w:tcPr>
          <w:p/>
        </w:tc>
        <w:tc>
          <w:tcPr>
            <w:tcW w:w="5461" w:type="dxa"/>
          </w:tcPr>
          <w:p/>
        </w:tc>
        <w:tc>
          <w:tcPr>
            <w:tcW w:w="2471" w:type="dxa"/>
          </w:tcPr>
          <w:p/>
        </w:tc>
      </w:tr>
    </w:tbl>
    <w:p/>
    <w:p>
      <w:pPr>
        <w:rPr>
          <w:lang w:val="en-US"/>
        </w:rPr>
      </w:pPr>
    </w:p>
    <w:p>
      <w:pPr>
        <w:pStyle w:val="Heading1"/>
        <w:numPr>
          <w:ilvl w:val="0"/>
          <w:numId w:val="0"/>
        </w:numPr>
        <w:ind w:left="432" w:hanging="432"/>
      </w:pPr>
      <w:r>
        <w:t xml:space="preserve">References </w:t>
      </w:r>
    </w:p>
    <w:p>
      <w:pPr>
        <w:ind w:left="432" w:hanging="432"/>
        <w:textAlignment w:val="auto"/>
      </w:pPr>
      <w:r>
        <w:t>[1]</w:t>
      </w:r>
      <w:r>
        <w:tab/>
        <w:t>RP-191551    Preparing for Rel-17</w:t>
      </w:r>
      <w:r>
        <w:tab/>
        <w:t>RAN Chairman</w:t>
      </w:r>
    </w:p>
    <w:p>
      <w:pPr>
        <w:ind w:left="432" w:hanging="432"/>
        <w:textAlignment w:val="auto"/>
      </w:pPr>
      <w:r>
        <w:t>[2]</w:t>
      </w:r>
      <w:r>
        <w:tab/>
        <w:t>RP-191581    Guidance on essential functionality for NR-U</w:t>
      </w:r>
      <w:r>
        <w:tab/>
        <w:t>Qualcomm</w:t>
      </w:r>
    </w:p>
    <w:p>
      <w:pPr>
        <w:ind w:left="432" w:hanging="432"/>
        <w:textAlignment w:val="auto"/>
      </w:pPr>
      <w:r>
        <w:t>[3]  RP-191914    Summary of Rel-17 email discussion on NR above 52.6GHz</w:t>
      </w:r>
      <w:r>
        <w:tab/>
        <w:t>Intel</w:t>
      </w:r>
    </w:p>
    <w:p>
      <w:pPr>
        <w:ind w:left="432" w:hanging="432"/>
        <w:textAlignment w:val="auto"/>
      </w:pPr>
    </w:p>
    <w:p>
      <w:pPr>
        <w:ind w:left="432" w:hanging="432"/>
        <w:textAlignment w:val="auto"/>
      </w:pPr>
    </w:p>
    <w:p>
      <w:pPr>
        <w:ind w:left="426" w:hanging="426"/>
        <w:textAlignment w:val="auto"/>
      </w:pPr>
    </w:p>
    <w:sectPr>
      <w:headerReference w:type="even" r:id="rId14"/>
      <w:footerReference w:type="default" r:id="rId15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The email discussion on Beyond 52.6 GHz needs to make progress first, in order to understand first what we should aim to achieve in Rel-17 for beyond 52.6 GHz.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/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C3E25"/>
    <w:multiLevelType w:val="hybridMultilevel"/>
    <w:tmpl w:val="C8ACEFB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493CEA"/>
    <w:multiLevelType w:val="multilevel"/>
    <w:tmpl w:val="1D5E0EF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AA2074"/>
    <w:multiLevelType w:val="hybridMultilevel"/>
    <w:tmpl w:val="6A281E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C2106"/>
    <w:multiLevelType w:val="hybridMultilevel"/>
    <w:tmpl w:val="E86A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E248C5"/>
    <w:multiLevelType w:val="hybridMultilevel"/>
    <w:tmpl w:val="76D2DCC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5327B7"/>
    <w:multiLevelType w:val="hybridMultilevel"/>
    <w:tmpl w:val="A6720772"/>
    <w:lvl w:ilvl="0" w:tplc="09289F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6699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6F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D6C5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DAC6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BEB1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6ADC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8E6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66F7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117A3"/>
    <w:multiLevelType w:val="hybridMultilevel"/>
    <w:tmpl w:val="155E1D46"/>
    <w:lvl w:ilvl="0" w:tplc="A0CAF89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C7C59"/>
    <w:multiLevelType w:val="hybridMultilevel"/>
    <w:tmpl w:val="5FD6077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4A437B"/>
    <w:multiLevelType w:val="hybridMultilevel"/>
    <w:tmpl w:val="08AAD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D5924"/>
    <w:multiLevelType w:val="hybridMultilevel"/>
    <w:tmpl w:val="8864036A"/>
    <w:lvl w:ilvl="0" w:tplc="82DE0B6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0079E"/>
    <w:multiLevelType w:val="hybridMultilevel"/>
    <w:tmpl w:val="5B2ACDF6"/>
    <w:lvl w:ilvl="0" w:tplc="A0CAF89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4AAF6931"/>
    <w:multiLevelType w:val="multilevel"/>
    <w:tmpl w:val="9C028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C83212"/>
    <w:multiLevelType w:val="hybridMultilevel"/>
    <w:tmpl w:val="31224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F42D8"/>
    <w:multiLevelType w:val="hybridMultilevel"/>
    <w:tmpl w:val="99B09272"/>
    <w:lvl w:ilvl="0" w:tplc="A0CAF89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A224AF"/>
    <w:multiLevelType w:val="hybridMultilevel"/>
    <w:tmpl w:val="EE8C0BAA"/>
    <w:lvl w:ilvl="0" w:tplc="C1440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5A8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0CA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BAE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07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26E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B47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4E1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361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B501FDD"/>
    <w:multiLevelType w:val="hybridMultilevel"/>
    <w:tmpl w:val="4E162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F055D"/>
    <w:multiLevelType w:val="hybridMultilevel"/>
    <w:tmpl w:val="D91E0D12"/>
    <w:lvl w:ilvl="0" w:tplc="AF527E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B897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4CE2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AC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584A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54D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3C70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044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7A80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3CBD"/>
    <w:multiLevelType w:val="hybridMultilevel"/>
    <w:tmpl w:val="22A21E2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7E4178"/>
    <w:multiLevelType w:val="hybridMultilevel"/>
    <w:tmpl w:val="49A24E2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23"/>
  </w:num>
  <w:num w:numId="4">
    <w:abstractNumId w:val="22"/>
  </w:num>
  <w:num w:numId="5">
    <w:abstractNumId w:val="16"/>
  </w:num>
  <w:num w:numId="6">
    <w:abstractNumId w:val="0"/>
  </w:num>
  <w:num w:numId="7">
    <w:abstractNumId w:val="6"/>
  </w:num>
  <w:num w:numId="8">
    <w:abstractNumId w:val="2"/>
  </w:num>
  <w:num w:numId="9">
    <w:abstractNumId w:val="10"/>
  </w:num>
  <w:num w:numId="10">
    <w:abstractNumId w:val="19"/>
  </w:num>
  <w:num w:numId="11">
    <w:abstractNumId w:val="14"/>
  </w:num>
  <w:num w:numId="12">
    <w:abstractNumId w:val="5"/>
  </w:num>
  <w:num w:numId="13">
    <w:abstractNumId w:val="1"/>
  </w:num>
  <w:num w:numId="14">
    <w:abstractNumId w:val="15"/>
  </w:num>
  <w:num w:numId="15">
    <w:abstractNumId w:val="11"/>
  </w:num>
  <w:num w:numId="16">
    <w:abstractNumId w:val="4"/>
  </w:num>
  <w:num w:numId="17">
    <w:abstractNumId w:val="7"/>
  </w:num>
  <w:num w:numId="18">
    <w:abstractNumId w:val="3"/>
  </w:num>
  <w:num w:numId="19">
    <w:abstractNumId w:val="17"/>
  </w:num>
  <w:num w:numId="20">
    <w:abstractNumId w:val="13"/>
  </w:num>
  <w:num w:numId="21">
    <w:abstractNumId w:val="9"/>
  </w:num>
  <w:num w:numId="22">
    <w:abstractNumId w:val="24"/>
  </w:num>
  <w:num w:numId="23">
    <w:abstractNumId w:val="12"/>
  </w:num>
  <w:num w:numId="24">
    <w:abstractNumId w:val="21"/>
  </w:num>
  <w:num w:numId="25">
    <w:abstractNumId w:val="18"/>
  </w:num>
  <w:num w:numId="26">
    <w:abstractNumId w:val="22"/>
  </w:num>
  <w:num w:numId="27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06157BC5-1A52-4A38-8B0D-5813277E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</w:style>
  <w:style w:type="paragraph" w:styleId="Title">
    <w:name w:val="Title"/>
    <w:basedOn w:val="Normal"/>
    <w:link w:val="TitleChar"/>
    <w:qFormat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Pr>
      <w:color w:val="000000"/>
      <w:lang w:val="en-GB" w:eastAsia="ja-JP"/>
    </w:rPr>
  </w:style>
  <w:style w:type="character" w:customStyle="1" w:styleId="TitleChar">
    <w:name w:val="Title Char"/>
    <w:link w:val="Title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Pr>
      <w:b/>
      <w:bCs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</w:style>
  <w:style w:type="paragraph" w:customStyle="1" w:styleId="a">
    <w:name w:val="插图题注"/>
    <w:basedOn w:val="Normal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Pr>
      <w:rFonts w:eastAsia="MS Mincho"/>
      <w:lang w:val="en-GB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/>
      <w:autoSpaceDE/>
      <w:autoSpaceDN/>
      <w:adjustRightInd/>
      <w:spacing w:before="60" w:after="60"/>
      <w:jc w:val="both"/>
      <w:textAlignment w:val="auto"/>
    </w:pPr>
    <w:rPr>
      <w:rFonts w:ascii="Arial" w:hAnsi="Arial"/>
      <w:b/>
      <w:color w:val="FF000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color w:val="000000"/>
      <w:lang w:val="en-GB" w:eastAsia="ja-JP"/>
    </w:rPr>
  </w:style>
  <w:style w:type="character" w:customStyle="1" w:styleId="B1Char1">
    <w:name w:val="B1 Char1"/>
    <w:link w:val="B1"/>
    <w:locked/>
    <w:rPr>
      <w:color w:val="000000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color w:val="00000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66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17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18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504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55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4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186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6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062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43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4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5AIRPNAIUNRU-859666464-4790</_dlc_DocId>
    <_dlc_DocIdUrl xmlns="71c5aaf6-e6ce-465b-b873-5148d2a4c105">
      <Url>https://nokia.sharepoint.com/sites/c5g/e2earch/_layouts/15/DocIdRedir.aspx?ID=5AIRPNAIUNRU-859666464-4790</Url>
      <Description>5AIRPNAIUNRU-859666464-4790</Description>
    </_dlc_DocIdUrl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9" ma:contentTypeDescription="Create a new document." ma:contentTypeScope="" ma:versionID="0bfb7bd77783a325bafca1fdfd2e4ed7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820502be2a45297648279af664e57b6d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7843C-F227-47BB-9DC6-6D80EA1D59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www.w3.org/XML/1998/namespace"/>
    <ds:schemaRef ds:uri="71c5aaf6-e6ce-465b-b873-5148d2a4c105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9b35e4af-6f1e-436f-9533-0c519f21b230"/>
    <ds:schemaRef ds:uri="http://schemas.microsoft.com/office/infopath/2007/PartnerControls"/>
    <ds:schemaRef ds:uri="http://schemas.openxmlformats.org/package/2006/metadata/core-properties"/>
    <ds:schemaRef ds:uri="109d699c-9c6d-4eef-ab81-bfe25224c215"/>
  </ds:schemaRefs>
</ds:datastoreItem>
</file>

<file path=customXml/itemProps4.xml><?xml version="1.0" encoding="utf-8"?>
<ds:datastoreItem xmlns:ds="http://schemas.openxmlformats.org/officeDocument/2006/customXml" ds:itemID="{B6D68E27-5B66-4889-8A0A-B9960AFF77F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D606B6-FD1B-4B51-BAF9-854E14016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30E9CD5-1300-4388-A5B0-A32FDC6C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dc:description/>
  <cp:lastModifiedBy>Baker, Matthew (Nokia - GB/Cambridge)</cp:lastModifiedBy>
  <cp:revision>2</cp:revision>
  <cp:lastPrinted>2003-09-26T18:29:00Z</cp:lastPrinted>
  <dcterms:created xsi:type="dcterms:W3CDTF">2019-09-20T16:37:00Z</dcterms:created>
  <dcterms:modified xsi:type="dcterms:W3CDTF">2019-09-20T16:37:00Z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HR33RHYHUWRF-4-5680</vt:lpwstr>
  </property>
  <property fmtid="{D5CDD505-2E9C-101B-9397-08002B2CF9AE}" pid="4" name="_dlc_DocIdItemGuid">
    <vt:lpwstr>0a71d103-0b07-42f9-89cf-7d6a99927c47</vt:lpwstr>
  </property>
  <property fmtid="{D5CDD505-2E9C-101B-9397-08002B2CF9AE}" pid="5" name="_dlc_DocIdUrl">
    <vt:lpwstr>https://projects.qualcomm.com/sites/pentari/_layouts/15/DocIdRedir.aspx?ID=HR33RHYHUWRF-4-5680, HR33RHYHUWRF-4-5680</vt:lpwstr>
  </property>
  <property fmtid="{D5CDD505-2E9C-101B-9397-08002B2CF9AE}" pid="6" name="EmailTo">
    <vt:lpwstr/>
  </property>
  <property fmtid="{D5CDD505-2E9C-101B-9397-08002B2CF9AE}" pid="7" name="EmailHeaders">
    <vt:lpwstr/>
  </property>
  <property fmtid="{D5CDD505-2E9C-101B-9397-08002B2CF9AE}" pid="8" name="IconOverlay">
    <vt:lpwstr/>
  </property>
  <property fmtid="{D5CDD505-2E9C-101B-9397-08002B2CF9AE}" pid="9" name="EmailSender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ContentTypeId">
    <vt:lpwstr>0x010100FAB03A38315ACD43A77092EB7608F100</vt:lpwstr>
  </property>
</Properties>
</file>