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8"/>
        <w:tabs>
          <w:tab w:val="right" w:pos="9639"/>
        </w:tabs>
        <w:spacing w:after="0"/>
        <w:outlineLvl w:val="0"/>
        <w:rPr>
          <w:rFonts w:hint="default" w:eastAsia="宋体"/>
          <w:b/>
          <w:sz w:val="24"/>
          <w:lang w:val="en-US" w:eastAsia="zh-CN"/>
        </w:rPr>
      </w:pPr>
      <w:r>
        <w:rPr>
          <w:b/>
          <w:sz w:val="24"/>
        </w:rPr>
        <w:t>3GPP TSG-CT3 Meeting #127e</w:t>
      </w:r>
      <w:r>
        <w:rPr>
          <w:b/>
          <w:sz w:val="24"/>
        </w:rPr>
        <w:tab/>
      </w:r>
      <w:r>
        <w:rPr>
          <w:rFonts w:cs="Arial"/>
          <w:b/>
          <w:i/>
          <w:sz w:val="28"/>
        </w:rPr>
        <w:t>C3-231</w:t>
      </w:r>
      <w:r>
        <w:rPr>
          <w:rFonts w:hint="eastAsia" w:eastAsia="宋体" w:cs="Arial"/>
          <w:b/>
          <w:i/>
          <w:sz w:val="28"/>
          <w:lang w:val="en-US" w:eastAsia="zh-CN"/>
        </w:rPr>
        <w:t>387</w:t>
      </w:r>
    </w:p>
    <w:p>
      <w:pPr>
        <w:rPr>
          <w:b/>
          <w:sz w:val="24"/>
        </w:rPr>
      </w:pPr>
      <w:r>
        <w:fldChar w:fldCharType="begin"/>
      </w:r>
      <w:r>
        <w:instrText xml:space="preserve"> DOCPROPERTY  Location  \* MERGEFORMAT </w:instrText>
      </w:r>
      <w:r>
        <w:fldChar w:fldCharType="separate"/>
      </w:r>
      <w:r>
        <w:rPr>
          <w:b/>
          <w:sz w:val="24"/>
        </w:rPr>
        <w:t>E-Meeting</w:t>
      </w:r>
      <w:r>
        <w:rPr>
          <w:b/>
          <w:sz w:val="24"/>
        </w:rPr>
        <w:fldChar w:fldCharType="end"/>
      </w:r>
      <w:r>
        <w:rPr>
          <w:b/>
          <w:sz w:val="24"/>
        </w:rPr>
        <w:t xml:space="preserve">, </w:t>
      </w:r>
      <w:r>
        <w:fldChar w:fldCharType="begin"/>
      </w:r>
      <w:r>
        <w:instrText xml:space="preserve"> DOCPROPERTY  StartDate  \* MERGEFORMAT </w:instrText>
      </w:r>
      <w:r>
        <w:fldChar w:fldCharType="separate"/>
      </w:r>
      <w:r>
        <w:rPr>
          <w:b/>
          <w:sz w:val="24"/>
        </w:rPr>
        <w:t xml:space="preserve">17th - 21st </w:t>
      </w:r>
      <w:r>
        <w:rPr>
          <w:b/>
          <w:sz w:val="24"/>
        </w:rPr>
        <w:fldChar w:fldCharType="end"/>
      </w:r>
      <w:r>
        <w:fldChar w:fldCharType="begin"/>
      </w:r>
      <w:r>
        <w:instrText xml:space="preserve"> DOCPROPERTY  EndDate  \* MERGEFORMAT </w:instrText>
      </w:r>
      <w:r>
        <w:fldChar w:fldCharType="separate"/>
      </w:r>
      <w:r>
        <w:rPr>
          <w:b/>
          <w:sz w:val="24"/>
        </w:rPr>
        <w:t>April 2023</w:t>
      </w:r>
      <w:r>
        <w:rPr>
          <w:b/>
          <w:sz w:val="24"/>
        </w:rPr>
        <w:fldChar w:fldCharType="end"/>
      </w:r>
      <w:r>
        <w:rPr>
          <w:b/>
          <w:sz w:val="24"/>
        </w:rPr>
        <w:t xml:space="preserve">   </w:t>
      </w:r>
      <w:r>
        <w:rPr>
          <w:b/>
          <w:sz w:val="24"/>
        </w:rPr>
        <w:tab/>
      </w:r>
      <w:r>
        <w:rPr>
          <w:b/>
          <w:sz w:val="24"/>
        </w:rPr>
        <w:tab/>
      </w:r>
      <w:r>
        <w:rPr>
          <w:b/>
          <w:sz w:val="24"/>
        </w:rPr>
        <w:tab/>
      </w:r>
      <w:r>
        <w:rPr>
          <w:b/>
          <w:sz w:val="24"/>
        </w:rPr>
        <w:tab/>
      </w:r>
      <w:r>
        <w:rPr>
          <w:b/>
          <w:sz w:val="24"/>
        </w:rPr>
        <w:tab/>
      </w: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28"/>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28"/>
              <w:spacing w:after="0"/>
              <w:jc w:val="right"/>
            </w:pPr>
          </w:p>
        </w:tc>
        <w:tc>
          <w:tcPr>
            <w:tcW w:w="1559" w:type="dxa"/>
            <w:shd w:val="pct30" w:color="FFFF00" w:fill="auto"/>
          </w:tcPr>
          <w:p>
            <w:pPr>
              <w:pStyle w:val="128"/>
              <w:spacing w:after="0"/>
              <w:jc w:val="right"/>
              <w:rPr>
                <w:b/>
                <w:sz w:val="28"/>
              </w:rPr>
            </w:pPr>
            <w:r>
              <w:fldChar w:fldCharType="begin"/>
            </w:r>
            <w:r>
              <w:instrText xml:space="preserve"> DOCPROPERTY  Spec#  \* MERGEFORMAT </w:instrText>
            </w:r>
            <w:r>
              <w:fldChar w:fldCharType="separate"/>
            </w:r>
            <w:r>
              <w:rPr>
                <w:b/>
                <w:sz w:val="28"/>
              </w:rPr>
              <w:t>29.5</w:t>
            </w:r>
            <w:r>
              <w:rPr>
                <w:rFonts w:hint="eastAsia" w:eastAsia="宋体"/>
                <w:b/>
                <w:sz w:val="28"/>
                <w:lang w:val="en-US" w:eastAsia="zh-CN"/>
              </w:rPr>
              <w:t>14</w:t>
            </w:r>
            <w:r>
              <w:rPr>
                <w:b/>
                <w:sz w:val="28"/>
              </w:rPr>
              <w:fldChar w:fldCharType="end"/>
            </w:r>
          </w:p>
        </w:tc>
        <w:tc>
          <w:tcPr>
            <w:tcW w:w="709" w:type="dxa"/>
          </w:tcPr>
          <w:p>
            <w:pPr>
              <w:pStyle w:val="128"/>
              <w:spacing w:after="0"/>
              <w:jc w:val="center"/>
            </w:pPr>
            <w:r>
              <w:rPr>
                <w:b/>
                <w:sz w:val="28"/>
              </w:rPr>
              <w:t>CR</w:t>
            </w:r>
          </w:p>
        </w:tc>
        <w:tc>
          <w:tcPr>
            <w:tcW w:w="1276" w:type="dxa"/>
            <w:shd w:val="pct30" w:color="FFFF00" w:fill="auto"/>
          </w:tcPr>
          <w:p>
            <w:pPr>
              <w:pStyle w:val="128"/>
              <w:spacing w:after="0"/>
              <w:rPr>
                <w:rFonts w:hint="default" w:eastAsia="宋体"/>
                <w:lang w:val="en-US" w:eastAsia="zh-CN"/>
              </w:rPr>
            </w:pPr>
            <w:r>
              <w:rPr>
                <w:rFonts w:hint="eastAsia" w:eastAsia="宋体"/>
                <w:b/>
                <w:sz w:val="28"/>
                <w:lang w:val="en-US" w:eastAsia="zh-CN"/>
              </w:rPr>
              <w:t>0508</w:t>
            </w:r>
          </w:p>
        </w:tc>
        <w:tc>
          <w:tcPr>
            <w:tcW w:w="709" w:type="dxa"/>
          </w:tcPr>
          <w:p>
            <w:pPr>
              <w:pStyle w:val="128"/>
              <w:tabs>
                <w:tab w:val="right" w:pos="625"/>
              </w:tabs>
              <w:spacing w:after="0"/>
              <w:jc w:val="center"/>
            </w:pPr>
            <w:r>
              <w:rPr>
                <w:b/>
                <w:bCs/>
                <w:sz w:val="28"/>
              </w:rPr>
              <w:t>rev</w:t>
            </w:r>
          </w:p>
        </w:tc>
        <w:tc>
          <w:tcPr>
            <w:tcW w:w="992" w:type="dxa"/>
            <w:shd w:val="pct30" w:color="FFFF00" w:fill="auto"/>
          </w:tcPr>
          <w:p>
            <w:pPr>
              <w:pStyle w:val="128"/>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pPr>
              <w:pStyle w:val="128"/>
              <w:tabs>
                <w:tab w:val="right" w:pos="1825"/>
              </w:tabs>
              <w:spacing w:after="0"/>
              <w:jc w:val="center"/>
            </w:pPr>
            <w:r>
              <w:rPr>
                <w:b/>
                <w:sz w:val="28"/>
                <w:szCs w:val="28"/>
              </w:rPr>
              <w:t>Current version:</w:t>
            </w:r>
          </w:p>
        </w:tc>
        <w:tc>
          <w:tcPr>
            <w:tcW w:w="1701" w:type="dxa"/>
            <w:shd w:val="pct30" w:color="FFFF00" w:fill="auto"/>
          </w:tcPr>
          <w:p>
            <w:pPr>
              <w:pStyle w:val="128"/>
              <w:spacing w:after="0"/>
              <w:jc w:val="center"/>
              <w:rPr>
                <w:sz w:val="28"/>
              </w:rPr>
            </w:pPr>
            <w:r>
              <w:fldChar w:fldCharType="begin"/>
            </w:r>
            <w:r>
              <w:instrText xml:space="preserve"> DOCPROPERTY  Version  \* MERGEFORMAT </w:instrText>
            </w:r>
            <w:r>
              <w:fldChar w:fldCharType="separate"/>
            </w:r>
            <w:r>
              <w:rPr>
                <w:b/>
                <w:sz w:val="28"/>
              </w:rPr>
              <w:t>18.</w:t>
            </w:r>
            <w:r>
              <w:rPr>
                <w:rFonts w:hint="eastAsia" w:eastAsia="宋体"/>
                <w:b/>
                <w:sz w:val="28"/>
                <w:lang w:val="en-US" w:eastAsia="zh-CN"/>
              </w:rPr>
              <w:t>1</w:t>
            </w:r>
            <w:r>
              <w:rPr>
                <w:b/>
                <w:sz w:val="28"/>
              </w:rPr>
              <w:t>.0</w:t>
            </w:r>
            <w:r>
              <w:rPr>
                <w:b/>
                <w:sz w:val="28"/>
              </w:rPr>
              <w:fldChar w:fldCharType="end"/>
            </w:r>
          </w:p>
        </w:tc>
        <w:tc>
          <w:tcPr>
            <w:tcW w:w="143" w:type="dxa"/>
            <w:tcBorders>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28"/>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2"/>
                <w:rFonts w:cs="Arial"/>
                <w:b/>
                <w:i/>
                <w:color w:val="FF0000"/>
              </w:rPr>
              <w:t>HE</w:t>
            </w:r>
            <w:bookmarkStart w:id="0" w:name="_Hlt497126619"/>
            <w:r>
              <w:rPr>
                <w:rStyle w:val="92"/>
                <w:rFonts w:cs="Arial"/>
                <w:b/>
                <w:i/>
                <w:color w:val="FF0000"/>
              </w:rPr>
              <w:t>L</w:t>
            </w:r>
            <w:bookmarkEnd w:id="0"/>
            <w:r>
              <w:rPr>
                <w:rStyle w:val="92"/>
                <w:rFonts w:cs="Arial"/>
                <w:b/>
                <w:i/>
                <w:color w:val="FF0000"/>
              </w:rPr>
              <w:t>P</w:t>
            </w:r>
            <w:r>
              <w:rPr>
                <w:rStyle w:val="92"/>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2"/>
                <w:rFonts w:cs="Arial"/>
                <w:i/>
              </w:rPr>
              <w:t>http://www.3gpp.org/Change-Requests</w:t>
            </w:r>
            <w:r>
              <w:rPr>
                <w:rStyle w:val="92"/>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28"/>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28"/>
              <w:tabs>
                <w:tab w:val="right" w:pos="2751"/>
              </w:tabs>
              <w:spacing w:after="0"/>
              <w:rPr>
                <w:b/>
                <w:i/>
              </w:rPr>
            </w:pPr>
            <w:r>
              <w:rPr>
                <w:b/>
                <w:i/>
              </w:rPr>
              <w:t>Proposed change affects:</w:t>
            </w:r>
          </w:p>
        </w:tc>
        <w:tc>
          <w:tcPr>
            <w:tcW w:w="1418" w:type="dxa"/>
          </w:tcPr>
          <w:p>
            <w:pPr>
              <w:pStyle w:val="128"/>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28"/>
              <w:spacing w:after="0"/>
              <w:jc w:val="center"/>
              <w:rPr>
                <w:b/>
                <w:caps/>
              </w:rPr>
            </w:pPr>
          </w:p>
        </w:tc>
        <w:tc>
          <w:tcPr>
            <w:tcW w:w="709" w:type="dxa"/>
            <w:tcBorders>
              <w:left w:val="single" w:color="auto" w:sz="4" w:space="0"/>
            </w:tcBorders>
          </w:tcPr>
          <w:p>
            <w:pPr>
              <w:pStyle w:val="128"/>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caps/>
              </w:rPr>
            </w:pPr>
          </w:p>
        </w:tc>
        <w:tc>
          <w:tcPr>
            <w:tcW w:w="2126" w:type="dxa"/>
          </w:tcPr>
          <w:p>
            <w:pPr>
              <w:pStyle w:val="128"/>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28"/>
              <w:spacing w:after="0"/>
              <w:jc w:val="center"/>
              <w:rPr>
                <w:b/>
                <w:caps/>
              </w:rPr>
            </w:pPr>
          </w:p>
        </w:tc>
        <w:tc>
          <w:tcPr>
            <w:tcW w:w="1418" w:type="dxa"/>
            <w:tcBorders>
              <w:left w:val="nil"/>
            </w:tcBorders>
          </w:tcPr>
          <w:p>
            <w:pPr>
              <w:pStyle w:val="128"/>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bCs/>
                <w:caps/>
              </w:rPr>
            </w:pPr>
            <w:r>
              <w:rPr>
                <w:b/>
                <w:bCs/>
                <w:caps/>
              </w:rPr>
              <w:t>X</w:t>
            </w: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28"/>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28"/>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28"/>
              <w:spacing w:after="0"/>
              <w:ind w:left="100"/>
              <w:rPr>
                <w:rFonts w:hint="default" w:eastAsia="宋体"/>
                <w:lang w:val="en-US" w:eastAsia="zh-CN"/>
              </w:rPr>
            </w:pPr>
            <w:r>
              <w:rPr>
                <w:rFonts w:hint="eastAsia" w:eastAsia="宋体"/>
                <w:lang w:val="en-US" w:eastAsia="zh-CN"/>
              </w:rPr>
              <w:t>Update Npcf_PolicyAuthorization service for support of PDU Set handling</w:t>
            </w:r>
          </w:p>
        </w:tc>
      </w:tr>
      <w:tr>
        <w:tblPrEx>
          <w:tblCellMar>
            <w:top w:w="0" w:type="dxa"/>
            <w:left w:w="42" w:type="dxa"/>
            <w:bottom w:w="0" w:type="dxa"/>
            <w:right w:w="42" w:type="dxa"/>
          </w:tblCellMar>
        </w:tblPrEx>
        <w:trPr>
          <w:trHeight w:val="90" w:hRule="atLeast"/>
        </w:trPr>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28"/>
              <w:spacing w:after="0"/>
              <w:ind w:left="100"/>
              <w:rPr>
                <w:rFonts w:hint="default" w:eastAsia="宋体"/>
                <w:lang w:val="en-US" w:eastAsia="zh-CN"/>
              </w:rPr>
            </w:pPr>
            <w:r>
              <w:rPr>
                <w:rFonts w:hint="eastAsia" w:eastAsia="宋体"/>
                <w:lang w:val="en-US" w:eastAsia="zh-CN"/>
              </w:rPr>
              <w:t xml:space="preserve">China Mobile, </w:t>
            </w:r>
            <w:r>
              <w:t>Huawei</w:t>
            </w:r>
            <w:r>
              <w:rPr>
                <w:rFonts w:hint="eastAsia" w:eastAsia="宋体"/>
                <w:lang w:val="en-US" w:eastAsia="zh-CN"/>
              </w:rPr>
              <w:t xml:space="preserve">, </w:t>
            </w:r>
            <w:r>
              <w:t>Nokia, Nokia Shanghai Bel</w:t>
            </w:r>
            <w:r>
              <w:rPr>
                <w:rFonts w:hint="eastAsia" w:eastAsia="宋体"/>
                <w:lang w:val="en-US" w:eastAsia="zh-CN"/>
              </w:rPr>
              <w:t>l, KDDI</w:t>
            </w: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28"/>
              <w:spacing w:after="0"/>
              <w:ind w:left="100"/>
            </w:pPr>
            <w:r>
              <w:fldChar w:fldCharType="begin"/>
            </w:r>
            <w:r>
              <w:instrText xml:space="preserve"> DOCPROPERTY  SourceIfTsg  \* MERGEFORMAT </w:instrText>
            </w:r>
            <w:r>
              <w:fldChar w:fldCharType="separate"/>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Work item code:</w:t>
            </w:r>
          </w:p>
        </w:tc>
        <w:tc>
          <w:tcPr>
            <w:tcW w:w="3686" w:type="dxa"/>
            <w:gridSpan w:val="5"/>
            <w:shd w:val="pct30" w:color="FFFF00" w:fill="auto"/>
          </w:tcPr>
          <w:p>
            <w:pPr>
              <w:pStyle w:val="128"/>
              <w:spacing w:after="0"/>
              <w:ind w:left="100"/>
            </w:pPr>
            <w:r>
              <w:t>XRM</w:t>
            </w:r>
          </w:p>
        </w:tc>
        <w:tc>
          <w:tcPr>
            <w:tcW w:w="567" w:type="dxa"/>
            <w:tcBorders>
              <w:left w:val="nil"/>
            </w:tcBorders>
          </w:tcPr>
          <w:p>
            <w:pPr>
              <w:pStyle w:val="128"/>
              <w:spacing w:after="0"/>
              <w:ind w:right="100"/>
            </w:pPr>
          </w:p>
        </w:tc>
        <w:tc>
          <w:tcPr>
            <w:tcW w:w="1417" w:type="dxa"/>
            <w:gridSpan w:val="3"/>
            <w:tcBorders>
              <w:left w:val="nil"/>
            </w:tcBorders>
          </w:tcPr>
          <w:p>
            <w:pPr>
              <w:pStyle w:val="128"/>
              <w:spacing w:after="0"/>
              <w:jc w:val="right"/>
            </w:pPr>
            <w:r>
              <w:rPr>
                <w:b/>
                <w:i/>
              </w:rPr>
              <w:t>Date:</w:t>
            </w:r>
          </w:p>
        </w:tc>
        <w:tc>
          <w:tcPr>
            <w:tcW w:w="2127" w:type="dxa"/>
            <w:tcBorders>
              <w:right w:val="single" w:color="auto" w:sz="4" w:space="0"/>
            </w:tcBorders>
            <w:shd w:val="pct30" w:color="FFFF00" w:fill="auto"/>
          </w:tcPr>
          <w:p>
            <w:pPr>
              <w:pStyle w:val="128"/>
              <w:spacing w:after="0"/>
              <w:ind w:left="100"/>
              <w:rPr>
                <w:rFonts w:hint="default" w:eastAsia="宋体"/>
                <w:lang w:val="en-US" w:eastAsia="zh-CN"/>
              </w:rPr>
            </w:pPr>
            <w:r>
              <w:fldChar w:fldCharType="begin"/>
            </w:r>
            <w:r>
              <w:instrText xml:space="preserve"> DOCPROPERTY  ResDate  \* MERGEFORMAT </w:instrText>
            </w:r>
            <w:r>
              <w:fldChar w:fldCharType="separate"/>
            </w:r>
            <w:r>
              <w:t>2022-0</w:t>
            </w:r>
            <w:r>
              <w:rPr>
                <w:rFonts w:hint="eastAsia" w:eastAsia="宋体"/>
                <w:lang w:val="en-US" w:eastAsia="zh-CN"/>
              </w:rPr>
              <w:t>4</w:t>
            </w:r>
            <w:r>
              <w:t>-</w:t>
            </w:r>
            <w:r>
              <w:fldChar w:fldCharType="end"/>
            </w:r>
            <w:r>
              <w:rPr>
                <w:rFonts w:hint="eastAsia" w:eastAsia="宋体"/>
                <w:lang w:val="en-US" w:eastAsia="zh-CN"/>
              </w:rPr>
              <w:t>10</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1986" w:type="dxa"/>
            <w:gridSpan w:val="4"/>
          </w:tcPr>
          <w:p>
            <w:pPr>
              <w:pStyle w:val="128"/>
              <w:spacing w:after="0"/>
              <w:rPr>
                <w:sz w:val="8"/>
                <w:szCs w:val="8"/>
              </w:rPr>
            </w:pPr>
          </w:p>
        </w:tc>
        <w:tc>
          <w:tcPr>
            <w:tcW w:w="2267" w:type="dxa"/>
            <w:gridSpan w:val="2"/>
          </w:tcPr>
          <w:p>
            <w:pPr>
              <w:pStyle w:val="128"/>
              <w:spacing w:after="0"/>
              <w:rPr>
                <w:sz w:val="8"/>
                <w:szCs w:val="8"/>
              </w:rPr>
            </w:pPr>
          </w:p>
        </w:tc>
        <w:tc>
          <w:tcPr>
            <w:tcW w:w="1417" w:type="dxa"/>
            <w:gridSpan w:val="3"/>
          </w:tcPr>
          <w:p>
            <w:pPr>
              <w:pStyle w:val="128"/>
              <w:spacing w:after="0"/>
              <w:rPr>
                <w:sz w:val="8"/>
                <w:szCs w:val="8"/>
              </w:rPr>
            </w:pPr>
          </w:p>
        </w:tc>
        <w:tc>
          <w:tcPr>
            <w:tcW w:w="2127" w:type="dxa"/>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28"/>
              <w:tabs>
                <w:tab w:val="right" w:pos="1759"/>
              </w:tabs>
              <w:spacing w:after="0"/>
              <w:rPr>
                <w:b/>
                <w:i/>
              </w:rPr>
            </w:pPr>
            <w:r>
              <w:rPr>
                <w:b/>
                <w:i/>
              </w:rPr>
              <w:t>Category:</w:t>
            </w:r>
          </w:p>
        </w:tc>
        <w:tc>
          <w:tcPr>
            <w:tcW w:w="851" w:type="dxa"/>
            <w:shd w:val="pct30" w:color="FFFF00" w:fill="auto"/>
          </w:tcPr>
          <w:p>
            <w:pPr>
              <w:pStyle w:val="128"/>
              <w:spacing w:after="0"/>
              <w:ind w:left="100" w:right="-609"/>
              <w:rPr>
                <w:b/>
              </w:rPr>
            </w:pPr>
            <w:r>
              <w:t>B</w:t>
            </w:r>
          </w:p>
        </w:tc>
        <w:tc>
          <w:tcPr>
            <w:tcW w:w="3402" w:type="dxa"/>
            <w:gridSpan w:val="5"/>
            <w:tcBorders>
              <w:left w:val="nil"/>
            </w:tcBorders>
          </w:tcPr>
          <w:p>
            <w:pPr>
              <w:pStyle w:val="128"/>
              <w:spacing w:after="0"/>
            </w:pPr>
          </w:p>
        </w:tc>
        <w:tc>
          <w:tcPr>
            <w:tcW w:w="1417" w:type="dxa"/>
            <w:gridSpan w:val="3"/>
            <w:tcBorders>
              <w:left w:val="nil"/>
            </w:tcBorders>
          </w:tcPr>
          <w:p>
            <w:pPr>
              <w:pStyle w:val="128"/>
              <w:spacing w:after="0"/>
              <w:jc w:val="right"/>
              <w:rPr>
                <w:b/>
                <w:i/>
              </w:rPr>
            </w:pPr>
            <w:r>
              <w:rPr>
                <w:b/>
                <w:i/>
              </w:rPr>
              <w:t>Release:</w:t>
            </w:r>
          </w:p>
        </w:tc>
        <w:tc>
          <w:tcPr>
            <w:tcW w:w="2127" w:type="dxa"/>
            <w:tcBorders>
              <w:right w:val="single" w:color="auto" w:sz="4" w:space="0"/>
            </w:tcBorders>
            <w:shd w:val="pct30" w:color="FFFF00" w:fill="auto"/>
          </w:tcPr>
          <w:p>
            <w:pPr>
              <w:pStyle w:val="128"/>
              <w:spacing w:after="0"/>
              <w:ind w:left="100"/>
            </w:pPr>
            <w:r>
              <w:fldChar w:fldCharType="begin"/>
            </w:r>
            <w:r>
              <w:instrText xml:space="preserve"> DOCPROPERTY  Release  \* MERGEFORMAT </w:instrText>
            </w:r>
            <w:r>
              <w:fldChar w:fldCharType="separate"/>
            </w:r>
            <w:r>
              <w:t>Rel-18</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28"/>
              <w:spacing w:after="0"/>
              <w:rPr>
                <w:b/>
                <w:i/>
              </w:rPr>
            </w:pPr>
          </w:p>
        </w:tc>
        <w:tc>
          <w:tcPr>
            <w:tcW w:w="4677" w:type="dxa"/>
            <w:gridSpan w:val="8"/>
            <w:tcBorders>
              <w:bottom w:val="single" w:color="auto" w:sz="4" w:space="0"/>
            </w:tcBorders>
          </w:tcPr>
          <w:p>
            <w:pPr>
              <w:pStyle w:val="128"/>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28"/>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2"/>
                <w:sz w:val="18"/>
              </w:rPr>
              <w:t>TR 21.900</w:t>
            </w:r>
            <w:r>
              <w:rPr>
                <w:rStyle w:val="92"/>
                <w:sz w:val="18"/>
              </w:rPr>
              <w:fldChar w:fldCharType="end"/>
            </w:r>
            <w:r>
              <w:rPr>
                <w:sz w:val="18"/>
              </w:rPr>
              <w:t>.</w:t>
            </w:r>
          </w:p>
        </w:tc>
        <w:tc>
          <w:tcPr>
            <w:tcW w:w="3120" w:type="dxa"/>
            <w:gridSpan w:val="2"/>
            <w:tcBorders>
              <w:bottom w:val="single" w:color="auto" w:sz="4" w:space="0"/>
              <w:right w:val="single" w:color="auto" w:sz="4" w:space="0"/>
            </w:tcBorders>
          </w:tcPr>
          <w:p>
            <w:pPr>
              <w:pStyle w:val="128"/>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128"/>
              <w:spacing w:after="0"/>
              <w:rPr>
                <w:b/>
                <w:i/>
                <w:sz w:val="8"/>
                <w:szCs w:val="8"/>
              </w:rPr>
            </w:pPr>
          </w:p>
        </w:tc>
        <w:tc>
          <w:tcPr>
            <w:tcW w:w="7797" w:type="dxa"/>
            <w:gridSpan w:val="10"/>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28"/>
              <w:spacing w:after="0"/>
              <w:ind w:left="100"/>
              <w:rPr>
                <w:rFonts w:hint="default" w:ascii="Arial" w:hAnsi="Arial" w:cs="Arial"/>
                <w:lang w:val="en-US" w:eastAsia="zh-CN"/>
              </w:rPr>
            </w:pPr>
            <w:bookmarkStart w:id="1" w:name="OLE_LINK1"/>
            <w:r>
              <w:t xml:space="preserve">As per </w:t>
            </w:r>
            <w:r>
              <w:rPr>
                <w:rFonts w:hint="eastAsia"/>
              </w:rPr>
              <w:t>SP-230247</w:t>
            </w:r>
            <w:r>
              <w:rPr>
                <w:rFonts w:hint="eastAsia" w:eastAsia="宋体"/>
                <w:lang w:val="en-US" w:eastAsia="zh-CN"/>
              </w:rPr>
              <w:t xml:space="preserve"> </w:t>
            </w:r>
            <w:r>
              <w:t>in SA2#15</w:t>
            </w:r>
            <w:r>
              <w:rPr>
                <w:rFonts w:hint="eastAsia" w:eastAsia="宋体"/>
                <w:lang w:val="en-US" w:eastAsia="zh-CN"/>
              </w:rPr>
              <w:t>5</w:t>
            </w:r>
            <w:r>
              <w:t xml:space="preserve">, </w:t>
            </w:r>
            <w:bookmarkEnd w:id="1"/>
            <w:r>
              <w:rPr>
                <w:lang w:eastAsia="zh-CN"/>
              </w:rPr>
              <w:t>the procedures of</w:t>
            </w:r>
            <w:r>
              <w:rPr>
                <w:rFonts w:hint="eastAsia"/>
                <w:lang w:val="en-US" w:eastAsia="zh-CN"/>
              </w:rPr>
              <w:t xml:space="preserve"> PDU Set QoS handling is updated in to include </w:t>
            </w:r>
            <w:r>
              <w:rPr>
                <w:lang w:eastAsia="zh-CN"/>
              </w:rPr>
              <w:t xml:space="preserve">new </w:t>
            </w:r>
            <w:r>
              <w:t>parameters</w:t>
            </w:r>
            <w:r>
              <w:rPr>
                <w:rFonts w:hint="eastAsia" w:eastAsia="宋体"/>
                <w:lang w:val="en-US" w:eastAsia="zh-CN"/>
              </w:rPr>
              <w:t xml:space="preserve"> and </w:t>
            </w:r>
            <w:r>
              <w:rPr>
                <w:lang w:eastAsia="zh-CN"/>
              </w:rPr>
              <w:t xml:space="preserve">requirements </w:t>
            </w:r>
            <w:r>
              <w:rPr>
                <w:rFonts w:hint="eastAsia" w:eastAsia="宋体"/>
                <w:lang w:val="en-US" w:eastAsia="zh-CN"/>
              </w:rPr>
              <w:t xml:space="preserve">in </w:t>
            </w:r>
            <w:r>
              <w:rPr>
                <w:lang w:eastAsia="zh-CN"/>
              </w:rPr>
              <w:t>clause 5.</w:t>
            </w:r>
            <w:r>
              <w:rPr>
                <w:rFonts w:hint="eastAsia"/>
                <w:lang w:val="en-US" w:eastAsia="zh-CN"/>
              </w:rPr>
              <w:t>7</w:t>
            </w:r>
            <w:r>
              <w:rPr>
                <w:lang w:eastAsia="zh-CN"/>
              </w:rPr>
              <w:t>.</w:t>
            </w:r>
            <w:r>
              <w:rPr>
                <w:rFonts w:hint="eastAsia"/>
                <w:lang w:val="en-US" w:eastAsia="zh-CN"/>
              </w:rPr>
              <w:t xml:space="preserve">7 and </w:t>
            </w:r>
            <w:r>
              <w:rPr>
                <w:lang w:eastAsia="zh-CN"/>
              </w:rPr>
              <w:t>clause 5.</w:t>
            </w:r>
            <w:r>
              <w:rPr>
                <w:rFonts w:hint="eastAsia"/>
                <w:lang w:val="en-US" w:eastAsia="zh-CN"/>
              </w:rPr>
              <w:t>37</w:t>
            </w:r>
            <w:r>
              <w:rPr>
                <w:lang w:eastAsia="zh-CN"/>
              </w:rPr>
              <w:t>.</w:t>
            </w:r>
            <w:r>
              <w:rPr>
                <w:rFonts w:hint="eastAsia"/>
                <w:lang w:val="en-US" w:eastAsia="zh-CN"/>
              </w:rPr>
              <w:t>5, respectively</w:t>
            </w:r>
            <w:r>
              <w:rPr>
                <w:lang w:eastAsia="zh-CN"/>
              </w:rPr>
              <w:t>.</w:t>
            </w:r>
          </w:p>
          <w:p>
            <w:pPr>
              <w:pStyle w:val="128"/>
              <w:spacing w:after="0"/>
              <w:ind w:left="100"/>
              <w:rPr>
                <w:lang w:eastAsia="zh-CN"/>
              </w:rPr>
            </w:pPr>
            <w:r>
              <w:rPr>
                <w:color w:val="000000"/>
                <w:lang w:eastAsia="zh-CN"/>
              </w:rPr>
              <w:t>Npcf_PolicyAuthorization</w:t>
            </w:r>
            <w:r>
              <w:t xml:space="preserve"> service update has to be r</w:t>
            </w:r>
            <w:bookmarkStart w:id="116" w:name="_GoBack"/>
            <w:bookmarkEnd w:id="116"/>
            <w:r>
              <w:t xml:space="preserve">eflected </w:t>
            </w:r>
            <w:r>
              <w:rPr>
                <w:rFonts w:hint="eastAsia" w:eastAsia="宋体"/>
                <w:lang w:val="en-US" w:eastAsia="zh-CN"/>
              </w:rPr>
              <w:t xml:space="preserve">for support of PDU Set handling </w:t>
            </w:r>
            <w:r>
              <w:t>in stage 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28"/>
              <w:spacing w:after="0"/>
              <w:ind w:left="100"/>
              <w:rPr>
                <w:rFonts w:hint="eastAsia" w:eastAsia="宋体"/>
                <w:lang w:val="en-US" w:eastAsia="zh-CN"/>
              </w:rPr>
            </w:pPr>
            <w:bookmarkStart w:id="2" w:name="OLE_LINK17"/>
            <w:r>
              <w:rPr>
                <w:rFonts w:hint="eastAsia"/>
                <w:color w:val="000000"/>
                <w:lang w:val="en-US" w:eastAsia="zh-CN"/>
              </w:rPr>
              <w:t xml:space="preserve">Update the </w:t>
            </w:r>
            <w:r>
              <w:rPr>
                <w:color w:val="000000"/>
                <w:lang w:eastAsia="zh-CN"/>
              </w:rPr>
              <w:t>Npcf_PolicyAuthorization</w:t>
            </w:r>
            <w:bookmarkEnd w:id="2"/>
            <w:r>
              <w:t xml:space="preserve"> service </w:t>
            </w:r>
            <w:r>
              <w:rPr>
                <w:rFonts w:hint="eastAsia" w:eastAsia="宋体"/>
                <w:lang w:val="en-US" w:eastAsia="zh-CN"/>
              </w:rPr>
              <w:t>for support of the PDU Set handling procedure.</w:t>
            </w:r>
          </w:p>
          <w:p>
            <w:pPr>
              <w:pStyle w:val="128"/>
              <w:spacing w:after="0"/>
              <w:ind w:left="100"/>
              <w:rPr>
                <w:rFonts w:hint="eastAsia" w:eastAsia="宋体"/>
                <w:lang w:val="en-US" w:eastAsia="zh-CN"/>
              </w:rPr>
            </w:pPr>
          </w:p>
          <w:p>
            <w:pPr>
              <w:pStyle w:val="128"/>
              <w:spacing w:after="0"/>
              <w:ind w:left="100"/>
              <w:rPr>
                <w:rFonts w:hint="default" w:eastAsia="宋体"/>
                <w:lang w:val="en-US" w:eastAsia="zh-CN"/>
              </w:rPr>
            </w:pPr>
            <w:r>
              <w:t>The removed the empty header in clause 5.6.2.49</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rPr>
          <w:trHeight w:val="456" w:hRule="atLeast"/>
        </w:trPr>
        <w:tc>
          <w:tcPr>
            <w:tcW w:w="2694" w:type="dxa"/>
            <w:gridSpan w:val="2"/>
            <w:tcBorders>
              <w:left w:val="single" w:color="auto" w:sz="4" w:space="0"/>
              <w:bottom w:val="single" w:color="auto" w:sz="4" w:space="0"/>
            </w:tcBorders>
          </w:tcPr>
          <w:p>
            <w:pPr>
              <w:pStyle w:val="128"/>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28"/>
              <w:spacing w:after="0"/>
              <w:ind w:left="100"/>
              <w:rPr>
                <w:rFonts w:hint="default"/>
                <w:lang w:val="en-US"/>
              </w:rPr>
            </w:pPr>
            <w:r>
              <w:t xml:space="preserve">There is an inconsistency between SA2 and CT3 in terms of . </w:t>
            </w:r>
            <w:r>
              <w:rPr>
                <w:color w:val="000000"/>
                <w:lang w:eastAsia="zh-CN"/>
              </w:rPr>
              <w:t>Npcf_PolicyAuthorization</w:t>
            </w:r>
            <w:r>
              <w:t xml:space="preserve"> </w:t>
            </w:r>
            <w:r>
              <w:rPr>
                <w:rFonts w:hint="eastAsia" w:eastAsia="宋体"/>
                <w:lang w:val="en-US" w:eastAsia="zh-CN"/>
              </w:rPr>
              <w:t>service</w:t>
            </w:r>
            <w:r>
              <w:t xml:space="preserve"> </w:t>
            </w:r>
            <w:r>
              <w:rPr>
                <w:rFonts w:hint="eastAsia" w:ascii="Arial" w:hAnsi="Arial" w:cs="Arial"/>
                <w:lang w:val="en-US" w:eastAsia="zh-CN"/>
              </w:rPr>
              <w:t xml:space="preserve">for </w:t>
            </w:r>
            <w:r>
              <w:rPr>
                <w:rFonts w:hint="eastAsia" w:cs="Arial"/>
                <w:lang w:val="en-US" w:eastAsia="zh-CN"/>
              </w:rPr>
              <w:t xml:space="preserve">the </w:t>
            </w:r>
            <w:r>
              <w:rPr>
                <w:rFonts w:hint="eastAsia" w:eastAsia="宋体"/>
                <w:lang w:val="en-US" w:eastAsia="zh-CN"/>
              </w:rPr>
              <w:t>PDU Set handling</w:t>
            </w:r>
            <w:r>
              <w:rPr>
                <w:rFonts w:hint="eastAsia" w:ascii="Arial" w:hAnsi="Arial" w:cs="Arial"/>
                <w:lang w:val="en-US" w:eastAsia="zh-CN"/>
              </w:rPr>
              <w:t>.</w:t>
            </w:r>
          </w:p>
        </w:tc>
      </w:tr>
      <w:tr>
        <w:tblPrEx>
          <w:tblCellMar>
            <w:top w:w="0" w:type="dxa"/>
            <w:left w:w="42" w:type="dxa"/>
            <w:bottom w:w="0" w:type="dxa"/>
            <w:right w:w="42" w:type="dxa"/>
          </w:tblCellMar>
        </w:tblPrEx>
        <w:tc>
          <w:tcPr>
            <w:tcW w:w="2694" w:type="dxa"/>
            <w:gridSpan w:val="2"/>
          </w:tcPr>
          <w:p>
            <w:pPr>
              <w:pStyle w:val="128"/>
              <w:spacing w:after="0"/>
              <w:rPr>
                <w:b/>
                <w:i/>
                <w:sz w:val="8"/>
                <w:szCs w:val="8"/>
              </w:rPr>
            </w:pPr>
          </w:p>
        </w:tc>
        <w:tc>
          <w:tcPr>
            <w:tcW w:w="6946" w:type="dxa"/>
            <w:gridSpan w:val="9"/>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28"/>
              <w:spacing w:after="0"/>
              <w:ind w:left="100"/>
              <w:rPr>
                <w:rFonts w:hint="default" w:eastAsia="宋体"/>
                <w:lang w:val="en-US" w:eastAsia="zh-CN"/>
              </w:rPr>
            </w:pPr>
            <w:r>
              <w:t>4.</w:t>
            </w:r>
            <w:r>
              <w:rPr>
                <w:rFonts w:hint="eastAsia" w:eastAsia="宋体"/>
                <w:lang w:val="en-US" w:eastAsia="zh-CN"/>
              </w:rPr>
              <w:t>1</w:t>
            </w:r>
            <w:r>
              <w:t>.</w:t>
            </w:r>
            <w:r>
              <w:rPr>
                <w:rFonts w:hint="eastAsia" w:eastAsia="宋体"/>
                <w:lang w:val="en-US" w:eastAsia="zh-CN"/>
              </w:rPr>
              <w:t>3.1</w:t>
            </w:r>
            <w:r>
              <w:t>, 4.</w:t>
            </w:r>
            <w:r>
              <w:rPr>
                <w:rFonts w:hint="eastAsia" w:eastAsia="宋体"/>
                <w:lang w:val="en-US" w:eastAsia="zh-CN"/>
              </w:rPr>
              <w:t>2</w:t>
            </w:r>
            <w:r>
              <w:t>.</w:t>
            </w:r>
            <w:r>
              <w:rPr>
                <w:rFonts w:hint="eastAsia" w:eastAsia="宋体"/>
                <w:lang w:val="en-US" w:eastAsia="zh-CN"/>
              </w:rPr>
              <w:t>2.1</w:t>
            </w:r>
            <w:r>
              <w:t>,</w:t>
            </w:r>
            <w:r>
              <w:rPr>
                <w:rFonts w:hint="eastAsia" w:eastAsia="宋体"/>
                <w:lang w:val="en-US" w:eastAsia="zh-CN"/>
              </w:rPr>
              <w:t xml:space="preserve"> </w:t>
            </w:r>
            <w:r>
              <w:t>4.</w:t>
            </w:r>
            <w:r>
              <w:rPr>
                <w:rFonts w:hint="eastAsia" w:eastAsia="宋体"/>
                <w:lang w:val="en-US" w:eastAsia="zh-CN"/>
              </w:rPr>
              <w:t>2</w:t>
            </w:r>
            <w:r>
              <w:t>.</w:t>
            </w:r>
            <w:r>
              <w:rPr>
                <w:rFonts w:hint="eastAsia" w:eastAsia="宋体"/>
                <w:lang w:val="en-US" w:eastAsia="zh-CN"/>
              </w:rPr>
              <w:t>2.2</w:t>
            </w:r>
            <w:r>
              <w:t>,</w:t>
            </w:r>
            <w:r>
              <w:rPr>
                <w:rFonts w:hint="eastAsia" w:eastAsia="宋体"/>
                <w:lang w:val="en-US" w:eastAsia="zh-CN"/>
              </w:rPr>
              <w:t xml:space="preserve"> </w:t>
            </w:r>
            <w:r>
              <w:t>4.</w:t>
            </w:r>
            <w:r>
              <w:rPr>
                <w:rFonts w:hint="eastAsia" w:eastAsia="宋体"/>
                <w:lang w:val="en-US" w:eastAsia="zh-CN"/>
              </w:rPr>
              <w:t>2</w:t>
            </w:r>
            <w:r>
              <w:t>.</w:t>
            </w:r>
            <w:r>
              <w:rPr>
                <w:rFonts w:hint="eastAsia" w:eastAsia="宋体"/>
                <w:lang w:val="en-US" w:eastAsia="zh-CN"/>
              </w:rPr>
              <w:t>2.37</w:t>
            </w:r>
            <w:r>
              <w:t>,</w:t>
            </w:r>
            <w:r>
              <w:rPr>
                <w:rFonts w:hint="eastAsia" w:eastAsia="宋体"/>
                <w:lang w:val="en-US" w:eastAsia="zh-CN"/>
              </w:rPr>
              <w:t xml:space="preserve"> </w:t>
            </w:r>
            <w:r>
              <w:t>4.</w:t>
            </w:r>
            <w:r>
              <w:rPr>
                <w:rFonts w:hint="eastAsia" w:eastAsia="宋体"/>
                <w:lang w:val="en-US" w:eastAsia="zh-CN"/>
              </w:rPr>
              <w:t>2</w:t>
            </w:r>
            <w:r>
              <w:t>.</w:t>
            </w:r>
            <w:r>
              <w:rPr>
                <w:rFonts w:hint="eastAsia" w:eastAsia="宋体"/>
                <w:lang w:val="en-US" w:eastAsia="zh-CN"/>
              </w:rPr>
              <w:t>3.1</w:t>
            </w:r>
            <w:r>
              <w:t>,</w:t>
            </w:r>
            <w:r>
              <w:rPr>
                <w:rFonts w:hint="eastAsia" w:eastAsia="宋体"/>
                <w:lang w:val="en-US" w:eastAsia="zh-CN"/>
              </w:rPr>
              <w:t xml:space="preserve"> </w:t>
            </w:r>
            <w:r>
              <w:t>4.</w:t>
            </w:r>
            <w:r>
              <w:rPr>
                <w:rFonts w:hint="eastAsia" w:eastAsia="宋体"/>
                <w:lang w:val="en-US" w:eastAsia="zh-CN"/>
              </w:rPr>
              <w:t>2</w:t>
            </w:r>
            <w:r>
              <w:t>.</w:t>
            </w:r>
            <w:r>
              <w:rPr>
                <w:rFonts w:hint="eastAsia" w:eastAsia="宋体"/>
                <w:lang w:val="en-US" w:eastAsia="zh-CN"/>
              </w:rPr>
              <w:t>3.2</w:t>
            </w:r>
            <w:r>
              <w:t>,</w:t>
            </w:r>
            <w:r>
              <w:rPr>
                <w:rFonts w:hint="eastAsia" w:eastAsia="宋体"/>
                <w:lang w:val="en-US" w:eastAsia="zh-CN"/>
              </w:rPr>
              <w:t xml:space="preserve"> 4</w:t>
            </w:r>
            <w:r>
              <w:t>.</w:t>
            </w:r>
            <w:r>
              <w:rPr>
                <w:rFonts w:hint="eastAsia" w:eastAsia="宋体"/>
                <w:lang w:val="en-US" w:eastAsia="zh-CN"/>
              </w:rPr>
              <w:t>2.3.2, 4,2,3,36, 5.6.1, 5.6.2.7, 5.6.2.26, 5.6.2.49, 5.8, A.2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28"/>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28"/>
              <w:spacing w:after="0"/>
              <w:jc w:val="center"/>
              <w:rPr>
                <w:b/>
                <w:caps/>
              </w:rPr>
            </w:pPr>
            <w:r>
              <w:rPr>
                <w:b/>
                <w:caps/>
              </w:rPr>
              <w:t>N</w:t>
            </w:r>
          </w:p>
        </w:tc>
        <w:tc>
          <w:tcPr>
            <w:tcW w:w="2977" w:type="dxa"/>
            <w:gridSpan w:val="4"/>
          </w:tcPr>
          <w:p>
            <w:pPr>
              <w:pStyle w:val="128"/>
              <w:tabs>
                <w:tab w:val="right" w:pos="2893"/>
              </w:tabs>
              <w:spacing w:after="0"/>
            </w:pPr>
          </w:p>
        </w:tc>
        <w:tc>
          <w:tcPr>
            <w:tcW w:w="3401" w:type="dxa"/>
            <w:gridSpan w:val="3"/>
            <w:tcBorders>
              <w:right w:val="single" w:color="auto" w:sz="4" w:space="0"/>
            </w:tcBorders>
            <w:shd w:val="clear" w:color="FFFF00" w:fill="auto"/>
          </w:tcPr>
          <w:p>
            <w:pPr>
              <w:pStyle w:val="128"/>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rFonts w:hint="eastAsia" w:eastAsia="宋体"/>
                <w:b/>
                <w:caps/>
                <w:lang w:val="en-US" w:eastAsia="zh-CN"/>
              </w:rPr>
            </w:pPr>
            <w:r>
              <w:rPr>
                <w:rFonts w:hint="eastAsia" w:eastAsia="宋体"/>
                <w:b/>
                <w:caps/>
                <w:lang w:val="en-US" w:eastAsia="zh-CN"/>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rFonts w:hint="eastAsia" w:eastAsia="宋体"/>
                <w:b/>
                <w:caps/>
                <w:lang w:val="en-US" w:eastAsia="zh-CN"/>
              </w:rPr>
            </w:pPr>
          </w:p>
        </w:tc>
        <w:tc>
          <w:tcPr>
            <w:tcW w:w="2977" w:type="dxa"/>
            <w:gridSpan w:val="4"/>
          </w:tcPr>
          <w:p>
            <w:pPr>
              <w:pStyle w:val="128"/>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28"/>
              <w:spacing w:after="0"/>
              <w:ind w:left="99"/>
            </w:pPr>
            <w:r>
              <w:t>TS 23.5</w:t>
            </w:r>
            <w:r>
              <w:rPr>
                <w:rFonts w:hint="eastAsia" w:eastAsia="宋体"/>
                <w:lang w:val="en-US" w:eastAsia="zh-CN"/>
              </w:rPr>
              <w:t>7</w:t>
            </w:r>
            <w:r>
              <w:t>1</w:t>
            </w:r>
            <w:r>
              <w:rPr>
                <w:rFonts w:hint="eastAsia" w:eastAsia="宋体"/>
                <w:lang w:val="en-US" w:eastAsia="zh-CN"/>
              </w:rPr>
              <w:t xml:space="preserve"> CR 0420 </w:t>
            </w:r>
          </w:p>
        </w:tc>
      </w:tr>
      <w:tr>
        <w:tblPrEx>
          <w:tblCellMar>
            <w:top w:w="0" w:type="dxa"/>
            <w:left w:w="42" w:type="dxa"/>
            <w:bottom w:w="0" w:type="dxa"/>
            <w:right w:w="42" w:type="dxa"/>
          </w:tblCellMar>
        </w:tblPrEx>
        <w:trPr>
          <w:trHeight w:val="90" w:hRule="atLeast"/>
        </w:trPr>
        <w:tc>
          <w:tcPr>
            <w:tcW w:w="2694" w:type="dxa"/>
            <w:gridSpan w:val="2"/>
            <w:tcBorders>
              <w:left w:val="single" w:color="auto" w:sz="4" w:space="0"/>
            </w:tcBorders>
          </w:tcPr>
          <w:p>
            <w:pPr>
              <w:pStyle w:val="128"/>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N</w:t>
            </w:r>
          </w:p>
        </w:tc>
        <w:tc>
          <w:tcPr>
            <w:tcW w:w="2977" w:type="dxa"/>
            <w:gridSpan w:val="4"/>
          </w:tcPr>
          <w:p>
            <w:pPr>
              <w:pStyle w:val="128"/>
              <w:spacing w:after="0"/>
            </w:pPr>
            <w:r>
              <w:t xml:space="preserve"> Test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rPr>
          <w:trHeight w:val="90" w:hRule="atLeast"/>
        </w:trPr>
        <w:tc>
          <w:tcPr>
            <w:tcW w:w="2694" w:type="dxa"/>
            <w:gridSpan w:val="2"/>
            <w:tcBorders>
              <w:left w:val="single" w:color="auto" w:sz="4" w:space="0"/>
            </w:tcBorders>
          </w:tcPr>
          <w:p>
            <w:pPr>
              <w:pStyle w:val="128"/>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N</w:t>
            </w:r>
          </w:p>
        </w:tc>
        <w:tc>
          <w:tcPr>
            <w:tcW w:w="2977" w:type="dxa"/>
            <w:gridSpan w:val="4"/>
          </w:tcPr>
          <w:p>
            <w:pPr>
              <w:pStyle w:val="128"/>
              <w:spacing w:after="0"/>
            </w:pPr>
            <w:r>
              <w:t xml:space="preserve"> O&amp;M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p>
        </w:tc>
        <w:tc>
          <w:tcPr>
            <w:tcW w:w="6946" w:type="dxa"/>
            <w:gridSpan w:val="9"/>
            <w:tcBorders>
              <w:right w:val="single" w:color="auto" w:sz="4" w:space="0"/>
            </w:tcBorders>
          </w:tcPr>
          <w:p>
            <w:pPr>
              <w:pStyle w:val="128"/>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28"/>
              <w:spacing w:after="0"/>
              <w:ind w:left="100"/>
              <w:rPr>
                <w:rFonts w:hint="eastAsia" w:eastAsia="宋体"/>
                <w:lang w:val="en-US" w:eastAsia="zh-CN"/>
              </w:rPr>
            </w:pPr>
            <w:r>
              <w:t>This CR impacts the OpenAPI file with a backwards compatible feature</w:t>
            </w:r>
            <w:r>
              <w:rPr>
                <w:rFonts w:hint="eastAsia" w:eastAsia="宋体"/>
                <w:lang w:val="en-US" w:eastAsia="zh-CN"/>
              </w:rPr>
              <w:t>.</w:t>
            </w: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28"/>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28"/>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28"/>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28"/>
              <w:spacing w:after="0"/>
              <w:ind w:left="100"/>
            </w:pPr>
          </w:p>
        </w:tc>
      </w:tr>
    </w:tbl>
    <w:p>
      <w:pPr>
        <w:pStyle w:val="128"/>
        <w:spacing w:after="0"/>
        <w:rPr>
          <w:sz w:val="8"/>
          <w:szCs w:val="8"/>
        </w:rPr>
      </w:pPr>
    </w:p>
    <w:p>
      <w:pPr>
        <w:sectPr>
          <w:headerReference r:id="rId6" w:type="first"/>
          <w:footerReference r:id="rId9" w:type="first"/>
          <w:headerReference r:id="rId4" w:type="default"/>
          <w:footerReference r:id="rId7" w:type="default"/>
          <w:headerReference r:id="rId5" w:type="even"/>
          <w:footerReference r:id="rId8" w:type="even"/>
          <w:footnotePr>
            <w:numRestart w:val="eachSect"/>
          </w:footnotePr>
          <w:pgSz w:w="11907" w:h="16840"/>
          <w:pgMar w:top="1418" w:right="1134" w:bottom="1134" w:left="1134" w:header="680" w:footer="567" w:gutter="0"/>
          <w:cols w:space="720" w:num="1"/>
        </w:sectPr>
      </w:pPr>
    </w:p>
    <w:p>
      <w:pPr>
        <w:pBdr>
          <w:top w:val="single" w:color="auto" w:sz="4" w:space="1"/>
          <w:left w:val="single" w:color="auto" w:sz="4" w:space="4"/>
          <w:bottom w:val="single" w:color="auto" w:sz="4" w:space="1"/>
          <w:right w:val="single" w:color="auto" w:sz="4" w:space="4"/>
        </w:pBdr>
        <w:shd w:val="clear" w:color="auto" w:fill="FFFF00"/>
        <w:jc w:val="center"/>
        <w:outlineLvl w:val="0"/>
        <w:rPr>
          <w:rFonts w:ascii="Arial" w:hAnsi="Arial" w:cs="Arial" w:eastAsiaTheme="minorEastAsia"/>
          <w:color w:val="FF0000"/>
          <w:sz w:val="28"/>
          <w:szCs w:val="28"/>
          <w:lang w:val="en-US"/>
        </w:rPr>
      </w:pPr>
      <w:r>
        <w:rPr>
          <w:rFonts w:ascii="Arial" w:hAnsi="Arial" w:cs="Arial" w:eastAsiaTheme="minorEastAsia"/>
          <w:color w:val="FF0000"/>
          <w:sz w:val="28"/>
          <w:szCs w:val="28"/>
          <w:lang w:val="en-US"/>
        </w:rPr>
        <w:t xml:space="preserve">* * * * </w:t>
      </w:r>
      <w:r>
        <w:rPr>
          <w:rFonts w:hint="eastAsia" w:ascii="Arial" w:hAnsi="Arial" w:cs="Arial" w:eastAsiaTheme="minorEastAsia"/>
          <w:color w:val="FF0000"/>
          <w:sz w:val="28"/>
          <w:szCs w:val="28"/>
          <w:lang w:val="en-US" w:eastAsia="zh-CN"/>
        </w:rPr>
        <w:t>First</w:t>
      </w:r>
      <w:r>
        <w:rPr>
          <w:rFonts w:ascii="Arial" w:hAnsi="Arial" w:cs="Arial" w:eastAsiaTheme="minorEastAsia"/>
          <w:color w:val="FF0000"/>
          <w:sz w:val="28"/>
          <w:szCs w:val="28"/>
          <w:lang w:val="en-US"/>
        </w:rPr>
        <w:t xml:space="preserve"> change * * * *</w:t>
      </w:r>
    </w:p>
    <w:p>
      <w:pPr>
        <w:pStyle w:val="6"/>
        <w:rPr>
          <w:lang w:eastAsia="zh-CN"/>
        </w:rPr>
      </w:pPr>
      <w:bookmarkStart w:id="3" w:name="_Toc130291603"/>
      <w:bookmarkStart w:id="4" w:name="_Toc59016837"/>
      <w:bookmarkStart w:id="5" w:name="_Toc36038247"/>
      <w:bookmarkStart w:id="6" w:name="_Toc45133512"/>
      <w:bookmarkStart w:id="7" w:name="_Toc51762266"/>
      <w:bookmarkStart w:id="8" w:name="_Toc28012304"/>
      <w:bookmarkStart w:id="9" w:name="_Toc129338734"/>
      <w:bookmarkStart w:id="10" w:name="_Toc122116021"/>
      <w:bookmarkStart w:id="11" w:name="_Toc44692694"/>
      <w:bookmarkStart w:id="12" w:name="_Toc59018466"/>
      <w:bookmarkStart w:id="13" w:name="_Toc45134155"/>
      <w:bookmarkStart w:id="14" w:name="_Toc68169472"/>
      <w:bookmarkStart w:id="15" w:name="_Toc28013326"/>
      <w:bookmarkStart w:id="16" w:name="_Toc49607219"/>
      <w:bookmarkStart w:id="17" w:name="_Toc58850086"/>
      <w:bookmarkStart w:id="18" w:name="_Toc36040081"/>
      <w:bookmarkStart w:id="19" w:name="_Toc51763191"/>
      <w:bookmarkStart w:id="20" w:name="_Toc114211628"/>
      <w:r>
        <w:t>4.</w:t>
      </w:r>
      <w:r>
        <w:rPr>
          <w:lang w:eastAsia="zh-CN"/>
        </w:rPr>
        <w:t>1.3.1</w:t>
      </w:r>
      <w:r>
        <w:tab/>
      </w:r>
      <w:r>
        <w:t>Policy Control Function (</w:t>
      </w:r>
      <w:r>
        <w:rPr>
          <w:lang w:eastAsia="zh-CN"/>
        </w:rPr>
        <w:t>PCF)</w:t>
      </w:r>
      <w:bookmarkEnd w:id="3"/>
      <w:bookmarkEnd w:id="4"/>
      <w:bookmarkEnd w:id="5"/>
      <w:bookmarkEnd w:id="6"/>
      <w:bookmarkEnd w:id="7"/>
      <w:bookmarkEnd w:id="8"/>
      <w:bookmarkEnd w:id="9"/>
    </w:p>
    <w:p>
      <w:r>
        <w:t>The PCF (Policy Control Function) performs policy and charging control for the PDU session and/or the flows indicated by the NF service consumer and according to the service requirements provided by the NF service consumer.</w:t>
      </w:r>
    </w:p>
    <w:p>
      <w:r>
        <w:t>The policy and charging control for service data flows enable the PCF to provide network control regarding the service data flow detection, gating, QoS and flow based charging (except credit management) towards the SMF/UPF.</w:t>
      </w:r>
    </w:p>
    <w:p>
      <w:pPr>
        <w:rPr>
          <w:highlight w:val="none"/>
        </w:rPr>
      </w:pPr>
      <w:r>
        <w:t xml:space="preserve">The PCF receives session and media related information from the Npcf_PolicyAuthorization service consumers and notifies them of subscribed traffic </w:t>
      </w:r>
      <w:r>
        <w:rPr>
          <w:highlight w:val="none"/>
        </w:rPr>
        <w:t xml:space="preserve">plane events. </w:t>
      </w:r>
    </w:p>
    <w:p>
      <w:pPr>
        <w:rPr>
          <w:highlight w:val="none"/>
        </w:rPr>
      </w:pPr>
      <w:r>
        <w:rPr>
          <w:highlight w:val="none"/>
        </w:rPr>
        <w:t>The PCF may receive from the NF service consumers the request to monitor the requested service and media information and notifies them of the UL/DL/round-trip delay of the requested flows.</w:t>
      </w:r>
    </w:p>
    <w:p>
      <w:pPr>
        <w:rPr>
          <w:highlight w:val="none"/>
        </w:rPr>
      </w:pPr>
      <w:r>
        <w:rPr>
          <w:highlight w:val="none"/>
        </w:rPr>
        <w:t xml:space="preserve">The PCF may receive service routing requirements and the indication of receiving notifications about user plane path changes from the Npcf_PolicyAuthorization service consumers. </w:t>
      </w:r>
    </w:p>
    <w:p>
      <w:pPr>
        <w:rPr>
          <w:highlight w:val="none"/>
        </w:rPr>
      </w:pPr>
      <w:r>
        <w:rPr>
          <w:highlight w:val="none"/>
        </w:rPr>
        <w:t>The PCF may receive from the NF service consumers the specific required QoS and a prioritized list of alternative QoS profiles and notifies them about the QoS target the access network guarantees.</w:t>
      </w:r>
    </w:p>
    <w:p>
      <w:pPr>
        <w:rPr>
          <w:highlight w:val="none"/>
        </w:rPr>
      </w:pPr>
      <w:r>
        <w:rPr>
          <w:highlight w:val="none"/>
        </w:rPr>
        <w:t>The PCF checks that the service information provided by the NF service consumer is consistent with the operator defined policy rules before storing the service information.</w:t>
      </w:r>
    </w:p>
    <w:p>
      <w:pPr>
        <w:rPr>
          <w:highlight w:val="none"/>
        </w:rPr>
      </w:pPr>
      <w:r>
        <w:rPr>
          <w:highlight w:val="none"/>
        </w:rPr>
        <w:t>The PCF uses the received service information and the subscription information when it applies as basis for the policy and charging control decisions.</w:t>
      </w:r>
    </w:p>
    <w:p>
      <w:r>
        <w:t>The PCF derives PCC rules and provisions them to the SMF via the Npcf_SMPolicyControl service and subscribes to traffic plane events via policy control request triggers as described in 3GPP TS 29.512 [8].</w:t>
      </w:r>
    </w:p>
    <w:p>
      <w:r>
        <w:t xml:space="preserve">To enable </w:t>
      </w:r>
      <w:r>
        <w:rPr>
          <w:rFonts w:cs="Arial"/>
          <w:szCs w:val="18"/>
          <w:lang w:eastAsia="es-ES"/>
        </w:rPr>
        <w:t>Time Sensitive Communication, Time Synchronization</w:t>
      </w:r>
      <w:r>
        <w:t xml:space="preserve"> and Deterministic Networking, the PCF:</w:t>
      </w:r>
    </w:p>
    <w:p>
      <w:pPr>
        <w:pStyle w:val="122"/>
      </w:pPr>
      <w:r>
        <w:t>-</w:t>
      </w:r>
      <w:r>
        <w:tab/>
      </w:r>
      <w:r>
        <w:t>notifies the NF service consumer (i.e. TSN AF or TSCTSF) about the TSC user plane node and port number corresponding to the device side of a PDU session;</w:t>
      </w:r>
    </w:p>
    <w:p>
      <w:pPr>
        <w:pStyle w:val="122"/>
      </w:pPr>
      <w:bookmarkStart w:id="21" w:name="OLE_LINK4"/>
      <w:r>
        <w:t>-</w:t>
      </w:r>
      <w:r>
        <w:tab/>
      </w:r>
      <w:r>
        <w:t>enables the NF service consumer (i.e. TSN AF or TSCTSF) configures/reads information from the TSC user plane node and ports by forwarding TSC user plane node management containers and port management containers to the SMF as described in 3GPP TS 29.512 [8];</w:t>
      </w:r>
    </w:p>
    <w:bookmarkEnd w:id="21"/>
    <w:p>
      <w:pPr>
        <w:pStyle w:val="122"/>
      </w:pPr>
      <w:r>
        <w:t>-</w:t>
      </w:r>
      <w:r>
        <w:tab/>
      </w:r>
      <w:r>
        <w:t>notifies the NF service consumer (i.e. TSN AF or TSCTSF) about updated TSC user plane node configuration and port configuration information by forwarding TSC user plane node management containers and port management containers received from the SMF; and</w:t>
      </w:r>
    </w:p>
    <w:p>
      <w:pPr>
        <w:pStyle w:val="122"/>
      </w:pPr>
      <w:r>
        <w:t>-</w:t>
      </w:r>
      <w:r>
        <w:tab/>
      </w:r>
      <w:r>
        <w:t xml:space="preserve">uses the received QoS and TSC assistance information to derive the policy information </w:t>
      </w:r>
      <w:bookmarkStart w:id="22" w:name="OLE_LINK5"/>
      <w:r>
        <w:t>delivered in the PCC rule to the SMF as described in 3GPP TS 29.512 [8].</w:t>
      </w:r>
      <w:bookmarkEnd w:id="22"/>
    </w:p>
    <w:p>
      <w:pPr>
        <w:rPr>
          <w:ins w:id="0" w:author="CMCC" w:date="2023-04-09T23:17:47Z"/>
          <w:rFonts w:hint="default" w:eastAsia="宋体"/>
          <w:lang w:val="en-US" w:eastAsia="zh-CN"/>
        </w:rPr>
      </w:pPr>
      <w:ins w:id="1" w:author="CMCC" w:date="2023-04-09T23:17:47Z">
        <w:r>
          <w:rPr/>
          <w:t xml:space="preserve">To enable </w:t>
        </w:r>
      </w:ins>
      <w:ins w:id="2" w:author="CMCC" w:date="2023-04-09T23:18:02Z">
        <w:r>
          <w:rPr>
            <w:rFonts w:hint="eastAsia" w:eastAsia="宋体"/>
            <w:lang w:val="en-US" w:eastAsia="zh-CN"/>
          </w:rPr>
          <w:t>P</w:t>
        </w:r>
      </w:ins>
      <w:ins w:id="3" w:author="CMCC" w:date="2023-04-09T23:18:03Z">
        <w:r>
          <w:rPr>
            <w:rFonts w:hint="eastAsia" w:eastAsia="宋体"/>
            <w:lang w:val="en-US" w:eastAsia="zh-CN"/>
          </w:rPr>
          <w:t xml:space="preserve">DU </w:t>
        </w:r>
      </w:ins>
      <w:ins w:id="4" w:author="CMCC" w:date="2023-04-09T23:18:11Z">
        <w:r>
          <w:rPr>
            <w:rFonts w:hint="eastAsia" w:eastAsia="宋体"/>
            <w:lang w:val="en-US" w:eastAsia="zh-CN"/>
          </w:rPr>
          <w:t>S</w:t>
        </w:r>
      </w:ins>
      <w:ins w:id="5" w:author="CMCC" w:date="2023-04-09T23:18:05Z">
        <w:r>
          <w:rPr>
            <w:rFonts w:hint="eastAsia" w:eastAsia="宋体"/>
            <w:lang w:val="en-US" w:eastAsia="zh-CN"/>
          </w:rPr>
          <w:t>e</w:t>
        </w:r>
      </w:ins>
      <w:ins w:id="6" w:author="CMCC" w:date="2023-04-09T23:18:07Z">
        <w:r>
          <w:rPr>
            <w:rFonts w:hint="eastAsia" w:eastAsia="宋体"/>
            <w:lang w:val="en-US" w:eastAsia="zh-CN"/>
          </w:rPr>
          <w:t>t hand</w:t>
        </w:r>
      </w:ins>
      <w:ins w:id="7" w:author="CMCC" w:date="2023-04-09T23:18:08Z">
        <w:r>
          <w:rPr>
            <w:rFonts w:hint="eastAsia" w:eastAsia="宋体"/>
            <w:lang w:val="en-US" w:eastAsia="zh-CN"/>
          </w:rPr>
          <w:t>ling</w:t>
        </w:r>
      </w:ins>
      <w:ins w:id="8" w:author="CMCC" w:date="2023-04-09T23:17:47Z">
        <w:r>
          <w:rPr/>
          <w:t>, the PCF</w:t>
        </w:r>
      </w:ins>
      <w:ins w:id="9" w:author="CMCC" w:date="2023-04-09T23:21:14Z">
        <w:r>
          <w:rPr>
            <w:rFonts w:hint="eastAsia" w:eastAsia="宋体"/>
            <w:lang w:val="en-US" w:eastAsia="zh-CN"/>
          </w:rPr>
          <w:t xml:space="preserve"> ma</w:t>
        </w:r>
      </w:ins>
      <w:ins w:id="10" w:author="CMCC" w:date="2023-04-09T23:21:15Z">
        <w:r>
          <w:rPr>
            <w:rFonts w:hint="eastAsia" w:eastAsia="宋体"/>
            <w:lang w:val="en-US" w:eastAsia="zh-CN"/>
          </w:rPr>
          <w:t>y rece</w:t>
        </w:r>
      </w:ins>
      <w:ins w:id="11" w:author="CMCC" w:date="2023-04-09T23:21:16Z">
        <w:r>
          <w:rPr>
            <w:rFonts w:hint="eastAsia" w:eastAsia="宋体"/>
            <w:lang w:val="en-US" w:eastAsia="zh-CN"/>
          </w:rPr>
          <w:t>ive</w:t>
        </w:r>
      </w:ins>
      <w:ins w:id="12" w:author="CMCC" w:date="2023-04-09T23:21:16Z">
        <w:del w:id="13" w:author="CMCC-r2" w:date="2023-04-20T18:56:10Z">
          <w:r>
            <w:rPr>
              <w:rFonts w:hint="eastAsia" w:eastAsia="宋体"/>
              <w:lang w:val="en-US" w:eastAsia="zh-CN"/>
            </w:rPr>
            <w:delText xml:space="preserve"> </w:delText>
          </w:r>
        </w:del>
      </w:ins>
      <w:ins w:id="14" w:author="CMCC" w:date="2023-04-09T23:21:19Z">
        <w:del w:id="15" w:author="CMCC-r2" w:date="2023-04-20T18:56:10Z">
          <w:r>
            <w:rPr>
              <w:rFonts w:hint="eastAsia" w:eastAsia="宋体"/>
              <w:lang w:val="en-US" w:eastAsia="zh-CN"/>
            </w:rPr>
            <w:delText>f</w:delText>
          </w:r>
        </w:del>
      </w:ins>
      <w:ins w:id="16" w:author="CMCC" w:date="2023-04-09T23:21:20Z">
        <w:del w:id="17" w:author="CMCC-r2" w:date="2023-04-20T18:56:10Z">
          <w:r>
            <w:rPr>
              <w:rFonts w:hint="eastAsia" w:eastAsia="宋体"/>
              <w:lang w:val="en-US" w:eastAsia="zh-CN"/>
            </w:rPr>
            <w:delText xml:space="preserve">rom the </w:delText>
          </w:r>
        </w:del>
      </w:ins>
      <w:ins w:id="18" w:author="CMCC" w:date="2023-04-09T23:21:21Z">
        <w:del w:id="19" w:author="CMCC-r2" w:date="2023-04-20T18:56:10Z">
          <w:r>
            <w:rPr>
              <w:rFonts w:hint="eastAsia" w:eastAsia="宋体"/>
              <w:lang w:val="en-US" w:eastAsia="zh-CN"/>
            </w:rPr>
            <w:delText xml:space="preserve">NF </w:delText>
          </w:r>
        </w:del>
      </w:ins>
      <w:ins w:id="20" w:author="CMCC" w:date="2023-04-09T23:21:22Z">
        <w:del w:id="21" w:author="CMCC-r2" w:date="2023-04-20T18:56:10Z">
          <w:r>
            <w:rPr>
              <w:rFonts w:hint="eastAsia" w:eastAsia="宋体"/>
              <w:lang w:val="en-US" w:eastAsia="zh-CN"/>
            </w:rPr>
            <w:delText xml:space="preserve">service </w:delText>
          </w:r>
        </w:del>
      </w:ins>
      <w:ins w:id="22" w:author="CMCC" w:date="2023-04-09T23:21:23Z">
        <w:del w:id="23" w:author="CMCC-r2" w:date="2023-04-20T18:56:10Z">
          <w:r>
            <w:rPr>
              <w:rFonts w:hint="eastAsia" w:eastAsia="宋体"/>
              <w:lang w:val="en-US" w:eastAsia="zh-CN"/>
            </w:rPr>
            <w:delText>con</w:delText>
          </w:r>
        </w:del>
      </w:ins>
      <w:ins w:id="24" w:author="CMCC" w:date="2023-04-09T23:21:24Z">
        <w:del w:id="25" w:author="CMCC-r2" w:date="2023-04-20T18:56:10Z">
          <w:r>
            <w:rPr>
              <w:rFonts w:hint="eastAsia" w:eastAsia="宋体"/>
              <w:lang w:val="en-US" w:eastAsia="zh-CN"/>
            </w:rPr>
            <w:delText>su</w:delText>
          </w:r>
        </w:del>
      </w:ins>
      <w:ins w:id="26" w:author="CMCC" w:date="2023-04-09T23:21:25Z">
        <w:del w:id="27" w:author="CMCC-r2" w:date="2023-04-20T18:56:10Z">
          <w:r>
            <w:rPr>
              <w:rFonts w:hint="eastAsia" w:eastAsia="宋体"/>
              <w:lang w:val="en-US" w:eastAsia="zh-CN"/>
            </w:rPr>
            <w:delText>mers</w:delText>
          </w:r>
        </w:del>
      </w:ins>
      <w:ins w:id="28" w:author="CMCC" w:date="2023-04-09T23:21:25Z">
        <w:r>
          <w:rPr>
            <w:rFonts w:hint="eastAsia" w:eastAsia="宋体"/>
            <w:lang w:val="en-US" w:eastAsia="zh-CN"/>
          </w:rPr>
          <w:t xml:space="preserve"> the </w:t>
        </w:r>
      </w:ins>
      <w:ins w:id="29" w:author="CMCC" w:date="2023-04-09T23:21:31Z">
        <w:r>
          <w:rPr>
            <w:rFonts w:hint="eastAsia" w:eastAsia="宋体"/>
            <w:lang w:val="en-US" w:eastAsia="zh-CN"/>
          </w:rPr>
          <w:t>PD</w:t>
        </w:r>
      </w:ins>
      <w:ins w:id="30" w:author="CMCC" w:date="2023-04-09T23:21:32Z">
        <w:r>
          <w:rPr>
            <w:rFonts w:hint="eastAsia" w:eastAsia="宋体"/>
            <w:lang w:val="en-US" w:eastAsia="zh-CN"/>
          </w:rPr>
          <w:t xml:space="preserve">U set </w:t>
        </w:r>
      </w:ins>
      <w:ins w:id="31" w:author="CMCC" w:date="2023-04-09T23:21:34Z">
        <w:r>
          <w:rPr>
            <w:rFonts w:hint="eastAsia" w:eastAsia="宋体"/>
            <w:lang w:val="en-US" w:eastAsia="zh-CN"/>
          </w:rPr>
          <w:t>r</w:t>
        </w:r>
      </w:ins>
      <w:ins w:id="32" w:author="CMCC" w:date="2023-04-09T23:21:35Z">
        <w:r>
          <w:rPr>
            <w:rFonts w:hint="eastAsia" w:eastAsia="宋体"/>
            <w:lang w:val="en-US" w:eastAsia="zh-CN"/>
          </w:rPr>
          <w:t xml:space="preserve">elated </w:t>
        </w:r>
      </w:ins>
      <w:ins w:id="33" w:author="CMCC" w:date="2023-04-09T23:21:36Z">
        <w:r>
          <w:rPr>
            <w:rFonts w:hint="eastAsia" w:eastAsia="宋体"/>
            <w:lang w:val="en-US" w:eastAsia="zh-CN"/>
          </w:rPr>
          <w:t>Qo</w:t>
        </w:r>
      </w:ins>
      <w:ins w:id="34" w:author="CMCC" w:date="2023-04-09T23:21:38Z">
        <w:r>
          <w:rPr>
            <w:rFonts w:hint="eastAsia" w:eastAsia="宋体"/>
            <w:lang w:val="en-US" w:eastAsia="zh-CN"/>
          </w:rPr>
          <w:t>S</w:t>
        </w:r>
      </w:ins>
      <w:ins w:id="35" w:author="CMCC-r2" w:date="2023-04-20T18:56:16Z">
        <w:r>
          <w:rPr>
            <w:rFonts w:hint="eastAsia" w:eastAsia="宋体"/>
            <w:lang w:val="en-US" w:eastAsia="zh-CN"/>
          </w:rPr>
          <w:t xml:space="preserve"> from the NF service consumers</w:t>
        </w:r>
      </w:ins>
      <w:ins w:id="36" w:author="CMCC" w:date="2023-04-09T23:23:05Z">
        <w:r>
          <w:rPr>
            <w:rFonts w:hint="eastAsia" w:eastAsia="宋体"/>
            <w:lang w:val="en-US" w:eastAsia="zh-CN"/>
          </w:rPr>
          <w:t xml:space="preserve"> to </w:t>
        </w:r>
      </w:ins>
      <w:ins w:id="37" w:author="CMCC" w:date="2023-04-09T23:23:06Z">
        <w:r>
          <w:rPr>
            <w:rFonts w:hint="eastAsia" w:eastAsia="宋体"/>
            <w:lang w:val="en-US" w:eastAsia="zh-CN"/>
          </w:rPr>
          <w:t>deriv</w:t>
        </w:r>
      </w:ins>
      <w:ins w:id="38" w:author="CMCC" w:date="2023-04-09T23:23:07Z">
        <w:r>
          <w:rPr>
            <w:rFonts w:hint="eastAsia" w:eastAsia="宋体"/>
            <w:lang w:val="en-US" w:eastAsia="zh-CN"/>
          </w:rPr>
          <w:t xml:space="preserve">e the </w:t>
        </w:r>
      </w:ins>
      <w:ins w:id="39" w:author="CMCC" w:date="2023-04-09T23:23:14Z">
        <w:r>
          <w:rPr>
            <w:rFonts w:hint="eastAsia" w:eastAsia="宋体"/>
            <w:lang w:val="en-US" w:eastAsia="zh-CN"/>
          </w:rPr>
          <w:t>policy</w:t>
        </w:r>
      </w:ins>
      <w:ins w:id="40" w:author="CMCC" w:date="2023-04-09T23:23:15Z">
        <w:r>
          <w:rPr>
            <w:rFonts w:hint="eastAsia" w:eastAsia="宋体"/>
            <w:lang w:val="en-US" w:eastAsia="zh-CN"/>
          </w:rPr>
          <w:t xml:space="preserve"> info</w:t>
        </w:r>
      </w:ins>
      <w:ins w:id="41" w:author="CMCC" w:date="2023-04-09T23:23:16Z">
        <w:r>
          <w:rPr>
            <w:rFonts w:hint="eastAsia" w:eastAsia="宋体"/>
            <w:lang w:val="en-US" w:eastAsia="zh-CN"/>
          </w:rPr>
          <w:t>rmation</w:t>
        </w:r>
      </w:ins>
      <w:ins w:id="42" w:author="CMCC" w:date="2023-04-09T23:23:22Z">
        <w:r>
          <w:rPr>
            <w:rFonts w:hint="eastAsia" w:eastAsia="宋体"/>
            <w:lang w:val="en-US" w:eastAsia="zh-CN"/>
          </w:rPr>
          <w:t xml:space="preserve"> </w:t>
        </w:r>
      </w:ins>
      <w:ins w:id="43" w:author="CMCC" w:date="2023-04-09T23:23:23Z">
        <w:r>
          <w:rPr/>
          <w:t>delivered in the PCC rule to the SMF as described in 3GPP TS 29.512 [8].</w:t>
        </w:r>
      </w:ins>
    </w:p>
    <w:p>
      <w:pPr>
        <w:rPr>
          <w:lang w:eastAsia="zh-CN"/>
        </w:rPr>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23" w:name="_Toc45133517"/>
      <w:bookmarkStart w:id="24" w:name="_Toc36038252"/>
      <w:bookmarkStart w:id="25" w:name="_Toc130291608"/>
      <w:bookmarkStart w:id="26" w:name="_Toc51762271"/>
      <w:bookmarkStart w:id="27" w:name="_Toc28012309"/>
      <w:bookmarkStart w:id="28" w:name="_Toc59016842"/>
      <w:bookmarkStart w:id="29" w:name="_Toc129338739"/>
      <w:r>
        <w:t>4.2.2.1</w:t>
      </w:r>
      <w:r>
        <w:tab/>
      </w:r>
      <w:r>
        <w:t>General</w:t>
      </w:r>
      <w:bookmarkEnd w:id="23"/>
      <w:bookmarkEnd w:id="24"/>
      <w:bookmarkEnd w:id="25"/>
      <w:bookmarkEnd w:id="26"/>
      <w:bookmarkEnd w:id="27"/>
      <w:bookmarkEnd w:id="28"/>
      <w:bookmarkEnd w:id="29"/>
    </w:p>
    <w:p>
      <w:pPr>
        <w:rPr>
          <w:lang w:eastAsia="zh-CN"/>
        </w:rPr>
      </w:pPr>
      <w:r>
        <w:rPr>
          <w:lang w:eastAsia="zh-CN"/>
        </w:rPr>
        <w:t xml:space="preserve">The Npcf_PolicyAuthorization_Create service operation authorizes the request from the NF service consumer, and optionally communicates with </w:t>
      </w:r>
      <w:r>
        <w:rPr>
          <w:lang w:eastAsia="ja-JP"/>
        </w:rPr>
        <w:t xml:space="preserve">Npcf_SMPolicyControl service to </w:t>
      </w:r>
      <w:r>
        <w:rPr>
          <w:lang w:eastAsia="zh-CN"/>
        </w:rPr>
        <w:t>determine and install</w:t>
      </w:r>
      <w:r>
        <w:rPr>
          <w:lang w:eastAsia="ja-JP"/>
        </w:rPr>
        <w:t xml:space="preserve"> the policy</w:t>
      </w:r>
      <w:r>
        <w:rPr>
          <w:lang w:eastAsia="zh-CN"/>
        </w:rPr>
        <w:t xml:space="preserve"> according to the information provided by the NF service consumer.</w:t>
      </w:r>
    </w:p>
    <w:p>
      <w:pPr>
        <w:rPr>
          <w:lang w:eastAsia="zh-CN"/>
        </w:rPr>
      </w:pPr>
      <w:r>
        <w:rPr>
          <w:lang w:eastAsia="zh-CN"/>
        </w:rPr>
        <w:t>The Npcf_PolicyAuthorization_Create service operation creates an application session context in the PCF.</w:t>
      </w:r>
    </w:p>
    <w:p>
      <w:pPr>
        <w:rPr>
          <w:highlight w:val="none"/>
          <w:lang w:eastAsia="zh-CN"/>
        </w:rPr>
      </w:pPr>
      <w:r>
        <w:rPr>
          <w:lang w:eastAsia="zh-CN"/>
        </w:rPr>
        <w:t>The foll</w:t>
      </w:r>
      <w:r>
        <w:rPr>
          <w:highlight w:val="none"/>
          <w:lang w:eastAsia="zh-CN"/>
        </w:rPr>
        <w:t>owing procedures using the Npcf_PolicyAuthorization_Create service operation are supported:</w:t>
      </w:r>
    </w:p>
    <w:p>
      <w:pPr>
        <w:pStyle w:val="122"/>
        <w:rPr>
          <w:highlight w:val="none"/>
        </w:rPr>
      </w:pPr>
      <w:r>
        <w:rPr>
          <w:highlight w:val="none"/>
        </w:rPr>
        <w:t>-</w:t>
      </w:r>
      <w:r>
        <w:rPr>
          <w:highlight w:val="none"/>
        </w:rPr>
        <w:tab/>
      </w:r>
      <w:r>
        <w:rPr>
          <w:highlight w:val="none"/>
        </w:rPr>
        <w:t>Initial provisioning of service information.</w:t>
      </w:r>
    </w:p>
    <w:p>
      <w:pPr>
        <w:pStyle w:val="122"/>
        <w:rPr>
          <w:highlight w:val="none"/>
        </w:rPr>
      </w:pPr>
      <w:r>
        <w:rPr>
          <w:highlight w:val="none"/>
        </w:rPr>
        <w:t>-</w:t>
      </w:r>
      <w:r>
        <w:rPr>
          <w:highlight w:val="none"/>
        </w:rPr>
        <w:tab/>
      </w:r>
      <w:r>
        <w:rPr>
          <w:highlight w:val="none"/>
        </w:rPr>
        <w:t>Gate control.</w:t>
      </w:r>
    </w:p>
    <w:p>
      <w:pPr>
        <w:pStyle w:val="122"/>
        <w:rPr>
          <w:highlight w:val="none"/>
        </w:rPr>
      </w:pPr>
      <w:r>
        <w:rPr>
          <w:highlight w:val="none"/>
        </w:rPr>
        <w:t>-</w:t>
      </w:r>
      <w:r>
        <w:rPr>
          <w:highlight w:val="none"/>
        </w:rPr>
        <w:tab/>
      </w:r>
      <w:r>
        <w:rPr>
          <w:highlight w:val="none"/>
        </w:rPr>
        <w:t>Initial Background Data Transfer policy indication.</w:t>
      </w:r>
    </w:p>
    <w:p>
      <w:pPr>
        <w:pStyle w:val="122"/>
        <w:rPr>
          <w:highlight w:val="none"/>
        </w:rPr>
      </w:pPr>
      <w:r>
        <w:rPr>
          <w:highlight w:val="none"/>
        </w:rPr>
        <w:t>-</w:t>
      </w:r>
      <w:r>
        <w:rPr>
          <w:highlight w:val="none"/>
        </w:rPr>
        <w:tab/>
      </w:r>
      <w:r>
        <w:rPr>
          <w:highlight w:val="none"/>
        </w:rPr>
        <w:t>Initial provisioning of sponsored connectivity information.</w:t>
      </w:r>
    </w:p>
    <w:p>
      <w:pPr>
        <w:pStyle w:val="122"/>
        <w:rPr>
          <w:highlight w:val="none"/>
        </w:rPr>
      </w:pPr>
      <w:r>
        <w:rPr>
          <w:highlight w:val="none"/>
        </w:rPr>
        <w:t>-</w:t>
      </w:r>
      <w:r>
        <w:rPr>
          <w:highlight w:val="none"/>
        </w:rPr>
        <w:tab/>
      </w:r>
      <w:r>
        <w:rPr>
          <w:highlight w:val="none"/>
        </w:rPr>
        <w:t>Subscription to Service Data Flow QoS notification control.</w:t>
      </w:r>
    </w:p>
    <w:p>
      <w:pPr>
        <w:pStyle w:val="122"/>
      </w:pPr>
      <w:r>
        <w:t>-</w:t>
      </w:r>
      <w:r>
        <w:tab/>
      </w:r>
      <w:r>
        <w:t>Subscription to Service Data Flow Deactivation.</w:t>
      </w:r>
    </w:p>
    <w:p>
      <w:pPr>
        <w:pStyle w:val="122"/>
      </w:pPr>
      <w:r>
        <w:t>-</w:t>
      </w:r>
      <w:r>
        <w:tab/>
      </w:r>
      <w:r>
        <w:t>Initial provisioning of traffic routing information.</w:t>
      </w:r>
    </w:p>
    <w:p>
      <w:pPr>
        <w:pStyle w:val="122"/>
      </w:pPr>
      <w:r>
        <w:t>-</w:t>
      </w:r>
      <w:r>
        <w:tab/>
      </w:r>
      <w:r>
        <w:t>Subscription to resources allocation outcome.</w:t>
      </w:r>
    </w:p>
    <w:p>
      <w:pPr>
        <w:pStyle w:val="122"/>
      </w:pPr>
      <w:r>
        <w:t>-</w:t>
      </w:r>
      <w:r>
        <w:tab/>
      </w:r>
      <w:r>
        <w:t>Invocation of Multimedia Priority Services.</w:t>
      </w:r>
    </w:p>
    <w:p>
      <w:pPr>
        <w:pStyle w:val="122"/>
      </w:pPr>
      <w:r>
        <w:t>-</w:t>
      </w:r>
      <w:r>
        <w:tab/>
      </w:r>
      <w:r>
        <w:t>Support of content versioning.</w:t>
      </w:r>
    </w:p>
    <w:p>
      <w:pPr>
        <w:pStyle w:val="122"/>
      </w:pPr>
      <w:r>
        <w:t>-</w:t>
      </w:r>
      <w:r>
        <w:tab/>
      </w:r>
      <w:r>
        <w:t>Request of access network information.</w:t>
      </w:r>
    </w:p>
    <w:p>
      <w:pPr>
        <w:pStyle w:val="122"/>
      </w:pPr>
      <w:r>
        <w:t>-</w:t>
      </w:r>
      <w:r>
        <w:tab/>
      </w:r>
      <w:r>
        <w:t>Initial provisioning of service information status.</w:t>
      </w:r>
    </w:p>
    <w:p>
      <w:pPr>
        <w:pStyle w:val="122"/>
      </w:pPr>
      <w:r>
        <w:t>-</w:t>
      </w:r>
      <w:r>
        <w:tab/>
      </w:r>
      <w:r>
        <w:t>Provisioning of signalling flow information.</w:t>
      </w:r>
    </w:p>
    <w:p>
      <w:pPr>
        <w:pStyle w:val="122"/>
      </w:pPr>
      <w:r>
        <w:t>-</w:t>
      </w:r>
      <w:r>
        <w:tab/>
      </w:r>
      <w:r>
        <w:t>Support of resource sharing.</w:t>
      </w:r>
    </w:p>
    <w:p>
      <w:pPr>
        <w:pStyle w:val="122"/>
      </w:pPr>
      <w:r>
        <w:t>-</w:t>
      </w:r>
      <w:r>
        <w:tab/>
      </w:r>
      <w:r>
        <w:t>Indication of Emergency traffic.</w:t>
      </w:r>
    </w:p>
    <w:p>
      <w:pPr>
        <w:pStyle w:val="122"/>
      </w:pPr>
      <w:r>
        <w:t>-</w:t>
      </w:r>
      <w:r>
        <w:tab/>
      </w:r>
      <w:r>
        <w:t>Invocation of MCPTT.</w:t>
      </w:r>
    </w:p>
    <w:p>
      <w:pPr>
        <w:pStyle w:val="122"/>
      </w:pPr>
      <w:r>
        <w:t>-</w:t>
      </w:r>
      <w:r>
        <w:tab/>
      </w:r>
      <w:r>
        <w:t>Invocation of MCVideo.</w:t>
      </w:r>
    </w:p>
    <w:p>
      <w:pPr>
        <w:pStyle w:val="122"/>
        <w:rPr>
          <w:highlight w:val="none"/>
        </w:rPr>
      </w:pPr>
      <w:r>
        <w:rPr>
          <w:highlight w:val="none"/>
        </w:rPr>
        <w:t>-</w:t>
      </w:r>
      <w:r>
        <w:rPr>
          <w:highlight w:val="none"/>
        </w:rPr>
        <w:tab/>
      </w:r>
      <w:r>
        <w:rPr>
          <w:highlight w:val="none"/>
        </w:rPr>
        <w:t>Priority sharing indication.</w:t>
      </w:r>
    </w:p>
    <w:p>
      <w:pPr>
        <w:pStyle w:val="122"/>
        <w:rPr>
          <w:highlight w:val="none"/>
        </w:rPr>
      </w:pPr>
      <w:r>
        <w:rPr>
          <w:highlight w:val="none"/>
        </w:rPr>
        <w:t>-</w:t>
      </w:r>
      <w:r>
        <w:rPr>
          <w:highlight w:val="none"/>
        </w:rPr>
        <w:tab/>
      </w:r>
      <w:r>
        <w:rPr>
          <w:highlight w:val="none"/>
        </w:rPr>
        <w:t>Subscription to out of credit notification.</w:t>
      </w:r>
    </w:p>
    <w:p>
      <w:pPr>
        <w:pStyle w:val="122"/>
        <w:rPr>
          <w:highlight w:val="none"/>
        </w:rPr>
      </w:pPr>
      <w:r>
        <w:rPr>
          <w:highlight w:val="none"/>
        </w:rPr>
        <w:t>-</w:t>
      </w:r>
      <w:r>
        <w:rPr>
          <w:highlight w:val="none"/>
        </w:rPr>
        <w:tab/>
      </w:r>
      <w:r>
        <w:rPr>
          <w:highlight w:val="none"/>
        </w:rPr>
        <w:t>Subscription to Service Data Flow QoS Monitoring information.</w:t>
      </w:r>
    </w:p>
    <w:p>
      <w:pPr>
        <w:pStyle w:val="122"/>
        <w:rPr>
          <w:highlight w:val="none"/>
        </w:rPr>
      </w:pPr>
      <w:bookmarkStart w:id="30" w:name="OLE_LINK2"/>
      <w:r>
        <w:rPr>
          <w:highlight w:val="none"/>
        </w:rPr>
        <w:t>-</w:t>
      </w:r>
      <w:r>
        <w:rPr>
          <w:highlight w:val="none"/>
        </w:rPr>
        <w:tab/>
      </w:r>
      <w:r>
        <w:rPr>
          <w:highlight w:val="none"/>
        </w:rPr>
        <w:t>Provisioning of TSCAI input information and TSC QoS related data.</w:t>
      </w:r>
    </w:p>
    <w:bookmarkEnd w:id="30"/>
    <w:p>
      <w:pPr>
        <w:pStyle w:val="122"/>
        <w:rPr>
          <w:highlight w:val="none"/>
        </w:rPr>
      </w:pPr>
      <w:r>
        <w:rPr>
          <w:highlight w:val="none"/>
        </w:rPr>
        <w:t>-</w:t>
      </w:r>
      <w:r>
        <w:rPr>
          <w:highlight w:val="none"/>
        </w:rPr>
        <w:tab/>
      </w:r>
      <w:r>
        <w:rPr>
          <w:highlight w:val="none"/>
        </w:rPr>
        <w:t>Provisioning of TSC user plane node management information and port management information.</w:t>
      </w:r>
    </w:p>
    <w:p>
      <w:pPr>
        <w:pStyle w:val="122"/>
        <w:rPr>
          <w:highlight w:val="none"/>
        </w:rPr>
      </w:pPr>
      <w:r>
        <w:rPr>
          <w:highlight w:val="none"/>
        </w:rPr>
        <w:t>-</w:t>
      </w:r>
      <w:r>
        <w:rPr>
          <w:highlight w:val="none"/>
        </w:rPr>
        <w:tab/>
      </w:r>
      <w:r>
        <w:rPr>
          <w:highlight w:val="none"/>
        </w:rPr>
        <w:t>P-CSCF restoration enhancements.</w:t>
      </w:r>
    </w:p>
    <w:p>
      <w:pPr>
        <w:pStyle w:val="122"/>
        <w:rPr>
          <w:highlight w:val="none"/>
        </w:rPr>
      </w:pPr>
      <w:r>
        <w:rPr>
          <w:highlight w:val="none"/>
        </w:rPr>
        <w:t>-</w:t>
      </w:r>
      <w:r>
        <w:rPr>
          <w:highlight w:val="none"/>
        </w:rPr>
        <w:tab/>
      </w:r>
      <w:r>
        <w:rPr>
          <w:highlight w:val="none"/>
        </w:rPr>
        <w:t>Support of CHEM feature.</w:t>
      </w:r>
    </w:p>
    <w:p>
      <w:pPr>
        <w:pStyle w:val="122"/>
        <w:rPr>
          <w:highlight w:val="none"/>
        </w:rPr>
      </w:pPr>
      <w:r>
        <w:rPr>
          <w:highlight w:val="none"/>
        </w:rPr>
        <w:t>-</w:t>
      </w:r>
      <w:r>
        <w:rPr>
          <w:highlight w:val="none"/>
        </w:rPr>
        <w:tab/>
      </w:r>
      <w:r>
        <w:rPr>
          <w:highlight w:val="none"/>
        </w:rPr>
        <w:t>Support of FLUS feature.</w:t>
      </w:r>
    </w:p>
    <w:p>
      <w:pPr>
        <w:pStyle w:val="122"/>
        <w:rPr>
          <w:highlight w:val="none"/>
        </w:rPr>
      </w:pPr>
      <w:r>
        <w:rPr>
          <w:highlight w:val="none"/>
        </w:rPr>
        <w:t>-</w:t>
      </w:r>
      <w:r>
        <w:rPr>
          <w:highlight w:val="none"/>
        </w:rPr>
        <w:tab/>
      </w:r>
      <w:r>
        <w:rPr>
          <w:highlight w:val="none"/>
        </w:rPr>
        <w:t xml:space="preserve">Subscription to EPS Fallback report. </w:t>
      </w:r>
    </w:p>
    <w:p>
      <w:pPr>
        <w:pStyle w:val="122"/>
        <w:rPr>
          <w:highlight w:val="none"/>
        </w:rPr>
      </w:pPr>
      <w:r>
        <w:rPr>
          <w:highlight w:val="none"/>
        </w:rPr>
        <w:t>-</w:t>
      </w:r>
      <w:r>
        <w:rPr>
          <w:highlight w:val="none"/>
        </w:rPr>
        <w:tab/>
      </w:r>
      <w:r>
        <w:rPr>
          <w:highlight w:val="none"/>
        </w:rPr>
        <w:t xml:space="preserve">Subscription to TSC user plane node related events. </w:t>
      </w:r>
    </w:p>
    <w:p>
      <w:pPr>
        <w:pStyle w:val="122"/>
        <w:rPr>
          <w:highlight w:val="none"/>
        </w:rPr>
      </w:pPr>
      <w:r>
        <w:rPr>
          <w:highlight w:val="none"/>
        </w:rPr>
        <w:t>-</w:t>
      </w:r>
      <w:r>
        <w:rPr>
          <w:highlight w:val="none"/>
        </w:rPr>
        <w:tab/>
      </w:r>
      <w:r>
        <w:rPr>
          <w:highlight w:val="none"/>
        </w:rPr>
        <w:t>Initial provisioning of required QoS information.</w:t>
      </w:r>
    </w:p>
    <w:p>
      <w:pPr>
        <w:pStyle w:val="122"/>
        <w:rPr>
          <w:highlight w:val="none"/>
        </w:rPr>
      </w:pPr>
      <w:r>
        <w:rPr>
          <w:highlight w:val="none"/>
        </w:rPr>
        <w:t>-</w:t>
      </w:r>
      <w:r>
        <w:rPr>
          <w:highlight w:val="none"/>
        </w:rPr>
        <w:tab/>
      </w:r>
      <w:r>
        <w:rPr>
          <w:highlight w:val="none"/>
        </w:rPr>
        <w:t>Support of QoSHint feature.</w:t>
      </w:r>
    </w:p>
    <w:p>
      <w:pPr>
        <w:pStyle w:val="122"/>
      </w:pPr>
      <w:r>
        <w:t>-</w:t>
      </w:r>
      <w:r>
        <w:tab/>
      </w:r>
      <w:r>
        <w:t>Subscription to reallocation of credit notification.</w:t>
      </w:r>
    </w:p>
    <w:p>
      <w:pPr>
        <w:pStyle w:val="122"/>
      </w:pPr>
      <w:r>
        <w:t>-</w:t>
      </w:r>
      <w:r>
        <w:tab/>
      </w:r>
      <w:r>
        <w:t>Subscription to satellite backhaul category changes.</w:t>
      </w:r>
    </w:p>
    <w:p>
      <w:pPr>
        <w:pStyle w:val="122"/>
      </w:pPr>
      <w:r>
        <w:t>-</w:t>
      </w:r>
      <w:r>
        <w:tab/>
      </w:r>
      <w:r>
        <w:t>Subscription to the report of extra UE addresses.</w:t>
      </w:r>
    </w:p>
    <w:p>
      <w:pPr>
        <w:pStyle w:val="122"/>
        <w:rPr>
          <w:ins w:id="44" w:author="CMCC" w:date="2023-04-09T23:26:28Z"/>
          <w:highlight w:val="none"/>
        </w:rPr>
      </w:pPr>
      <w:ins w:id="45" w:author="CMCC" w:date="2023-04-09T23:26:28Z">
        <w:r>
          <w:rPr>
            <w:highlight w:val="none"/>
          </w:rPr>
          <w:t>-</w:t>
        </w:r>
      </w:ins>
      <w:ins w:id="46" w:author="CMCC" w:date="2023-04-09T23:26:28Z">
        <w:r>
          <w:rPr>
            <w:highlight w:val="none"/>
          </w:rPr>
          <w:tab/>
        </w:r>
      </w:ins>
      <w:ins w:id="47" w:author="CMCC" w:date="2023-04-09T23:26:28Z">
        <w:r>
          <w:rPr>
            <w:highlight w:val="none"/>
          </w:rPr>
          <w:t xml:space="preserve">Provisioning of </w:t>
        </w:r>
      </w:ins>
      <w:ins w:id="48" w:author="CMCC" w:date="2023-04-09T23:26:36Z">
        <w:r>
          <w:rPr>
            <w:rFonts w:hint="eastAsia" w:eastAsia="宋体"/>
            <w:highlight w:val="none"/>
            <w:lang w:val="en-US" w:eastAsia="zh-CN"/>
          </w:rPr>
          <w:t>PDU</w:t>
        </w:r>
      </w:ins>
      <w:ins w:id="49" w:author="CMCC" w:date="2023-04-09T23:26:37Z">
        <w:r>
          <w:rPr>
            <w:rFonts w:hint="eastAsia" w:eastAsia="宋体"/>
            <w:highlight w:val="none"/>
            <w:lang w:val="en-US" w:eastAsia="zh-CN"/>
          </w:rPr>
          <w:t xml:space="preserve"> </w:t>
        </w:r>
      </w:ins>
      <w:ins w:id="50" w:author="CMCC" w:date="2023-04-09T23:26:39Z">
        <w:r>
          <w:rPr>
            <w:rFonts w:hint="eastAsia" w:eastAsia="宋体"/>
            <w:highlight w:val="none"/>
            <w:lang w:val="en-US" w:eastAsia="zh-CN"/>
          </w:rPr>
          <w:t>Se</w:t>
        </w:r>
      </w:ins>
      <w:ins w:id="51" w:author="CMCC" w:date="2023-04-09T23:26:40Z">
        <w:r>
          <w:rPr>
            <w:rFonts w:hint="eastAsia" w:eastAsia="宋体"/>
            <w:highlight w:val="none"/>
            <w:lang w:val="en-US" w:eastAsia="zh-CN"/>
          </w:rPr>
          <w:t>t</w:t>
        </w:r>
      </w:ins>
      <w:ins w:id="52" w:author="CMCC" w:date="2023-04-09T23:26:28Z">
        <w:r>
          <w:rPr>
            <w:highlight w:val="none"/>
          </w:rPr>
          <w:t xml:space="preserve"> QoS related data.</w:t>
        </w:r>
      </w:ins>
    </w:p>
    <w:p/>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31" w:name="_Toc129338740"/>
      <w:bookmarkStart w:id="32" w:name="_Toc130291609"/>
      <w:r>
        <w:t>4.2.2.2</w:t>
      </w:r>
      <w:r>
        <w:tab/>
      </w:r>
      <w:r>
        <w:t>Initial provisioning of service information</w:t>
      </w:r>
      <w:bookmarkEnd w:id="31"/>
      <w:bookmarkEnd w:id="32"/>
    </w:p>
    <w:p>
      <w:pPr>
        <w:rPr>
          <w:highlight w:val="none"/>
        </w:rPr>
      </w:pPr>
      <w:r>
        <w:t>This p</w:t>
      </w:r>
      <w:r>
        <w:rPr>
          <w:highlight w:val="none"/>
        </w:rPr>
        <w:t>rocedure is used to set up an AF application session context for the service as defined in 3GPP TS 23.501 [2], 3GPP TS 23.502 [3] and 3GPP TS 23.503 [4].</w:t>
      </w:r>
    </w:p>
    <w:p>
      <w:pPr>
        <w:rPr>
          <w:highlight w:val="none"/>
        </w:rPr>
      </w:pPr>
      <w:r>
        <w:rPr>
          <w:highlight w:val="none"/>
        </w:rPr>
        <w:t>Figure 4.2.2.2-1 illustrates the initial provisioning of service information.</w:t>
      </w:r>
    </w:p>
    <w:p>
      <w:pPr>
        <w:pStyle w:val="102"/>
        <w:rPr>
          <w:highlight w:val="none"/>
        </w:rPr>
      </w:pPr>
    </w:p>
    <w:p>
      <w:pPr>
        <w:pStyle w:val="102"/>
        <w:rPr>
          <w:highlight w:val="none"/>
        </w:rPr>
      </w:pPr>
      <w:r>
        <w:rPr>
          <w:highlight w:val="none"/>
        </w:rPr>
        <w:object>
          <v:shape id="_x0000_i1025" o:spt="75" type="#_x0000_t75" style="height:149pt;width:455.45pt;" o:ole="t" filled="f" o:preferrelative="t" stroked="f" coordsize="21600,21600">
            <v:path/>
            <v:fill on="f" focussize="0,0"/>
            <v:stroke on="f"/>
            <v:imagedata r:id="rId15" o:title=""/>
            <o:lock v:ext="edit" aspectratio="t"/>
            <w10:wrap type="none"/>
            <w10:anchorlock/>
          </v:shape>
          <o:OLEObject Type="Embed" ProgID="Visio.Drawing.15" ShapeID="_x0000_i1025" DrawAspect="Content" ObjectID="_1468075725" r:id="rId14">
            <o:LockedField>false</o:LockedField>
          </o:OLEObject>
        </w:object>
      </w:r>
    </w:p>
    <w:p>
      <w:pPr>
        <w:pStyle w:val="101"/>
        <w:rPr>
          <w:highlight w:val="none"/>
        </w:rPr>
      </w:pPr>
      <w:r>
        <w:rPr>
          <w:highlight w:val="none"/>
        </w:rPr>
        <w:t>Figure 4.2.2.2-1: Initial provisioning of service information</w:t>
      </w:r>
    </w:p>
    <w:p>
      <w:pPr>
        <w:rPr>
          <w:highlight w:val="none"/>
        </w:rPr>
      </w:pPr>
      <w:r>
        <w:rPr>
          <w:highlight w:val="none"/>
        </w:rPr>
        <w:t xml:space="preserve">When a new AF application session context is being established and media information for this application session context is available at the NF service consumer and the related media requires PCC control, the NF service consumer shall invoke the Npcf_PolicyAuthorization_Create service operation by sending the HTTP POST request </w:t>
      </w:r>
      <w:r>
        <w:rPr>
          <w:rStyle w:val="168"/>
          <w:highlight w:val="none"/>
        </w:rPr>
        <w:t xml:space="preserve">to the resource URI representing the </w:t>
      </w:r>
      <w:r>
        <w:rPr>
          <w:rStyle w:val="168"/>
          <w:rFonts w:ascii="Calibri" w:hAnsi="Calibri"/>
          <w:highlight w:val="none"/>
        </w:rPr>
        <w:t>"</w:t>
      </w:r>
      <w:r>
        <w:rPr>
          <w:rStyle w:val="168"/>
          <w:highlight w:val="none"/>
        </w:rPr>
        <w:t>Application Sessions</w:t>
      </w:r>
      <w:r>
        <w:rPr>
          <w:rStyle w:val="168"/>
          <w:rFonts w:ascii="Calibri" w:hAnsi="Calibri"/>
          <w:highlight w:val="none"/>
        </w:rPr>
        <w:t>"</w:t>
      </w:r>
      <w:r>
        <w:rPr>
          <w:rStyle w:val="168"/>
          <w:highlight w:val="none"/>
        </w:rPr>
        <w:t xml:space="preserve"> collection resource of the PCF</w:t>
      </w:r>
      <w:r>
        <w:rPr>
          <w:highlight w:val="none"/>
        </w:rPr>
        <w:t>, as shown in figure 4.2.2.2-1, step 1.</w:t>
      </w:r>
    </w:p>
    <w:p>
      <w:pPr>
        <w:rPr>
          <w:highlight w:val="none"/>
        </w:rPr>
      </w:pPr>
      <w:r>
        <w:rPr>
          <w:highlight w:val="none"/>
        </w:rPr>
        <w:t xml:space="preserve">The NF service consumer shall include in the "AppSessionContext" data type in the payload body of the HTTP POST request a partial representation of the </w:t>
      </w:r>
      <w:r>
        <w:rPr>
          <w:rFonts w:ascii="Calibri" w:hAnsi="Calibri"/>
          <w:highlight w:val="none"/>
        </w:rPr>
        <w:t>"</w:t>
      </w:r>
      <w:r>
        <w:rPr>
          <w:highlight w:val="none"/>
        </w:rPr>
        <w:t>Individual Application Session Context</w:t>
      </w:r>
      <w:r>
        <w:rPr>
          <w:rFonts w:ascii="Calibri" w:hAnsi="Calibri"/>
          <w:highlight w:val="none"/>
        </w:rPr>
        <w:t>"</w:t>
      </w:r>
      <w:r>
        <w:rPr>
          <w:highlight w:val="none"/>
        </w:rPr>
        <w:t xml:space="preserve"> resource by providing the "AppSessionContextReqData" data type. The "Individual Application Session Context" resource and the "Events Subscription" sub-resource are created as described below.</w:t>
      </w:r>
    </w:p>
    <w:p>
      <w:pPr>
        <w:rPr>
          <w:highlight w:val="none"/>
        </w:rPr>
      </w:pPr>
      <w:r>
        <w:rPr>
          <w:highlight w:val="none"/>
        </w:rPr>
        <w:t>The NF service consumer shall provide in the body of the HTTP POST request:</w:t>
      </w:r>
    </w:p>
    <w:p>
      <w:pPr>
        <w:pStyle w:val="122"/>
        <w:rPr>
          <w:highlight w:val="none"/>
        </w:rPr>
      </w:pPr>
      <w:r>
        <w:rPr>
          <w:highlight w:val="none"/>
        </w:rPr>
        <w:t>-</w:t>
      </w:r>
      <w:r>
        <w:rPr>
          <w:highlight w:val="none"/>
        </w:rPr>
        <w:tab/>
      </w:r>
      <w:r>
        <w:rPr>
          <w:highlight w:val="none"/>
        </w:rPr>
        <w:t>for IP type PDU sessions, the IP address (IPv4 or IPv6) of the UE in the "ueIpv4" or "ueIpv6" attribute; and</w:t>
      </w:r>
    </w:p>
    <w:p>
      <w:pPr>
        <w:pStyle w:val="122"/>
        <w:rPr>
          <w:highlight w:val="none"/>
        </w:rPr>
      </w:pPr>
      <w:r>
        <w:rPr>
          <w:highlight w:val="none"/>
        </w:rPr>
        <w:t>-</w:t>
      </w:r>
      <w:r>
        <w:rPr>
          <w:highlight w:val="none"/>
        </w:rPr>
        <w:tab/>
      </w:r>
      <w:r>
        <w:rPr>
          <w:highlight w:val="none"/>
        </w:rPr>
        <w:t xml:space="preserve">for Ethernet type PDU sessions, the MAC address of the UE in the "ueMac" attribute. </w:t>
      </w:r>
    </w:p>
    <w:p>
      <w:pPr>
        <w:rPr>
          <w:highlight w:val="none"/>
        </w:rPr>
      </w:pPr>
      <w:r>
        <w:rPr>
          <w:highlight w:val="none"/>
        </w:rPr>
        <w:t xml:space="preserve">For Ethernet type PDU sessions, if the "TimeSensitiveNetworking" or </w:t>
      </w:r>
      <w:r>
        <w:rPr>
          <w:highlight w:val="none"/>
          <w:lang w:eastAsia="zh-CN"/>
        </w:rPr>
        <w:t>"</w:t>
      </w:r>
      <w:r>
        <w:rPr>
          <w:highlight w:val="none"/>
        </w:rPr>
        <w:t>TimeSensitiveCommunication</w:t>
      </w:r>
      <w:r>
        <w:rPr>
          <w:highlight w:val="none"/>
          <w:lang w:eastAsia="zh-CN"/>
        </w:rPr>
        <w:t xml:space="preserve">" </w:t>
      </w:r>
      <w:r>
        <w:rPr>
          <w:highlight w:val="none"/>
        </w:rPr>
        <w:t xml:space="preserve">feature is supported, the </w:t>
      </w:r>
      <w:r>
        <w:rPr>
          <w:rStyle w:val="168"/>
          <w:highlight w:val="none"/>
        </w:rPr>
        <w:t>"ueMac"</w:t>
      </w:r>
      <w:r>
        <w:rPr>
          <w:highlight w:val="none"/>
        </w:rPr>
        <w:t xml:space="preserve"> attribute containing the MAC address of the DS-TT port as received from the PCF during the reporting of TSC user plane node information as defined in clause 4.2.5.16.</w:t>
      </w:r>
    </w:p>
    <w:p>
      <w:pPr>
        <w:pStyle w:val="103"/>
        <w:rPr>
          <w:highlight w:val="none"/>
        </w:rPr>
      </w:pPr>
      <w:r>
        <w:rPr>
          <w:highlight w:val="none"/>
          <w:lang w:eastAsia="zh-CN"/>
        </w:rPr>
        <w:t>NOTE</w:t>
      </w:r>
      <w:r>
        <w:rPr>
          <w:highlight w:val="none"/>
        </w:rPr>
        <w:t> 1</w:t>
      </w:r>
      <w:r>
        <w:rPr>
          <w:highlight w:val="none"/>
          <w:lang w:eastAsia="zh-CN"/>
        </w:rPr>
        <w:t>:</w:t>
      </w:r>
      <w:r>
        <w:rPr>
          <w:highlight w:val="none"/>
          <w:lang w:eastAsia="zh-CN"/>
        </w:rPr>
        <w:tab/>
      </w:r>
      <w:r>
        <w:rPr>
          <w:highlight w:val="none"/>
        </w:rPr>
        <w:t>The determination of the DS-TT port MAC address is specified in clause 5.28.2 of 3GPP TS 23.501 [2]. The DS-TT port MAC address is used as identifier of the PDU session related to the reported TSC user plane node information.</w:t>
      </w:r>
    </w:p>
    <w:p>
      <w:pPr>
        <w:rPr>
          <w:highlight w:val="none"/>
        </w:rPr>
      </w:pPr>
      <w:r>
        <w:rPr>
          <w:highlight w:val="none"/>
        </w:rPr>
        <w:t xml:space="preserve">For IP type PDU sessions, if the </w:t>
      </w:r>
      <w:r>
        <w:rPr>
          <w:highlight w:val="none"/>
          <w:lang w:eastAsia="zh-CN"/>
        </w:rPr>
        <w:t>"</w:t>
      </w:r>
      <w:r>
        <w:rPr>
          <w:highlight w:val="none"/>
        </w:rPr>
        <w:t>TimeSensitiveCommunication</w:t>
      </w:r>
      <w:r>
        <w:rPr>
          <w:highlight w:val="none"/>
          <w:lang w:eastAsia="zh-CN"/>
        </w:rPr>
        <w:t>"</w:t>
      </w:r>
      <w:r>
        <w:rPr>
          <w:highlight w:val="none"/>
        </w:rPr>
        <w:t xml:space="preserve"> feature is supported, the "ueIpv4" or "ueIpv6" attribute containing the IPv4 or IPv6 address of the UE as received from the PCF during the reporting of user plane node information as defined in clause 4.2.5.16.</w:t>
      </w:r>
    </w:p>
    <w:p>
      <w:pPr>
        <w:pStyle w:val="103"/>
        <w:rPr>
          <w:highlight w:val="none"/>
        </w:rPr>
      </w:pPr>
      <w:r>
        <w:rPr>
          <w:highlight w:val="none"/>
          <w:lang w:eastAsia="zh-CN"/>
        </w:rPr>
        <w:t>NOTE</w:t>
      </w:r>
      <w:r>
        <w:rPr>
          <w:highlight w:val="none"/>
        </w:rPr>
        <w:t> 2</w:t>
      </w:r>
      <w:r>
        <w:rPr>
          <w:highlight w:val="none"/>
          <w:lang w:eastAsia="zh-CN"/>
        </w:rPr>
        <w:t>:</w:t>
      </w:r>
      <w:r>
        <w:rPr>
          <w:highlight w:val="none"/>
          <w:lang w:eastAsia="zh-CN"/>
        </w:rPr>
        <w:tab/>
      </w:r>
      <w:r>
        <w:rPr>
          <w:highlight w:val="none"/>
        </w:rPr>
        <w:t xml:space="preserve">The IP address of the PDU session is used </w:t>
      </w:r>
      <w:r>
        <w:rPr>
          <w:highlight w:val="none"/>
          <w:lang w:eastAsia="zh-CN"/>
        </w:rPr>
        <w:t>as identifier of the PDU session related to the reported TSC user plane node information</w:t>
      </w:r>
      <w:r>
        <w:rPr>
          <w:highlight w:val="none"/>
        </w:rPr>
        <w:t>.</w:t>
      </w:r>
    </w:p>
    <w:p>
      <w:pPr>
        <w:rPr>
          <w:rStyle w:val="93"/>
          <w:highlight w:val="none"/>
        </w:rPr>
      </w:pPr>
      <w:r>
        <w:rPr>
          <w:highlight w:val="none"/>
        </w:rPr>
        <w:t xml:space="preserve">The NF service consumer shall provide the corresponding service information in the </w:t>
      </w:r>
      <w:r>
        <w:rPr>
          <w:rStyle w:val="168"/>
          <w:highlight w:val="none"/>
        </w:rPr>
        <w:t>"medComponents" attribute</w:t>
      </w:r>
      <w:r>
        <w:rPr>
          <w:highlight w:val="none"/>
        </w:rPr>
        <w:t xml:space="preserve"> if available. The AF shall indicate to the PCF as part of the </w:t>
      </w:r>
      <w:r>
        <w:rPr>
          <w:rStyle w:val="168"/>
          <w:highlight w:val="none"/>
        </w:rPr>
        <w:t>"medComponents" attribute whether the service data flow(s) (IP or Ethernet) should be enabled or disabled with the "fStatus" attribute.</w:t>
      </w:r>
      <w:r>
        <w:rPr>
          <w:rStyle w:val="93"/>
          <w:highlight w:val="none"/>
        </w:rPr>
        <w:t xml:space="preserve"> </w:t>
      </w:r>
    </w:p>
    <w:p>
      <w:pPr>
        <w:rPr>
          <w:highlight w:val="none"/>
        </w:rPr>
      </w:pPr>
      <w:r>
        <w:rPr>
          <w:rStyle w:val="168"/>
          <w:highlight w:val="none"/>
        </w:rPr>
        <w:t xml:space="preserve">If </w:t>
      </w:r>
      <w:r>
        <w:rPr>
          <w:highlight w:val="none"/>
          <w:lang w:eastAsia="zh-CN"/>
        </w:rPr>
        <w:t>the "</w:t>
      </w:r>
      <w:r>
        <w:rPr>
          <w:highlight w:val="none"/>
        </w:rPr>
        <w:t>AuthorizationWithRequiredQoS" feature as defined in clause 5.8 is supported,</w:t>
      </w:r>
      <w:r>
        <w:rPr>
          <w:highlight w:val="none"/>
          <w:lang w:eastAsia="zh-CN"/>
        </w:rPr>
        <w:t xml:space="preserve"> the AF may provide within the</w:t>
      </w:r>
      <w:r>
        <w:rPr>
          <w:highlight w:val="none"/>
        </w:rPr>
        <w:t xml:space="preserve"> MediaComponent data structure</w:t>
      </w:r>
      <w:r>
        <w:rPr>
          <w:highlight w:val="none"/>
          <w:lang w:eastAsia="zh-CN"/>
        </w:rPr>
        <w:t xml:space="preserve"> </w:t>
      </w:r>
      <w:r>
        <w:rPr>
          <w:highlight w:val="none"/>
        </w:rPr>
        <w:t>required QoS information as specified in clause 4.2.2.32</w:t>
      </w:r>
      <w:r>
        <w:rPr>
          <w:highlight w:val="none"/>
          <w:lang w:eastAsia="zh-CN"/>
        </w:rPr>
        <w:t>.</w:t>
      </w:r>
    </w:p>
    <w:p>
      <w:pPr>
        <w:rPr>
          <w:highlight w:val="none"/>
        </w:rPr>
      </w:pPr>
      <w:r>
        <w:rPr>
          <w:highlight w:val="none"/>
        </w:rPr>
        <w:t xml:space="preserve">The AF may include the AF application identifier in the </w:t>
      </w:r>
      <w:r>
        <w:rPr>
          <w:rStyle w:val="168"/>
          <w:highlight w:val="none"/>
        </w:rPr>
        <w:t xml:space="preserve">"afAppId" </w:t>
      </w:r>
      <w:r>
        <w:rPr>
          <w:highlight w:val="none"/>
        </w:rPr>
        <w:t>attribute into the body of the HTTP POST request in order to indicate the particular service that the AF session belongs to.</w:t>
      </w:r>
    </w:p>
    <w:p>
      <w:pPr>
        <w:rPr>
          <w:highlight w:val="none"/>
          <w:lang w:eastAsia="zh-CN"/>
        </w:rPr>
      </w:pPr>
      <w:r>
        <w:rPr>
          <w:highlight w:val="none"/>
        </w:rPr>
        <w:t xml:space="preserve">The AF application identifier may be provided at both "AppSessionContextReqData" data type level, and </w:t>
      </w:r>
      <w:r>
        <w:rPr>
          <w:rStyle w:val="168"/>
          <w:highlight w:val="none"/>
        </w:rPr>
        <w:t>"MediaComponent"</w:t>
      </w:r>
      <w:r>
        <w:rPr>
          <w:highlight w:val="none"/>
        </w:rPr>
        <w:t xml:space="preserve"> data type level. When provided at both levels, the AF application identifier provided at </w:t>
      </w:r>
      <w:r>
        <w:rPr>
          <w:rStyle w:val="168"/>
          <w:highlight w:val="none"/>
        </w:rPr>
        <w:t>"MediaComponent"</w:t>
      </w:r>
      <w:r>
        <w:rPr>
          <w:highlight w:val="none"/>
        </w:rPr>
        <w:t xml:space="preserve"> data type level shall have precedence.</w:t>
      </w:r>
    </w:p>
    <w:p>
      <w:pPr>
        <w:rPr>
          <w:highlight w:val="none"/>
          <w:lang w:eastAsia="zh-CN"/>
        </w:rPr>
      </w:pPr>
      <w:r>
        <w:rPr>
          <w:highlight w:val="none"/>
          <w:lang w:eastAsia="zh-CN"/>
        </w:rPr>
        <w:t xml:space="preserve">The AF application identifier at the </w:t>
      </w:r>
      <w:r>
        <w:rPr>
          <w:highlight w:val="none"/>
        </w:rPr>
        <w:t>"AppSessionContextReqData"</w:t>
      </w:r>
      <w:r>
        <w:rPr>
          <w:highlight w:val="none"/>
          <w:lang w:eastAsia="zh-CN"/>
        </w:rPr>
        <w:t xml:space="preserve"> data type level may be used to trigger the PCF to indicate to the SMF/UPF to perform the application detection based on the operator's policy as defined in 3GPP TS 29.512 [8].</w:t>
      </w:r>
    </w:p>
    <w:p>
      <w:pPr>
        <w:rPr>
          <w:highlight w:val="none"/>
        </w:rPr>
      </w:pPr>
      <w:r>
        <w:rPr>
          <w:highlight w:val="none"/>
        </w:rPr>
        <w:t>If the "IMS_SBI" feature is supported, the NF service consumer may include the AF charging identifier in the "</w:t>
      </w:r>
      <w:r>
        <w:rPr>
          <w:highlight w:val="none"/>
          <w:lang w:eastAsia="zh-CN"/>
        </w:rPr>
        <w:t>afChargId</w:t>
      </w:r>
      <w:r>
        <w:rPr>
          <w:highlight w:val="none"/>
        </w:rPr>
        <w:t>" attribute for charging correlation purposes.</w:t>
      </w:r>
    </w:p>
    <w:p>
      <w:pPr>
        <w:rPr>
          <w:ins w:id="53" w:author="CMCC" w:date="2023-04-09T23:30:55Z"/>
          <w:highlight w:val="none"/>
        </w:rPr>
      </w:pPr>
      <w:r>
        <w:rPr>
          <w:highlight w:val="none"/>
        </w:rPr>
        <w:t xml:space="preserve">If the "TimeSensitiveNetworking" or </w:t>
      </w:r>
      <w:r>
        <w:rPr>
          <w:highlight w:val="none"/>
          <w:lang w:eastAsia="zh-CN"/>
        </w:rPr>
        <w:t>"TimeSensitive</w:t>
      </w:r>
      <w:r>
        <w:rPr>
          <w:highlight w:val="none"/>
        </w:rPr>
        <w:t>Communication</w:t>
      </w:r>
      <w:r>
        <w:rPr>
          <w:highlight w:val="none"/>
          <w:lang w:eastAsia="zh-CN"/>
        </w:rPr>
        <w:t xml:space="preserve">" </w:t>
      </w:r>
      <w:r>
        <w:rPr>
          <w:highlight w:val="none"/>
        </w:rPr>
        <w:t>feature is supported the NF service consumer may provide TSC information as specified in clauses 4.2.2.24 and 4.2.2.25.</w:t>
      </w:r>
    </w:p>
    <w:p>
      <w:pPr>
        <w:rPr>
          <w:highlight w:val="none"/>
        </w:rPr>
      </w:pPr>
      <w:ins w:id="54" w:author="CMCC" w:date="2023-04-09T23:30:55Z">
        <w:r>
          <w:rPr>
            <w:highlight w:val="none"/>
          </w:rPr>
          <w:t>If the "</w:t>
        </w:r>
      </w:ins>
      <w:ins w:id="55" w:author="CMCC" w:date="2023-04-10T18:28:29Z">
        <w:r>
          <w:rPr>
            <w:rFonts w:hint="eastAsia" w:eastAsia="宋体"/>
            <w:highlight w:val="none"/>
            <w:lang w:val="en-US" w:eastAsia="zh-CN"/>
          </w:rPr>
          <w:t>XRM</w:t>
        </w:r>
      </w:ins>
      <w:ins w:id="56" w:author="CMCC" w:date="2023-04-10T18:28:38Z">
        <w:r>
          <w:rPr>
            <w:rFonts w:hint="eastAsia" w:eastAsia="宋体"/>
            <w:highlight w:val="none"/>
            <w:lang w:val="en-US" w:eastAsia="zh-CN"/>
          </w:rPr>
          <w:t>_</w:t>
        </w:r>
      </w:ins>
      <w:ins w:id="57" w:author="CMCC" w:date="2023-04-10T18:28:39Z">
        <w:r>
          <w:rPr>
            <w:rFonts w:hint="eastAsia" w:eastAsia="宋体"/>
            <w:highlight w:val="none"/>
            <w:lang w:val="en-US" w:eastAsia="zh-CN"/>
          </w:rPr>
          <w:t>5</w:t>
        </w:r>
      </w:ins>
      <w:ins w:id="58" w:author="CMCC" w:date="2023-04-10T18:28:42Z">
        <w:r>
          <w:rPr>
            <w:rFonts w:hint="eastAsia" w:eastAsia="宋体"/>
            <w:highlight w:val="none"/>
            <w:lang w:val="en-US" w:eastAsia="zh-CN"/>
          </w:rPr>
          <w:t>G</w:t>
        </w:r>
      </w:ins>
      <w:ins w:id="59" w:author="CMCC" w:date="2023-04-09T23:30:55Z">
        <w:r>
          <w:rPr>
            <w:highlight w:val="none"/>
          </w:rPr>
          <w:t>"</w:t>
        </w:r>
      </w:ins>
      <w:ins w:id="60" w:author="CMCC" w:date="2023-04-09T23:30:55Z">
        <w:r>
          <w:rPr>
            <w:highlight w:val="none"/>
            <w:lang w:eastAsia="zh-CN"/>
          </w:rPr>
          <w:t xml:space="preserve"> </w:t>
        </w:r>
      </w:ins>
      <w:ins w:id="61" w:author="CMCC" w:date="2023-04-09T23:30:55Z">
        <w:r>
          <w:rPr>
            <w:highlight w:val="none"/>
          </w:rPr>
          <w:t xml:space="preserve">feature is supported the NF service consumer may provide </w:t>
        </w:r>
      </w:ins>
      <w:ins w:id="62" w:author="CMCC" w:date="2023-04-09T23:32:29Z">
        <w:r>
          <w:rPr>
            <w:rFonts w:hint="eastAsia" w:eastAsia="宋体"/>
            <w:highlight w:val="none"/>
            <w:lang w:val="en-US" w:eastAsia="zh-CN"/>
          </w:rPr>
          <w:t>PDU set</w:t>
        </w:r>
      </w:ins>
      <w:ins w:id="63" w:author="CMCC" w:date="2023-04-09T23:32:30Z">
        <w:r>
          <w:rPr>
            <w:rFonts w:hint="eastAsia" w:eastAsia="宋体"/>
            <w:highlight w:val="none"/>
            <w:lang w:val="en-US" w:eastAsia="zh-CN"/>
          </w:rPr>
          <w:t xml:space="preserve"> re</w:t>
        </w:r>
      </w:ins>
      <w:ins w:id="64" w:author="CMCC" w:date="2023-04-09T23:32:31Z">
        <w:r>
          <w:rPr>
            <w:rFonts w:hint="eastAsia" w:eastAsia="宋体"/>
            <w:highlight w:val="none"/>
            <w:lang w:val="en-US" w:eastAsia="zh-CN"/>
          </w:rPr>
          <w:t>late</w:t>
        </w:r>
      </w:ins>
      <w:ins w:id="65" w:author="CMCC" w:date="2023-04-09T23:32:32Z">
        <w:r>
          <w:rPr>
            <w:rFonts w:hint="eastAsia" w:eastAsia="宋体"/>
            <w:highlight w:val="none"/>
            <w:lang w:val="en-US" w:eastAsia="zh-CN"/>
          </w:rPr>
          <w:t xml:space="preserve">d </w:t>
        </w:r>
      </w:ins>
      <w:ins w:id="66" w:author="CMCC" w:date="2023-04-09T23:32:33Z">
        <w:r>
          <w:rPr>
            <w:rFonts w:hint="eastAsia" w:eastAsia="宋体"/>
            <w:highlight w:val="none"/>
            <w:lang w:val="en-US" w:eastAsia="zh-CN"/>
          </w:rPr>
          <w:t>Qo</w:t>
        </w:r>
      </w:ins>
      <w:ins w:id="67" w:author="CMCC" w:date="2023-04-09T23:32:35Z">
        <w:r>
          <w:rPr>
            <w:rFonts w:hint="eastAsia" w:eastAsia="宋体"/>
            <w:highlight w:val="none"/>
            <w:lang w:val="en-US" w:eastAsia="zh-CN"/>
          </w:rPr>
          <w:t>S</w:t>
        </w:r>
      </w:ins>
      <w:ins w:id="68" w:author="CMCC" w:date="2023-04-09T23:30:55Z">
        <w:r>
          <w:rPr>
            <w:highlight w:val="none"/>
          </w:rPr>
          <w:t xml:space="preserve"> information as specified in clauses 4.2.2.</w:t>
        </w:r>
      </w:ins>
      <w:ins w:id="69" w:author="CMCC" w:date="2023-04-09T23:32:43Z">
        <w:r>
          <w:rPr>
            <w:rFonts w:hint="eastAsia" w:eastAsia="宋体"/>
            <w:highlight w:val="none"/>
            <w:lang w:val="en-US" w:eastAsia="zh-CN"/>
          </w:rPr>
          <w:t>X</w:t>
        </w:r>
      </w:ins>
      <w:ins w:id="70" w:author="CMCC" w:date="2023-04-09T23:30:55Z">
        <w:r>
          <w:rPr>
            <w:highlight w:val="none"/>
          </w:rPr>
          <w:t>.</w:t>
        </w:r>
      </w:ins>
    </w:p>
    <w:p>
      <w:pPr>
        <w:rPr>
          <w:highlight w:val="none"/>
        </w:rPr>
      </w:pPr>
      <w:r>
        <w:rPr>
          <w:highlight w:val="none"/>
        </w:rPr>
        <w:t>The NF service consumer may also include the "evSubsc" attribute of "EventsSubscReqData" data type to request the notification of certain user plane events. The NF service consumer shall include the events to subscribe to in the "events" attribute, and the notification URI where to address the Npcf_PolicyAuthorization_Notify service operation in the "notifUri" attribute. The events subscription is provisioned in the "Events Subscription" sub-resource.</w:t>
      </w:r>
    </w:p>
    <w:p>
      <w:pPr>
        <w:rPr>
          <w:highlight w:val="none"/>
        </w:rPr>
      </w:pPr>
      <w:r>
        <w:rPr>
          <w:highlight w:val="none"/>
        </w:rPr>
        <w:t>The AF shall also include the "notifUri" attribute in the "AppSessionContextReqData" data type to indicate the URI where the PCF can request to the AF the deletion of the "Individual Application Session Context" resource.</w:t>
      </w:r>
    </w:p>
    <w:p>
      <w:pPr>
        <w:rPr>
          <w:highlight w:val="none"/>
        </w:rPr>
      </w:pPr>
      <w:r>
        <w:rPr>
          <w:highlight w:val="none"/>
        </w:rPr>
        <w:t>If the PCF cannot successfully fulfil the received HTTP POST request due to the internal PCF error or due to the error in the HTTP POST request, the PCF shall send the HTTP error response as specified in clause 5.7.</w:t>
      </w:r>
    </w:p>
    <w:p>
      <w:pPr>
        <w:rPr>
          <w:highlight w:val="none"/>
          <w:lang w:eastAsia="zh-CN"/>
        </w:rPr>
      </w:pPr>
      <w:r>
        <w:rPr>
          <w:highlight w:val="none"/>
        </w:rPr>
        <w:t>Otherwise, when the PCF receives the HTTP POST request from the NF service consumer, the PCF shall apply session binding as described in 3GPP TS 29.513 [7]. To allow the PCF to identify the PDU session for which the HTTP POST request applies, the NF service consumer shall provide in the body of the HTTP POST request</w:t>
      </w:r>
      <w:r>
        <w:rPr>
          <w:highlight w:val="none"/>
          <w:lang w:eastAsia="zh-CN"/>
        </w:rPr>
        <w:t>:</w:t>
      </w:r>
    </w:p>
    <w:p>
      <w:pPr>
        <w:pStyle w:val="122"/>
        <w:rPr>
          <w:highlight w:val="none"/>
        </w:rPr>
      </w:pPr>
      <w:r>
        <w:rPr>
          <w:highlight w:val="none"/>
        </w:rPr>
        <w:t>-</w:t>
      </w:r>
      <w:r>
        <w:rPr>
          <w:highlight w:val="none"/>
        </w:rPr>
        <w:tab/>
      </w:r>
      <w:r>
        <w:rPr>
          <w:highlight w:val="none"/>
        </w:rPr>
        <w:t xml:space="preserve">for IP type PDU session, either the </w:t>
      </w:r>
      <w:r>
        <w:rPr>
          <w:rStyle w:val="168"/>
          <w:highlight w:val="none"/>
        </w:rPr>
        <w:t>"ueIpv4"</w:t>
      </w:r>
      <w:r>
        <w:rPr>
          <w:highlight w:val="none"/>
        </w:rPr>
        <w:t xml:space="preserve"> attribute or </w:t>
      </w:r>
      <w:r>
        <w:rPr>
          <w:rStyle w:val="168"/>
          <w:highlight w:val="none"/>
        </w:rPr>
        <w:t>"ueIpv6"</w:t>
      </w:r>
      <w:r>
        <w:rPr>
          <w:highlight w:val="none"/>
        </w:rPr>
        <w:t xml:space="preserve"> attribute containing the IPv4 or the IPv6 address applicable to</w:t>
      </w:r>
      <w:r>
        <w:rPr>
          <w:highlight w:val="none"/>
          <w:lang w:eastAsia="ko-KR"/>
        </w:rPr>
        <w:t xml:space="preserve"> </w:t>
      </w:r>
      <w:r>
        <w:rPr>
          <w:highlight w:val="none"/>
        </w:rPr>
        <w:t>an IP flow or IP flows towards the UE; and</w:t>
      </w:r>
    </w:p>
    <w:p>
      <w:pPr>
        <w:pStyle w:val="122"/>
        <w:rPr>
          <w:highlight w:val="none"/>
        </w:rPr>
      </w:pPr>
      <w:r>
        <w:rPr>
          <w:highlight w:val="none"/>
        </w:rPr>
        <w:t>-</w:t>
      </w:r>
      <w:r>
        <w:rPr>
          <w:highlight w:val="none"/>
        </w:rPr>
        <w:tab/>
      </w:r>
      <w:r>
        <w:rPr>
          <w:highlight w:val="none"/>
        </w:rPr>
        <w:t xml:space="preserve">for Ethernet type PDU session, the </w:t>
      </w:r>
      <w:r>
        <w:rPr>
          <w:rStyle w:val="168"/>
          <w:highlight w:val="none"/>
        </w:rPr>
        <w:t>"ueMac"</w:t>
      </w:r>
      <w:r>
        <w:rPr>
          <w:highlight w:val="none"/>
        </w:rPr>
        <w:t xml:space="preserve"> attribute containing the UE MAC address applicable to an Ethernet flow or Ethernet flows towards the UE.</w:t>
      </w:r>
    </w:p>
    <w:p>
      <w:pPr>
        <w:rPr>
          <w:highlight w:val="none"/>
          <w:lang w:eastAsia="ko-KR"/>
        </w:rPr>
      </w:pPr>
      <w:r>
        <w:rPr>
          <w:highlight w:val="none"/>
        </w:rPr>
        <w:t xml:space="preserve">The NF service consumer may provide DNN in the </w:t>
      </w:r>
      <w:r>
        <w:rPr>
          <w:rStyle w:val="168"/>
          <w:highlight w:val="none"/>
        </w:rPr>
        <w:t>"dnn" attribute</w:t>
      </w:r>
      <w:r>
        <w:rPr>
          <w:highlight w:val="none"/>
        </w:rPr>
        <w:t xml:space="preserve">, SUPI in the </w:t>
      </w:r>
      <w:r>
        <w:rPr>
          <w:rStyle w:val="168"/>
          <w:highlight w:val="none"/>
        </w:rPr>
        <w:t xml:space="preserve">"supi" </w:t>
      </w:r>
      <w:r>
        <w:rPr>
          <w:highlight w:val="none"/>
        </w:rPr>
        <w:t xml:space="preserve">attribute, GPSI in the </w:t>
      </w:r>
      <w:r>
        <w:rPr>
          <w:rStyle w:val="168"/>
          <w:highlight w:val="none"/>
        </w:rPr>
        <w:t xml:space="preserve">"gpsi" </w:t>
      </w:r>
      <w:r>
        <w:rPr>
          <w:highlight w:val="none"/>
        </w:rPr>
        <w:t>attribute, the S-NSSAI in the "sliceInfo" attribute if available for session binding. The NF service consumer may also provide the domain identity in the "ipDomain" attribute.</w:t>
      </w:r>
    </w:p>
    <w:p>
      <w:pPr>
        <w:pStyle w:val="103"/>
        <w:rPr>
          <w:highlight w:val="none"/>
          <w:lang w:eastAsia="zh-CN"/>
        </w:rPr>
      </w:pPr>
      <w:r>
        <w:rPr>
          <w:highlight w:val="none"/>
          <w:lang w:eastAsia="zh-CN"/>
        </w:rPr>
        <w:t>NOTE </w:t>
      </w:r>
      <w:r>
        <w:rPr>
          <w:highlight w:val="none"/>
        </w:rPr>
        <w:t>3</w:t>
      </w:r>
      <w:r>
        <w:rPr>
          <w:highlight w:val="none"/>
          <w:lang w:eastAsia="zh-CN"/>
        </w:rPr>
        <w:t>:</w:t>
      </w:r>
      <w:r>
        <w:rPr>
          <w:highlight w:val="none"/>
          <w:lang w:eastAsia="zh-CN"/>
        </w:rPr>
        <w:tab/>
      </w:r>
      <w:r>
        <w:rPr>
          <w:highlight w:val="none"/>
          <w:lang w:eastAsia="zh-CN"/>
        </w:rPr>
        <w:t xml:space="preserve">The </w:t>
      </w:r>
      <w:r>
        <w:rPr>
          <w:highlight w:val="none"/>
        </w:rPr>
        <w:t>"ipDomain" attribute</w:t>
      </w:r>
      <w:r>
        <w:rPr>
          <w:highlight w:val="none"/>
          <w:lang w:eastAsia="zh-CN"/>
        </w:rPr>
        <w:t xml:space="preserve"> is helpful in the following scenario: Within a network slice, there are several separate IP address domains, with SMF/UPF(s) that allocate Ipv4 IP addresses out of the same private address range to UE PDU sessions. The same IP address can thus be allocated to UE PDU sessions served by SMF/UPF(s) in different address domains. </w:t>
      </w:r>
      <w:r>
        <w:rPr>
          <w:highlight w:val="none"/>
        </w:rPr>
        <w:t>If one PCF controls several SMF/UPF(s) in different IP address domains, the UE IP address is thus not sufficient for the session binding. A NF service consumer</w:t>
      </w:r>
      <w:r>
        <w:rPr>
          <w:highlight w:val="none"/>
          <w:lang w:eastAsia="zh-CN"/>
        </w:rPr>
        <w:t xml:space="preserve"> can serve UEs in different IP address domains, either by having direct IP interfaces to those domains, or by having interconnections via NATs in the user plane between the UPF and the </w:t>
      </w:r>
      <w:r>
        <w:rPr>
          <w:highlight w:val="none"/>
        </w:rPr>
        <w:t>NF service consumer</w:t>
      </w:r>
      <w:r>
        <w:rPr>
          <w:highlight w:val="none"/>
          <w:lang w:eastAsia="zh-CN"/>
        </w:rPr>
        <w:t xml:space="preserve">. If a NAT is used, the </w:t>
      </w:r>
      <w:r>
        <w:rPr>
          <w:highlight w:val="none"/>
        </w:rPr>
        <w:t>NF service consumer</w:t>
      </w:r>
      <w:r>
        <w:rPr>
          <w:highlight w:val="none"/>
          <w:lang w:eastAsia="zh-CN"/>
        </w:rPr>
        <w:t xml:space="preserve"> obtains the IP address allocated to the UE PDU session via application level signalling and supplies it for the session binding </w:t>
      </w:r>
      <w:r>
        <w:rPr>
          <w:highlight w:val="none"/>
        </w:rPr>
        <w:t>to the PCF</w:t>
      </w:r>
      <w:r>
        <w:rPr>
          <w:highlight w:val="none"/>
          <w:lang w:eastAsia="zh-CN"/>
        </w:rPr>
        <w:t xml:space="preserve"> in the </w:t>
      </w:r>
      <w:r>
        <w:rPr>
          <w:rStyle w:val="168"/>
          <w:highlight w:val="none"/>
        </w:rPr>
        <w:t>"ueIpv4"</w:t>
      </w:r>
      <w:r>
        <w:rPr>
          <w:highlight w:val="none"/>
        </w:rPr>
        <w:t xml:space="preserve"> attribute. The NF service consumer supplies an "ipDomain" attribute</w:t>
      </w:r>
      <w:r>
        <w:rPr>
          <w:highlight w:val="none"/>
          <w:lang w:eastAsia="zh-CN"/>
        </w:rPr>
        <w:t xml:space="preserve"> denoting the IP address domain behind the NAT in addition. The </w:t>
      </w:r>
      <w:r>
        <w:rPr>
          <w:highlight w:val="none"/>
        </w:rPr>
        <w:t>NF service consumer</w:t>
      </w:r>
      <w:r>
        <w:rPr>
          <w:highlight w:val="none"/>
          <w:lang w:eastAsia="zh-CN"/>
        </w:rPr>
        <w:t xml:space="preserve"> can derive the appropriate value from the source address (allocated by the NAT) of incoming user plane packets. The value provided in the </w:t>
      </w:r>
      <w:r>
        <w:rPr>
          <w:highlight w:val="none"/>
        </w:rPr>
        <w:t>"ipDomain" attribute</w:t>
      </w:r>
      <w:r>
        <w:rPr>
          <w:highlight w:val="none"/>
          <w:lang w:eastAsia="zh-CN"/>
        </w:rPr>
        <w:t xml:space="preserve"> is operator configurable.</w:t>
      </w:r>
    </w:p>
    <w:p>
      <w:pPr>
        <w:pStyle w:val="103"/>
        <w:rPr>
          <w:highlight w:val="none"/>
        </w:rPr>
      </w:pPr>
      <w:r>
        <w:rPr>
          <w:highlight w:val="none"/>
          <w:lang w:eastAsia="zh-CN"/>
        </w:rPr>
        <w:t>NOTE 4:</w:t>
      </w:r>
      <w:r>
        <w:rPr>
          <w:highlight w:val="none"/>
          <w:lang w:eastAsia="zh-CN"/>
        </w:rPr>
        <w:tab/>
      </w:r>
      <w:r>
        <w:rPr>
          <w:highlight w:val="none"/>
          <w:lang w:eastAsia="zh-CN"/>
        </w:rPr>
        <w:t>The</w:t>
      </w:r>
      <w:r>
        <w:rPr>
          <w:highlight w:val="none"/>
        </w:rPr>
        <w:t xml:space="preserve"> "sliceInfo" attribute</w:t>
      </w:r>
      <w:r>
        <w:rPr>
          <w:highlight w:val="none"/>
          <w:lang w:eastAsia="zh-CN"/>
        </w:rPr>
        <w:t xml:space="preserve"> is helpful in the scenario where multiple network slices are deployed in the same DNN, and the same IPv4 address may be allocated to UE PDU sessions in different network slices. If one PCF controls several network slices, the UE IP address is not sufficient for the session binding. The </w:t>
      </w:r>
      <w:r>
        <w:rPr>
          <w:highlight w:val="none"/>
        </w:rPr>
        <w:t>NF service consumer</w:t>
      </w:r>
      <w:r>
        <w:rPr>
          <w:highlight w:val="none"/>
          <w:lang w:eastAsia="zh-CN"/>
        </w:rPr>
        <w:t xml:space="preserve"> supplies </w:t>
      </w:r>
      <w:r>
        <w:rPr>
          <w:highlight w:val="none"/>
        </w:rPr>
        <w:t xml:space="preserve">"sliceInfo" attribute denoting the network slice that allocated the IPv4 address of the UE PDU session. How the NF service consumer derives S-NSSAI is out of the scope of this specification. </w:t>
      </w:r>
    </w:p>
    <w:p>
      <w:pPr>
        <w:pStyle w:val="103"/>
        <w:rPr>
          <w:highlight w:val="none"/>
        </w:rPr>
      </w:pPr>
      <w:r>
        <w:rPr>
          <w:highlight w:val="none"/>
        </w:rPr>
        <w:t>NOTE 5:</w:t>
      </w:r>
      <w:r>
        <w:rPr>
          <w:highlight w:val="none"/>
        </w:rPr>
        <w:tab/>
      </w:r>
      <w:r>
        <w:rPr>
          <w:highlight w:val="none"/>
        </w:rPr>
        <w:t>When the scenario described in NOTE 3 applies and the NF service consumer is a P-CSCF it is assumed that the P-CSCF has direct IP interfaces to the different IP address domains and that no NAT is located between the UPF and P-CSCF. How a non-IMS NF service consumer obtains the UE private IP address to be provided to the PCF is out of scope of the present release; it is unspecified how to support applications that use a protocol that does not retain the original UE's private IP address.</w:t>
      </w:r>
    </w:p>
    <w:p>
      <w:pPr>
        <w:pStyle w:val="103"/>
        <w:rPr>
          <w:highlight w:val="none"/>
          <w:lang w:eastAsia="zh-CN"/>
        </w:rPr>
      </w:pPr>
      <w:r>
        <w:rPr>
          <w:highlight w:val="none"/>
        </w:rPr>
        <w:t>NOTE 6:</w:t>
      </w:r>
      <w:r>
        <w:rPr>
          <w:highlight w:val="none"/>
        </w:rPr>
        <w:tab/>
      </w:r>
      <w:r>
        <w:rPr>
          <w:highlight w:val="none"/>
        </w:rPr>
        <w:t xml:space="preserve">As described in </w:t>
      </w:r>
      <w:r>
        <w:rPr>
          <w:rFonts w:hint="eastAsia"/>
          <w:highlight w:val="none"/>
          <w:lang w:eastAsia="zh-CN"/>
        </w:rPr>
        <w:t>3GPP</w:t>
      </w:r>
      <w:r>
        <w:rPr>
          <w:highlight w:val="none"/>
          <w:lang w:eastAsia="zh-CN"/>
        </w:rPr>
        <w:t> </w:t>
      </w:r>
      <w:r>
        <w:rPr>
          <w:rFonts w:hint="eastAsia"/>
          <w:highlight w:val="none"/>
          <w:lang w:eastAsia="zh-CN"/>
        </w:rPr>
        <w:t>TS</w:t>
      </w:r>
      <w:r>
        <w:rPr>
          <w:highlight w:val="none"/>
          <w:lang w:eastAsia="zh-CN"/>
        </w:rPr>
        <w:t> </w:t>
      </w:r>
      <w:r>
        <w:rPr>
          <w:rFonts w:hint="eastAsia"/>
          <w:highlight w:val="none"/>
          <w:lang w:eastAsia="zh-CN"/>
        </w:rPr>
        <w:t>29.</w:t>
      </w:r>
      <w:r>
        <w:rPr>
          <w:highlight w:val="none"/>
          <w:lang w:eastAsia="zh-CN"/>
        </w:rPr>
        <w:t>5</w:t>
      </w:r>
      <w:r>
        <w:rPr>
          <w:rFonts w:hint="eastAsia"/>
          <w:highlight w:val="none"/>
          <w:lang w:eastAsia="zh-CN"/>
        </w:rPr>
        <w:t>1</w:t>
      </w:r>
      <w:r>
        <w:rPr>
          <w:highlight w:val="none"/>
          <w:lang w:eastAsia="zh-CN"/>
        </w:rPr>
        <w:t>3 </w:t>
      </w:r>
      <w:r>
        <w:rPr>
          <w:rFonts w:hint="eastAsia"/>
          <w:highlight w:val="none"/>
          <w:lang w:eastAsia="zh-CN"/>
        </w:rPr>
        <w:t>[</w:t>
      </w:r>
      <w:r>
        <w:rPr>
          <w:highlight w:val="none"/>
          <w:lang w:eastAsia="zh-CN"/>
        </w:rPr>
        <w:t>7</w:t>
      </w:r>
      <w:r>
        <w:rPr>
          <w:rFonts w:hint="eastAsia"/>
          <w:highlight w:val="none"/>
          <w:lang w:eastAsia="zh-CN"/>
        </w:rPr>
        <w:t>]</w:t>
      </w:r>
      <w:r>
        <w:rPr>
          <w:highlight w:val="none"/>
          <w:lang w:eastAsia="zh-CN"/>
        </w:rPr>
        <w:t>, i</w:t>
      </w:r>
      <w:r>
        <w:rPr>
          <w:highlight w:val="none"/>
        </w:rPr>
        <w:t>n order to have a successful session binding, all attributes must match, if provided.</w:t>
      </w:r>
    </w:p>
    <w:p>
      <w:pPr>
        <w:rPr>
          <w:highlight w:val="none"/>
        </w:rPr>
      </w:pPr>
      <w:r>
        <w:rPr>
          <w:highlight w:val="none"/>
        </w:rPr>
        <w:t xml:space="preserve">If the PCF fails in executing session binding, the PCF shall reject the Npcf_PolicyAuthorization_Create service operation with an HTTP </w:t>
      </w:r>
      <w:r>
        <w:rPr>
          <w:rStyle w:val="168"/>
          <w:highlight w:val="none"/>
        </w:rPr>
        <w:t xml:space="preserve">"500 Internal Server Error" </w:t>
      </w:r>
      <w:r>
        <w:rPr>
          <w:highlight w:val="none"/>
        </w:rPr>
        <w:t xml:space="preserve">response including the </w:t>
      </w:r>
      <w:r>
        <w:rPr>
          <w:rStyle w:val="168"/>
          <w:highlight w:val="none"/>
        </w:rPr>
        <w:t>"cause" attribute set to "PDU_SESSION_NOT_AVAILABLE"</w:t>
      </w:r>
      <w:r>
        <w:rPr>
          <w:highlight w:val="none"/>
        </w:rPr>
        <w:t>.</w:t>
      </w:r>
    </w:p>
    <w:p>
      <w:pPr>
        <w:rPr>
          <w:highlight w:val="none"/>
        </w:rPr>
      </w:pPr>
      <w:r>
        <w:rPr>
          <w:highlight w:val="none"/>
        </w:rPr>
        <w:t xml:space="preserve">If the request contains the </w:t>
      </w:r>
      <w:r>
        <w:rPr>
          <w:rStyle w:val="168"/>
          <w:highlight w:val="none"/>
        </w:rPr>
        <w:t xml:space="preserve">"medComponents" attribute </w:t>
      </w:r>
      <w:r>
        <w:rPr>
          <w:highlight w:val="none"/>
        </w:rPr>
        <w:t>the PCF shall store the received service information. The PCF shall process the received service information according to the operator policy and may decide whether the request is accepted or not. The PCF may take the priority information within the "resPrio" attribute into account when making this decision.</w:t>
      </w:r>
    </w:p>
    <w:p>
      <w:pPr>
        <w:rPr>
          <w:highlight w:val="none"/>
        </w:rPr>
      </w:pPr>
      <w:r>
        <w:rPr>
          <w:highlight w:val="none"/>
        </w:rPr>
        <w:t xml:space="preserve">If the service information provided in the body of the HTTP POST request is rejected (e.g. the subscribed guaranteed bandwidth for a particular user is exceeded or the authorized data rate in that slice for a UE is exceeded), the PCF shall indicate in an HTTP </w:t>
      </w:r>
      <w:r>
        <w:rPr>
          <w:rStyle w:val="168"/>
          <w:highlight w:val="none"/>
        </w:rPr>
        <w:t xml:space="preserve">"403 Forbidden" </w:t>
      </w:r>
      <w:r>
        <w:rPr>
          <w:highlight w:val="none"/>
        </w:rPr>
        <w:t xml:space="preserve">response message the cause for the rejection including the </w:t>
      </w:r>
      <w:r>
        <w:rPr>
          <w:rStyle w:val="168"/>
          <w:highlight w:val="none"/>
        </w:rPr>
        <w:t>"cause" attribute set to "REQUESTED_SERVICE_NOT_AUTHORIZED"</w:t>
      </w:r>
      <w:r>
        <w:rPr>
          <w:highlight w:val="none"/>
        </w:rPr>
        <w:t xml:space="preserve">. </w:t>
      </w:r>
    </w:p>
    <w:p>
      <w:pPr>
        <w:rPr>
          <w:highlight w:val="none"/>
        </w:rPr>
      </w:pPr>
      <w:r>
        <w:rPr>
          <w:highlight w:val="none"/>
        </w:rPr>
        <w:t xml:space="preserve">If the PCF detects that a temporary network failure has occurred (e.g. the SGW has failed </w:t>
      </w:r>
      <w:r>
        <w:rPr>
          <w:rFonts w:hint="eastAsia"/>
          <w:highlight w:val="none"/>
          <w:lang w:eastAsia="zh-CN"/>
        </w:rPr>
        <w:t xml:space="preserve">as defined in </w:t>
      </w:r>
      <w:r>
        <w:rPr>
          <w:highlight w:val="none"/>
          <w:lang w:eastAsia="zh-CN"/>
        </w:rPr>
        <w:t>clause </w:t>
      </w:r>
      <w:r>
        <w:rPr>
          <w:rFonts w:hint="eastAsia"/>
          <w:highlight w:val="none"/>
          <w:lang w:eastAsia="zh-CN"/>
        </w:rPr>
        <w:t>B.3.</w:t>
      </w:r>
      <w:r>
        <w:rPr>
          <w:highlight w:val="none"/>
          <w:lang w:eastAsia="zh-CN"/>
        </w:rPr>
        <w:t>3.3</w:t>
      </w:r>
      <w:r>
        <w:rPr>
          <w:rFonts w:hint="eastAsia"/>
          <w:highlight w:val="none"/>
          <w:lang w:eastAsia="zh-CN"/>
        </w:rPr>
        <w:t xml:space="preserve"> </w:t>
      </w:r>
      <w:r>
        <w:rPr>
          <w:highlight w:val="none"/>
          <w:lang w:eastAsia="zh-CN"/>
        </w:rPr>
        <w:t xml:space="preserve">or B.3.4.9 </w:t>
      </w:r>
      <w:r>
        <w:rPr>
          <w:rFonts w:hint="eastAsia"/>
          <w:highlight w:val="none"/>
          <w:lang w:eastAsia="zh-CN"/>
        </w:rPr>
        <w:t>of 3GPP</w:t>
      </w:r>
      <w:r>
        <w:rPr>
          <w:highlight w:val="none"/>
          <w:lang w:eastAsia="zh-CN"/>
        </w:rPr>
        <w:t> </w:t>
      </w:r>
      <w:r>
        <w:rPr>
          <w:rFonts w:hint="eastAsia"/>
          <w:highlight w:val="none"/>
          <w:lang w:eastAsia="zh-CN"/>
        </w:rPr>
        <w:t>TS</w:t>
      </w:r>
      <w:r>
        <w:rPr>
          <w:highlight w:val="none"/>
          <w:lang w:eastAsia="zh-CN"/>
        </w:rPr>
        <w:t> </w:t>
      </w:r>
      <w:r>
        <w:rPr>
          <w:rFonts w:hint="eastAsia"/>
          <w:highlight w:val="none"/>
          <w:lang w:eastAsia="zh-CN"/>
        </w:rPr>
        <w:t>29.</w:t>
      </w:r>
      <w:r>
        <w:rPr>
          <w:highlight w:val="none"/>
          <w:lang w:eastAsia="zh-CN"/>
        </w:rPr>
        <w:t>5</w:t>
      </w:r>
      <w:r>
        <w:rPr>
          <w:rFonts w:hint="eastAsia"/>
          <w:highlight w:val="none"/>
          <w:lang w:eastAsia="zh-CN"/>
        </w:rPr>
        <w:t>12</w:t>
      </w:r>
      <w:r>
        <w:rPr>
          <w:highlight w:val="none"/>
          <w:lang w:eastAsia="zh-CN"/>
        </w:rPr>
        <w:t> </w:t>
      </w:r>
      <w:r>
        <w:rPr>
          <w:rFonts w:hint="eastAsia"/>
          <w:highlight w:val="none"/>
          <w:lang w:eastAsia="zh-CN"/>
        </w:rPr>
        <w:t>[</w:t>
      </w:r>
      <w:r>
        <w:rPr>
          <w:highlight w:val="none"/>
          <w:lang w:eastAsia="zh-CN"/>
        </w:rPr>
        <w:t>8</w:t>
      </w:r>
      <w:r>
        <w:rPr>
          <w:rFonts w:hint="eastAsia"/>
          <w:highlight w:val="none"/>
          <w:lang w:eastAsia="zh-CN"/>
        </w:rPr>
        <w:t>]</w:t>
      </w:r>
      <w:r>
        <w:rPr>
          <w:highlight w:val="none"/>
        </w:rPr>
        <w:t xml:space="preserve">) and the AF initiates an Npcf_PolicyAuthorization_Create service operation, </w:t>
      </w:r>
      <w:r>
        <w:rPr>
          <w:rFonts w:hint="eastAsia"/>
          <w:highlight w:val="none"/>
          <w:lang w:eastAsia="zh-CN"/>
        </w:rPr>
        <w:t>the PCF</w:t>
      </w:r>
      <w:r>
        <w:rPr>
          <w:highlight w:val="none"/>
          <w:lang w:eastAsia="zh-CN"/>
        </w:rPr>
        <w:t xml:space="preserve"> shall</w:t>
      </w:r>
      <w:r>
        <w:rPr>
          <w:rFonts w:hint="eastAsia"/>
          <w:highlight w:val="none"/>
          <w:lang w:eastAsia="zh-CN"/>
        </w:rPr>
        <w:t xml:space="preserve"> </w:t>
      </w:r>
      <w:r>
        <w:rPr>
          <w:highlight w:val="none"/>
          <w:lang w:eastAsia="zh-CN"/>
        </w:rPr>
        <w:t xml:space="preserve">reject the request with </w:t>
      </w:r>
      <w:r>
        <w:rPr>
          <w:highlight w:val="none"/>
        </w:rPr>
        <w:t xml:space="preserve">an HTTP </w:t>
      </w:r>
      <w:r>
        <w:rPr>
          <w:rStyle w:val="168"/>
          <w:highlight w:val="none"/>
        </w:rPr>
        <w:t xml:space="preserve">"403 Forbidden" </w:t>
      </w:r>
      <w:r>
        <w:rPr>
          <w:highlight w:val="none"/>
        </w:rPr>
        <w:t xml:space="preserve">response including the </w:t>
      </w:r>
      <w:r>
        <w:rPr>
          <w:rStyle w:val="168"/>
          <w:highlight w:val="none"/>
        </w:rPr>
        <w:t>"cause" attribute set to "</w:t>
      </w:r>
      <w:r>
        <w:rPr>
          <w:highlight w:val="none"/>
          <w:lang w:eastAsia="zh-CN"/>
        </w:rPr>
        <w:t>TEMPORARY_</w:t>
      </w:r>
      <w:r>
        <w:rPr>
          <w:highlight w:val="none"/>
        </w:rPr>
        <w:t>NETWORK_FAILURE".</w:t>
      </w:r>
    </w:p>
    <w:p>
      <w:pPr>
        <w:rPr>
          <w:highlight w:val="none"/>
        </w:rPr>
      </w:pPr>
      <w:r>
        <w:rPr>
          <w:highlight w:val="none"/>
        </w:rPr>
        <w:t xml:space="preserve">If the service information provided in the HTTP POST request is rejected due to a temporary condition in the network (e.g. the NWDAF reported the network slice selected for the PDU session is congested), the PCF may include in the </w:t>
      </w:r>
      <w:r>
        <w:rPr>
          <w:rStyle w:val="168"/>
          <w:highlight w:val="none"/>
        </w:rPr>
        <w:t xml:space="preserve">"403 Forbidden" </w:t>
      </w:r>
      <w:r>
        <w:rPr>
          <w:highlight w:val="none"/>
        </w:rPr>
        <w:t xml:space="preserve">response the </w:t>
      </w:r>
      <w:r>
        <w:rPr>
          <w:rStyle w:val="168"/>
          <w:highlight w:val="none"/>
        </w:rPr>
        <w:t>"cause" attribute set to "REQUESTED_SERVICE_TEMPORARILY_NOT_AUTHORIZED"</w:t>
      </w:r>
      <w:r>
        <w:rPr>
          <w:highlight w:val="none"/>
        </w:rPr>
        <w:t xml:space="preserve">. The PCF may also provide a retry interval within the </w:t>
      </w:r>
      <w:r>
        <w:rPr>
          <w:rStyle w:val="168"/>
          <w:highlight w:val="none"/>
        </w:rPr>
        <w:t>"</w:t>
      </w:r>
      <w:r>
        <w:rPr>
          <w:highlight w:val="none"/>
        </w:rPr>
        <w:t>Retry-After</w:t>
      </w:r>
      <w:r>
        <w:rPr>
          <w:rStyle w:val="168"/>
          <w:highlight w:val="none"/>
        </w:rPr>
        <w:t>"</w:t>
      </w:r>
      <w:r>
        <w:rPr>
          <w:highlight w:val="none"/>
        </w:rPr>
        <w:t xml:space="preserve"> HTTP header field. When the NF service consumer receives the retry interval within the </w:t>
      </w:r>
      <w:r>
        <w:rPr>
          <w:rStyle w:val="168"/>
          <w:highlight w:val="none"/>
        </w:rPr>
        <w:t>"</w:t>
      </w:r>
      <w:r>
        <w:rPr>
          <w:highlight w:val="none"/>
        </w:rPr>
        <w:t>Retry-After</w:t>
      </w:r>
      <w:r>
        <w:rPr>
          <w:rStyle w:val="168"/>
          <w:highlight w:val="none"/>
        </w:rPr>
        <w:t>"</w:t>
      </w:r>
      <w:r>
        <w:rPr>
          <w:highlight w:val="none"/>
        </w:rPr>
        <w:t xml:space="preserve"> HTTP header field, the NF service consumer shall not send the same service information to the PCF again (for the same application session context) until the retry interval has elapsed. The </w:t>
      </w:r>
      <w:r>
        <w:rPr>
          <w:rStyle w:val="168"/>
          <w:highlight w:val="none"/>
        </w:rPr>
        <w:t>"</w:t>
      </w:r>
      <w:r>
        <w:rPr>
          <w:highlight w:val="none"/>
        </w:rPr>
        <w:t>Retry-After</w:t>
      </w:r>
      <w:r>
        <w:rPr>
          <w:rStyle w:val="168"/>
          <w:highlight w:val="none"/>
        </w:rPr>
        <w:t>"</w:t>
      </w:r>
      <w:r>
        <w:rPr>
          <w:highlight w:val="none"/>
        </w:rPr>
        <w:t xml:space="preserve"> HTTP header is described in 3GPP TS 29.500 [5] clause 5.2.2.2. </w:t>
      </w:r>
    </w:p>
    <w:p>
      <w:pPr>
        <w:rPr>
          <w:highlight w:val="none"/>
        </w:rPr>
      </w:pPr>
      <w:r>
        <w:rPr>
          <w:highlight w:val="none"/>
        </w:rPr>
        <w:t xml:space="preserve">If the service information is invalid or in sufficient for the PCF to perform the requested action, e.g. invalid media type or invalid QoS reference, the PCF shall indicate an HTTP </w:t>
      </w:r>
      <w:r>
        <w:rPr>
          <w:rStyle w:val="168"/>
          <w:highlight w:val="none"/>
        </w:rPr>
        <w:t>"</w:t>
      </w:r>
      <w:r>
        <w:rPr>
          <w:highlight w:val="none"/>
        </w:rPr>
        <w:t>Bad Request</w:t>
      </w:r>
      <w:r>
        <w:rPr>
          <w:rStyle w:val="168"/>
          <w:highlight w:val="none"/>
        </w:rPr>
        <w:t>"</w:t>
      </w:r>
      <w:r>
        <w:rPr>
          <w:highlight w:val="none"/>
        </w:rPr>
        <w:t xml:space="preserve"> response including the </w:t>
      </w:r>
      <w:r>
        <w:rPr>
          <w:rStyle w:val="168"/>
          <w:highlight w:val="none"/>
        </w:rPr>
        <w:t>"</w:t>
      </w:r>
      <w:r>
        <w:rPr>
          <w:highlight w:val="none"/>
        </w:rPr>
        <w:t>cause</w:t>
      </w:r>
      <w:r>
        <w:rPr>
          <w:rStyle w:val="168"/>
          <w:highlight w:val="none"/>
        </w:rPr>
        <w:t>"</w:t>
      </w:r>
      <w:r>
        <w:rPr>
          <w:highlight w:val="none"/>
        </w:rPr>
        <w:t xml:space="preserve"> attribute set to </w:t>
      </w:r>
      <w:r>
        <w:rPr>
          <w:rStyle w:val="168"/>
          <w:highlight w:val="none"/>
        </w:rPr>
        <w:t>"</w:t>
      </w:r>
      <w:r>
        <w:rPr>
          <w:highlight w:val="none"/>
        </w:rPr>
        <w:t>INVALID_SERVICE_INFORMATION</w:t>
      </w:r>
      <w:r>
        <w:rPr>
          <w:rStyle w:val="168"/>
          <w:highlight w:val="none"/>
        </w:rPr>
        <w:t>"</w:t>
      </w:r>
      <w:r>
        <w:rPr>
          <w:highlight w:val="none"/>
        </w:rPr>
        <w:t>.</w:t>
      </w:r>
    </w:p>
    <w:p>
      <w:pPr>
        <w:rPr>
          <w:rStyle w:val="168"/>
          <w:highlight w:val="none"/>
        </w:rPr>
      </w:pPr>
      <w:r>
        <w:rPr>
          <w:highlight w:val="none"/>
        </w:rPr>
        <w:t xml:space="preserve">If the IP flow descriptions cannot be handled by the PCF because the restrictions defined in clause 5.3.8 of 3GPP TS 29.214 [20] are not observed, the PCF shall indicate an HTTP </w:t>
      </w:r>
      <w:r>
        <w:rPr>
          <w:rStyle w:val="168"/>
          <w:highlight w:val="none"/>
        </w:rPr>
        <w:t>"Bad Request" response including the "cause" attribute set to "FILTER_RESTRICTIONS".</w:t>
      </w:r>
    </w:p>
    <w:p>
      <w:pPr>
        <w:rPr>
          <w:highlight w:val="none"/>
        </w:rPr>
      </w:pPr>
      <w:r>
        <w:rPr>
          <w:rStyle w:val="168"/>
          <w:highlight w:val="none"/>
        </w:rPr>
        <w:t xml:space="preserve">If the AF provided the same AF charging identifier for a new Individual Application Session Context that is already in use for the other ongoing Individual Application Session, the PCF shall indicate an </w:t>
      </w:r>
      <w:r>
        <w:rPr>
          <w:highlight w:val="none"/>
        </w:rPr>
        <w:t xml:space="preserve">HTTP </w:t>
      </w:r>
      <w:r>
        <w:rPr>
          <w:rStyle w:val="168"/>
          <w:highlight w:val="none"/>
        </w:rPr>
        <w:t>"Bad Request" response including the "cause" attribute set to "DUPLICATED_AF_SESSION".</w:t>
      </w:r>
    </w:p>
    <w:p>
      <w:pPr>
        <w:pStyle w:val="103"/>
        <w:rPr>
          <w:highlight w:val="none"/>
        </w:rPr>
      </w:pPr>
      <w:r>
        <w:rPr>
          <w:highlight w:val="none"/>
        </w:rPr>
        <w:t>NOTE 7:</w:t>
      </w:r>
      <w:r>
        <w:rPr>
          <w:highlight w:val="none"/>
        </w:rPr>
        <w:tab/>
      </w:r>
      <w:r>
        <w:rPr>
          <w:rFonts w:eastAsia="Batang"/>
          <w:highlight w:val="none"/>
        </w:rPr>
        <w:tab/>
      </w:r>
      <w:r>
        <w:rPr>
          <w:highlight w:val="none"/>
        </w:rPr>
        <w:t xml:space="preserve">When the PCF supports </w:t>
      </w:r>
      <w:r>
        <w:rPr>
          <w:rFonts w:eastAsia="等线"/>
          <w:highlight w:val="none"/>
          <w:lang w:eastAsia="zh-CN"/>
        </w:rPr>
        <w:t xml:space="preserve">data rate control per network slice and/or data rate control per network slice for a UE as specified in </w:t>
      </w:r>
      <w:r>
        <w:rPr>
          <w:highlight w:val="none"/>
        </w:rPr>
        <w:t xml:space="preserve">3GPP TS 29.512 [8] </w:t>
      </w:r>
      <w:r>
        <w:rPr>
          <w:rFonts w:eastAsia="等线"/>
          <w:highlight w:val="none"/>
          <w:lang w:eastAsia="zh-CN"/>
        </w:rPr>
        <w:t>and the</w:t>
      </w:r>
      <w:r>
        <w:rPr>
          <w:highlight w:val="none"/>
        </w:rPr>
        <w:t xml:space="preserve"> authorized data rate for any of those cases in a slice is exceeded due to the bandwidth demands of the new service information, it is also possible to accept the request based on operator policies. In this case the derived PCC rule(s) belonging to the authorized GBR service data flows can include a different MBR and/or have a different charging than the one applicable if the data rate is not exceeded as specified in 3GPP TS 29.512 [8].</w:t>
      </w:r>
    </w:p>
    <w:p>
      <w:pPr>
        <w:rPr>
          <w:highlight w:val="none"/>
          <w:lang w:eastAsia="zh-CN"/>
        </w:rPr>
      </w:pPr>
      <w:r>
        <w:rPr>
          <w:highlight w:val="none"/>
          <w:lang w:eastAsia="zh-CN"/>
        </w:rPr>
        <w:t xml:space="preserve">The PCF may additionally provide the acceptable bandwidth within the attribute </w:t>
      </w:r>
      <w:r>
        <w:rPr>
          <w:rStyle w:val="168"/>
          <w:highlight w:val="none"/>
        </w:rPr>
        <w:t>"acceptableServInfo" included in the "ExtendedProblemDetails" data structure returned in the rejection response message.</w:t>
      </w:r>
    </w:p>
    <w:p>
      <w:pPr>
        <w:rPr>
          <w:highlight w:val="none"/>
        </w:rPr>
      </w:pPr>
      <w:r>
        <w:rPr>
          <w:highlight w:val="none"/>
        </w:rPr>
        <w:t xml:space="preserve">If the </w:t>
      </w:r>
      <w:r>
        <w:rPr>
          <w:rStyle w:val="168"/>
          <w:highlight w:val="none"/>
        </w:rPr>
        <w:t xml:space="preserve">"SignalingPathValidation" </w:t>
      </w:r>
      <w:r>
        <w:rPr>
          <w:highlight w:val="none"/>
        </w:rPr>
        <w:t xml:space="preserve">feature is supported, and the "User-Agent" HTTP header field indicates that the NF type of the NF that originated the request is "NEF" or "AF", and the PCF detects that the TSCTSF is the NF type required for the request (e.g., the PCF triggered a notification about TSC user plane node information towards the TSCTSF as </w:t>
      </w:r>
      <w:r>
        <w:rPr>
          <w:rStyle w:val="168"/>
          <w:highlight w:val="none"/>
        </w:rPr>
        <w:t>described in clause</w:t>
      </w:r>
      <w:r>
        <w:rPr>
          <w:highlight w:val="none"/>
          <w:lang w:eastAsia="zh-CN"/>
        </w:rPr>
        <w:t> 4.2.15.16)</w:t>
      </w:r>
      <w:r>
        <w:rPr>
          <w:highlight w:val="none"/>
        </w:rPr>
        <w:t xml:space="preserve">, the </w:t>
      </w:r>
      <w:r>
        <w:rPr>
          <w:rFonts w:hint="eastAsia"/>
          <w:highlight w:val="none"/>
          <w:lang w:eastAsia="zh-CN"/>
        </w:rPr>
        <w:t>PCF</w:t>
      </w:r>
      <w:r>
        <w:rPr>
          <w:highlight w:val="none"/>
          <w:lang w:eastAsia="zh-CN"/>
        </w:rPr>
        <w:t xml:space="preserve"> shall</w:t>
      </w:r>
      <w:r>
        <w:rPr>
          <w:rFonts w:hint="eastAsia"/>
          <w:highlight w:val="none"/>
          <w:lang w:eastAsia="zh-CN"/>
        </w:rPr>
        <w:t xml:space="preserve"> </w:t>
      </w:r>
      <w:r>
        <w:rPr>
          <w:highlight w:val="none"/>
          <w:lang w:eastAsia="zh-CN"/>
        </w:rPr>
        <w:t xml:space="preserve">reject the request with </w:t>
      </w:r>
      <w:r>
        <w:rPr>
          <w:highlight w:val="none"/>
        </w:rPr>
        <w:t xml:space="preserve">an HTTP </w:t>
      </w:r>
      <w:r>
        <w:rPr>
          <w:rStyle w:val="168"/>
          <w:highlight w:val="none"/>
        </w:rPr>
        <w:t xml:space="preserve">"403 Forbidden" </w:t>
      </w:r>
      <w:r>
        <w:rPr>
          <w:highlight w:val="none"/>
        </w:rPr>
        <w:t xml:space="preserve">response including the </w:t>
      </w:r>
      <w:r>
        <w:rPr>
          <w:rStyle w:val="168"/>
          <w:highlight w:val="none"/>
        </w:rPr>
        <w:t>"cause" attribute set to "</w:t>
      </w:r>
      <w:r>
        <w:rPr>
          <w:highlight w:val="none"/>
          <w:lang w:eastAsia="zh-CN"/>
        </w:rPr>
        <w:t>INVALID</w:t>
      </w:r>
      <w:r>
        <w:rPr>
          <w:highlight w:val="none"/>
        </w:rPr>
        <w:t xml:space="preserve">_SIGNALING_PATH". </w:t>
      </w:r>
      <w:r>
        <w:rPr>
          <w:highlight w:val="none"/>
          <w:lang w:eastAsia="zh-CN"/>
        </w:rPr>
        <w:t xml:space="preserve">When the NEF/AF receives this error from the PCF, the NEF/AF selects the TSCTSF for this request, as specified in </w:t>
      </w:r>
      <w:r>
        <w:rPr>
          <w:highlight w:val="none"/>
        </w:rPr>
        <w:t>3GPP TS 29.522 [54].</w:t>
      </w:r>
    </w:p>
    <w:p>
      <w:pPr>
        <w:rPr>
          <w:highlight w:val="none"/>
        </w:rPr>
      </w:pPr>
      <w:r>
        <w:rPr>
          <w:highlight w:val="none"/>
        </w:rPr>
        <w:t>To allow the PCF and SMF/UPF to perform PCC rule authorization and QoS flow binding for the described service data flows, the NF service consumer shall supply:</w:t>
      </w:r>
    </w:p>
    <w:p>
      <w:pPr>
        <w:pStyle w:val="122"/>
        <w:rPr>
          <w:highlight w:val="none"/>
        </w:rPr>
      </w:pPr>
      <w:r>
        <w:rPr>
          <w:highlight w:val="none"/>
        </w:rPr>
        <w:t>-</w:t>
      </w:r>
      <w:r>
        <w:rPr>
          <w:highlight w:val="none"/>
        </w:rPr>
        <w:tab/>
      </w:r>
      <w:r>
        <w:rPr>
          <w:highlight w:val="none"/>
        </w:rPr>
        <w:t>for IP type PDU session, both source and destination IP addresses and port numbers in the "fDescs" attribute within the "medSubComps" attribute, if such information is available; and</w:t>
      </w:r>
    </w:p>
    <w:p>
      <w:pPr>
        <w:pStyle w:val="122"/>
        <w:rPr>
          <w:highlight w:val="none"/>
        </w:rPr>
      </w:pPr>
      <w:r>
        <w:rPr>
          <w:highlight w:val="none"/>
        </w:rPr>
        <w:t>-</w:t>
      </w:r>
      <w:r>
        <w:rPr>
          <w:highlight w:val="none"/>
        </w:rPr>
        <w:tab/>
      </w:r>
      <w:r>
        <w:rPr>
          <w:highlight w:val="none"/>
        </w:rPr>
        <w:t>for Ethernet type PDU session, the Ethernet Packet filters in the "ethfDescs" attribute within the "medSubComps" attribute, if such information is available.</w:t>
      </w:r>
    </w:p>
    <w:p>
      <w:pPr>
        <w:rPr>
          <w:highlight w:val="none"/>
        </w:rPr>
      </w:pPr>
      <w:r>
        <w:rPr>
          <w:highlight w:val="none"/>
        </w:rPr>
        <w:t>The NF service consumer may specify the ToS traffic class (i.e. ToS (IPv4) or TC (IPv6) value) within the "tosTrCl" attribute for the described service data flows together with the "fDescs" attribute.</w:t>
      </w:r>
    </w:p>
    <w:p>
      <w:pPr>
        <w:pStyle w:val="103"/>
        <w:rPr>
          <w:highlight w:val="none"/>
        </w:rPr>
      </w:pPr>
      <w:r>
        <w:rPr>
          <w:highlight w:val="none"/>
        </w:rPr>
        <w:t>NOTE 8:</w:t>
      </w:r>
      <w:r>
        <w:rPr>
          <w:highlight w:val="none"/>
        </w:rPr>
        <w:tab/>
      </w:r>
      <w:r>
        <w:rPr>
          <w:highlight w:val="none"/>
        </w:rPr>
        <w:tab/>
      </w:r>
      <w:r>
        <w:rPr>
          <w:highlight w:val="none"/>
        </w:rPr>
        <w:t>:</w:t>
      </w:r>
      <w:r>
        <w:rPr>
          <w:highlight w:val="none"/>
        </w:rPr>
        <w:tab/>
      </w:r>
      <w:r>
        <w:rPr>
          <w:highlight w:val="none"/>
        </w:rPr>
        <w:t>A ToS/TC value can be useful when another packet filter attribute is needed to differentiate between packet flows. For example, packet flows encapsulated and encrypted by a tunnelling protocol can be differentiated by the ToS/TC value of the outer header if appropriately set by the application. To use ToS/TC for service data flow detection, network configuration needs to ensure there is no ToS/TC re-marking applied along the path from the application to the PSA UPF and the specific ToS/TC values are managed properly to avoid potential collision with other usage (e.g., paging policy differentiation).</w:t>
      </w:r>
    </w:p>
    <w:p>
      <w:pPr>
        <w:tabs>
          <w:tab w:val="left" w:pos="6237"/>
        </w:tabs>
        <w:rPr>
          <w:highlight w:val="none"/>
        </w:rPr>
      </w:pPr>
      <w:r>
        <w:rPr>
          <w:highlight w:val="none"/>
        </w:rPr>
        <w:t>The NF service consumer may include the "resPrio" attribute at the "AppSessionContextReqData"</w:t>
      </w:r>
      <w:r>
        <w:rPr>
          <w:highlight w:val="none"/>
          <w:lang w:eastAsia="zh-CN"/>
        </w:rPr>
        <w:t xml:space="preserve"> data type level </w:t>
      </w:r>
      <w:r>
        <w:rPr>
          <w:highlight w:val="none"/>
        </w:rPr>
        <w:t xml:space="preserve">to assign a priority to the AF Session as well as include the "resPrio" attribute at the </w:t>
      </w:r>
      <w:r>
        <w:rPr>
          <w:rStyle w:val="168"/>
          <w:highlight w:val="none"/>
        </w:rPr>
        <w:t>"MediaComponent"</w:t>
      </w:r>
      <w:r>
        <w:rPr>
          <w:highlight w:val="none"/>
          <w:lang w:eastAsia="zh-CN"/>
        </w:rPr>
        <w:t xml:space="preserve"> data type </w:t>
      </w:r>
      <w:r>
        <w:rPr>
          <w:highlight w:val="none"/>
        </w:rPr>
        <w:t>level to assign a priority to the service data flow. The presence of the "resPrio" attribute in both levels does not constitute a conflict as they each represent different types of priority. The reservation priority at the "AppSessionContextReqData"</w:t>
      </w:r>
      <w:r>
        <w:rPr>
          <w:highlight w:val="none"/>
          <w:lang w:eastAsia="zh-CN"/>
        </w:rPr>
        <w:t xml:space="preserve"> data type level </w:t>
      </w:r>
      <w:r>
        <w:rPr>
          <w:highlight w:val="none"/>
        </w:rPr>
        <w:t xml:space="preserve">provides the relative priority for an AF session while the reservation priority at the </w:t>
      </w:r>
      <w:r>
        <w:rPr>
          <w:rStyle w:val="168"/>
          <w:highlight w:val="none"/>
        </w:rPr>
        <w:t>"MediaComponent"</w:t>
      </w:r>
      <w:r>
        <w:rPr>
          <w:highlight w:val="none"/>
          <w:lang w:eastAsia="zh-CN"/>
        </w:rPr>
        <w:t xml:space="preserve"> data type </w:t>
      </w:r>
      <w:r>
        <w:rPr>
          <w:highlight w:val="none"/>
        </w:rPr>
        <w:t>level provides the relative priority for a service data flow within a session. If the "resPrio" attribute is not specified, the requested priority is PRIO_1.</w:t>
      </w:r>
    </w:p>
    <w:p>
      <w:pPr>
        <w:rPr>
          <w:highlight w:val="none"/>
        </w:rPr>
      </w:pPr>
      <w:r>
        <w:rPr>
          <w:highlight w:val="none"/>
        </w:rPr>
        <w:t xml:space="preserve">The PCF shall check whether the received service information requires PCC rules to be created and provisioned </w:t>
      </w:r>
      <w:r>
        <w:rPr>
          <w:highlight w:val="none"/>
          <w:lang w:eastAsia="zh-CN"/>
        </w:rPr>
        <w:t>as specified in 3GPP TS 29.513 [7]</w:t>
      </w:r>
      <w:r>
        <w:rPr>
          <w:highlight w:val="none"/>
        </w:rPr>
        <w:t>. Provisioning of PCC rules to the SMF shall be carried out as specified at 3GPP TS 29.512 [8].</w:t>
      </w:r>
    </w:p>
    <w:p>
      <w:pPr>
        <w:rPr>
          <w:highlight w:val="none"/>
          <w:lang w:eastAsia="zh-CN"/>
        </w:rPr>
      </w:pPr>
      <w:r>
        <w:rPr>
          <w:highlight w:val="none"/>
        </w:rPr>
        <w:t xml:space="preserve">Based on the received subscription information from the NF service consumer, the PCF may </w:t>
      </w:r>
      <w:r>
        <w:rPr>
          <w:highlight w:val="none"/>
          <w:lang w:eastAsia="zh-CN"/>
        </w:rPr>
        <w:t>create a subscription</w:t>
      </w:r>
      <w:r>
        <w:rPr>
          <w:highlight w:val="none"/>
        </w:rPr>
        <w:t xml:space="preserve"> </w:t>
      </w:r>
      <w:r>
        <w:rPr>
          <w:highlight w:val="none"/>
          <w:lang w:eastAsia="zh-CN"/>
        </w:rPr>
        <w:t xml:space="preserve">to </w:t>
      </w:r>
      <w:r>
        <w:rPr>
          <w:highlight w:val="none"/>
        </w:rPr>
        <w:t xml:space="preserve">event notifications </w:t>
      </w:r>
      <w:r>
        <w:rPr>
          <w:highlight w:val="none"/>
          <w:lang w:eastAsia="zh-CN"/>
        </w:rPr>
        <w:t xml:space="preserve">for a related PDU session </w:t>
      </w:r>
      <w:r>
        <w:rPr>
          <w:highlight w:val="none"/>
        </w:rPr>
        <w:t>from the SMF, as described in 3GPP TS 29.512 [8].</w:t>
      </w:r>
    </w:p>
    <w:p>
      <w:pPr>
        <w:rPr>
          <w:highlight w:val="none"/>
        </w:rPr>
      </w:pPr>
      <w:r>
        <w:rPr>
          <w:highlight w:val="none"/>
        </w:rPr>
        <w:t xml:space="preserve">If the PCF created an </w:t>
      </w:r>
      <w:r>
        <w:rPr>
          <w:rFonts w:ascii="Calibri" w:hAnsi="Calibri"/>
          <w:highlight w:val="none"/>
        </w:rPr>
        <w:t>"</w:t>
      </w:r>
      <w:r>
        <w:rPr>
          <w:highlight w:val="none"/>
        </w:rPr>
        <w:t>Individual Application Session Context</w:t>
      </w:r>
      <w:r>
        <w:rPr>
          <w:rFonts w:ascii="Calibri" w:hAnsi="Calibri"/>
          <w:highlight w:val="none"/>
        </w:rPr>
        <w:t>"</w:t>
      </w:r>
      <w:r>
        <w:rPr>
          <w:highlight w:val="none"/>
        </w:rPr>
        <w:t xml:space="preserve"> resource, the PCF shall send to the NF service consumer a "201 Created" response to the HTTP POST request, as shown in figure 4.2.2.2-1, step 2. The PCF shall include in the "201 Created" response:</w:t>
      </w:r>
    </w:p>
    <w:p>
      <w:pPr>
        <w:pStyle w:val="122"/>
        <w:rPr>
          <w:highlight w:val="none"/>
        </w:rPr>
      </w:pPr>
      <w:r>
        <w:rPr>
          <w:highlight w:val="none"/>
        </w:rPr>
        <w:t>-</w:t>
      </w:r>
      <w:r>
        <w:rPr>
          <w:highlight w:val="none"/>
        </w:rPr>
        <w:tab/>
      </w:r>
      <w:r>
        <w:rPr>
          <w:highlight w:val="none"/>
        </w:rPr>
        <w:t>a Location header field; and</w:t>
      </w:r>
    </w:p>
    <w:p>
      <w:pPr>
        <w:pStyle w:val="122"/>
        <w:rPr>
          <w:highlight w:val="none"/>
        </w:rPr>
      </w:pPr>
      <w:r>
        <w:rPr>
          <w:highlight w:val="none"/>
        </w:rPr>
        <w:t>-</w:t>
      </w:r>
      <w:r>
        <w:rPr>
          <w:highlight w:val="none"/>
        </w:rPr>
        <w:tab/>
      </w:r>
      <w:r>
        <w:rPr>
          <w:highlight w:val="none"/>
        </w:rPr>
        <w:t xml:space="preserve">an </w:t>
      </w:r>
      <w:r>
        <w:rPr>
          <w:rFonts w:ascii="Calibri" w:hAnsi="Calibri"/>
          <w:highlight w:val="none"/>
        </w:rPr>
        <w:t>"</w:t>
      </w:r>
      <w:r>
        <w:rPr>
          <w:highlight w:val="none"/>
        </w:rPr>
        <w:t>AppSessionContext</w:t>
      </w:r>
      <w:r>
        <w:rPr>
          <w:rFonts w:ascii="Calibri" w:hAnsi="Calibri"/>
          <w:highlight w:val="none"/>
        </w:rPr>
        <w:t>"</w:t>
      </w:r>
      <w:r>
        <w:rPr>
          <w:highlight w:val="none"/>
        </w:rPr>
        <w:t xml:space="preserve"> data type in the payload body.</w:t>
      </w:r>
    </w:p>
    <w:p>
      <w:pPr>
        <w:rPr>
          <w:highlight w:val="none"/>
        </w:rPr>
      </w:pPr>
      <w:r>
        <w:rPr>
          <w:highlight w:val="none"/>
        </w:rPr>
        <w:t>The Location header field shall contain the URI of the created individual application session context resource i.e. "{apiRoot}/npcf-policyauthorization/v1/app-sessions/{appSessionId}".</w:t>
      </w:r>
    </w:p>
    <w:p>
      <w:pPr>
        <w:rPr>
          <w:highlight w:val="none"/>
        </w:rPr>
      </w:pPr>
      <w:r>
        <w:rPr>
          <w:highlight w:val="none"/>
        </w:rPr>
        <w:t xml:space="preserve">When </w:t>
      </w:r>
      <w:r>
        <w:rPr>
          <w:rFonts w:ascii="Calibri" w:hAnsi="Calibri"/>
          <w:highlight w:val="none"/>
        </w:rPr>
        <w:t>"</w:t>
      </w:r>
      <w:r>
        <w:rPr>
          <w:highlight w:val="none"/>
        </w:rPr>
        <w:t>Events Subscription</w:t>
      </w:r>
      <w:r>
        <w:rPr>
          <w:rFonts w:ascii="Calibri" w:hAnsi="Calibri"/>
          <w:highlight w:val="none"/>
        </w:rPr>
        <w:t xml:space="preserve">" </w:t>
      </w:r>
      <w:r>
        <w:rPr>
          <w:highlight w:val="none"/>
        </w:rPr>
        <w:t>sub-resource is created in this procedure, the NF service consumer shall build the sub-resource URI by adding the path segment "/events-subscription" at the end of the URI path received in the Location header field.</w:t>
      </w:r>
    </w:p>
    <w:p>
      <w:pPr>
        <w:rPr>
          <w:highlight w:val="none"/>
        </w:rPr>
      </w:pPr>
      <w:r>
        <w:rPr>
          <w:highlight w:val="none"/>
        </w:rPr>
        <w:t xml:space="preserve">The </w:t>
      </w:r>
      <w:r>
        <w:rPr>
          <w:rFonts w:ascii="Calibri" w:hAnsi="Calibri"/>
          <w:highlight w:val="none"/>
        </w:rPr>
        <w:t>"</w:t>
      </w:r>
      <w:r>
        <w:rPr>
          <w:highlight w:val="none"/>
        </w:rPr>
        <w:t>AppSessionContext</w:t>
      </w:r>
      <w:r>
        <w:rPr>
          <w:rFonts w:ascii="Calibri" w:hAnsi="Calibri"/>
          <w:highlight w:val="none"/>
        </w:rPr>
        <w:t>"</w:t>
      </w:r>
      <w:r>
        <w:rPr>
          <w:highlight w:val="none"/>
        </w:rPr>
        <w:t xml:space="preserve"> data type payload body shall contain the representation of the created </w:t>
      </w:r>
      <w:r>
        <w:rPr>
          <w:rFonts w:ascii="Calibri" w:hAnsi="Calibri"/>
          <w:highlight w:val="none"/>
        </w:rPr>
        <w:t>"</w:t>
      </w:r>
      <w:r>
        <w:rPr>
          <w:highlight w:val="none"/>
        </w:rPr>
        <w:t>Individual Application Session Context</w:t>
      </w:r>
      <w:r>
        <w:rPr>
          <w:rFonts w:ascii="Calibri" w:hAnsi="Calibri"/>
          <w:highlight w:val="none"/>
        </w:rPr>
        <w:t>"</w:t>
      </w:r>
      <w:r>
        <w:rPr>
          <w:highlight w:val="none"/>
        </w:rPr>
        <w:t xml:space="preserve"> resource and may include the </w:t>
      </w:r>
      <w:r>
        <w:rPr>
          <w:rFonts w:ascii="Calibri" w:hAnsi="Calibri"/>
          <w:highlight w:val="none"/>
        </w:rPr>
        <w:t>"</w:t>
      </w:r>
      <w:r>
        <w:rPr>
          <w:highlight w:val="none"/>
        </w:rPr>
        <w:t>Events Subscription</w:t>
      </w:r>
      <w:r>
        <w:rPr>
          <w:rFonts w:ascii="Calibri" w:hAnsi="Calibri"/>
          <w:highlight w:val="none"/>
        </w:rPr>
        <w:t xml:space="preserve">" </w:t>
      </w:r>
      <w:r>
        <w:rPr>
          <w:highlight w:val="none"/>
        </w:rPr>
        <w:t>sub-resource.</w:t>
      </w:r>
    </w:p>
    <w:p>
      <w:pPr>
        <w:rPr>
          <w:highlight w:val="none"/>
          <w:lang w:eastAsia="de-DE"/>
        </w:rPr>
      </w:pPr>
      <w:r>
        <w:rPr>
          <w:highlight w:val="none"/>
          <w:lang w:eastAsia="de-DE"/>
        </w:rPr>
        <w:t xml:space="preserve">The PCF shall include in the </w:t>
      </w:r>
      <w:r>
        <w:rPr>
          <w:rFonts w:ascii="Calibri" w:hAnsi="Calibri"/>
          <w:highlight w:val="none"/>
        </w:rPr>
        <w:t>"</w:t>
      </w:r>
      <w:r>
        <w:rPr>
          <w:highlight w:val="none"/>
        </w:rPr>
        <w:t>evsNotif</w:t>
      </w:r>
      <w:r>
        <w:rPr>
          <w:rFonts w:ascii="Calibri" w:hAnsi="Calibri"/>
          <w:highlight w:val="none"/>
        </w:rPr>
        <w:t xml:space="preserve">" </w:t>
      </w:r>
      <w:r>
        <w:rPr>
          <w:highlight w:val="none"/>
          <w:lang w:eastAsia="de-DE"/>
        </w:rPr>
        <w:t>attribute:</w:t>
      </w:r>
    </w:p>
    <w:p>
      <w:pPr>
        <w:pStyle w:val="122"/>
        <w:rPr>
          <w:highlight w:val="none"/>
        </w:rPr>
      </w:pPr>
      <w:r>
        <w:rPr>
          <w:highlight w:val="none"/>
        </w:rPr>
        <w:t>-</w:t>
      </w:r>
      <w:r>
        <w:rPr>
          <w:highlight w:val="none"/>
        </w:rPr>
        <w:tab/>
      </w:r>
      <w:r>
        <w:rPr>
          <w:highlight w:val="none"/>
        </w:rPr>
        <w:t>if the NF service consumer subscribed to the event "PLMN_CHG" in the HTTP POST request, the "event" attribute set to "PLMN_CHG" and the "plmnId" attribute including the PLMN Identifier</w:t>
      </w:r>
      <w:r>
        <w:rPr>
          <w:highlight w:val="none"/>
          <w:lang w:eastAsia="zh-CN"/>
        </w:rPr>
        <w:t xml:space="preserve"> </w:t>
      </w:r>
      <w:r>
        <w:rPr>
          <w:rFonts w:cs="Arial"/>
          <w:szCs w:val="18"/>
          <w:highlight w:val="none"/>
        </w:rPr>
        <w:t xml:space="preserve">or </w:t>
      </w:r>
      <w:r>
        <w:rPr>
          <w:highlight w:val="none"/>
          <w:lang w:eastAsia="zh-CN"/>
        </w:rPr>
        <w:t xml:space="preserve">the SNPN </w:t>
      </w:r>
      <w:r>
        <w:rPr>
          <w:rFonts w:cs="Arial"/>
          <w:szCs w:val="18"/>
          <w:highlight w:val="none"/>
        </w:rPr>
        <w:t>Identifier</w:t>
      </w:r>
      <w:r>
        <w:rPr>
          <w:highlight w:val="none"/>
        </w:rPr>
        <w:t xml:space="preserve"> if the PCF has previously requested to be updated with this information in the SMF;</w:t>
      </w:r>
    </w:p>
    <w:p>
      <w:pPr>
        <w:pStyle w:val="103"/>
        <w:rPr>
          <w:highlight w:val="none"/>
        </w:rPr>
      </w:pPr>
      <w:r>
        <w:rPr>
          <w:rFonts w:eastAsia="Batang"/>
          <w:highlight w:val="none"/>
        </w:rPr>
        <w:t>NOTE 9:</w:t>
      </w:r>
      <w:r>
        <w:rPr>
          <w:rFonts w:eastAsia="Batang"/>
          <w:highlight w:val="none"/>
        </w:rPr>
        <w:tab/>
      </w:r>
      <w:r>
        <w:rPr>
          <w:highlight w:val="none"/>
        </w:rPr>
        <w:t>The SNPN Identifier consists of the PLMN Identifier and the NID.</w:t>
      </w:r>
    </w:p>
    <w:p>
      <w:pPr>
        <w:pStyle w:val="103"/>
        <w:rPr>
          <w:highlight w:val="none"/>
        </w:rPr>
      </w:pPr>
      <w:r>
        <w:rPr>
          <w:highlight w:val="none"/>
        </w:rPr>
        <w:t>NOTE</w:t>
      </w:r>
      <w:r>
        <w:rPr>
          <w:highlight w:val="none"/>
          <w:lang w:val="en-US"/>
        </w:rPr>
        <w:t> 10</w:t>
      </w:r>
      <w:r>
        <w:rPr>
          <w:highlight w:val="none"/>
        </w:rPr>
        <w:t>:</w:t>
      </w:r>
      <w:r>
        <w:rPr>
          <w:highlight w:val="none"/>
        </w:rPr>
        <w:tab/>
      </w:r>
      <w:r>
        <w:rPr>
          <w:highlight w:val="none"/>
        </w:rPr>
        <w:t>Handover between non-equivalent SNPNs, and between SNPN and PLMN is not supported. When the UE is operating in SNPN access mode, the trigger reports changes of equivalent SNPNs.</w:t>
      </w:r>
    </w:p>
    <w:p>
      <w:pPr>
        <w:pStyle w:val="122"/>
        <w:rPr>
          <w:highlight w:val="none"/>
        </w:rPr>
      </w:pPr>
      <w:r>
        <w:rPr>
          <w:highlight w:val="none"/>
        </w:rPr>
        <w:t>-</w:t>
      </w:r>
      <w:r>
        <w:rPr>
          <w:highlight w:val="none"/>
        </w:rPr>
        <w:tab/>
      </w:r>
      <w:r>
        <w:rPr>
          <w:highlight w:val="none"/>
        </w:rPr>
        <w:t>if the NF service consumer subscribed to the event "ACCESS_TYPE_CHANGE" in the HTTP POST request, the "event" attribute set to "ACCESS_TYPE_CHANGE" and:</w:t>
      </w:r>
    </w:p>
    <w:p>
      <w:pPr>
        <w:pStyle w:val="123"/>
        <w:rPr>
          <w:highlight w:val="none"/>
        </w:rPr>
      </w:pPr>
      <w:r>
        <w:rPr>
          <w:highlight w:val="none"/>
        </w:rPr>
        <w:t>i.</w:t>
      </w:r>
      <w:r>
        <w:rPr>
          <w:highlight w:val="none"/>
        </w:rPr>
        <w:tab/>
      </w:r>
      <w:r>
        <w:rPr>
          <w:highlight w:val="none"/>
        </w:rPr>
        <w:t>the "accessType" attribute including the access type, and the "ratType" attribute including the RAT type when applicable for the notified access type; and</w:t>
      </w:r>
    </w:p>
    <w:p>
      <w:pPr>
        <w:pStyle w:val="123"/>
        <w:rPr>
          <w:highlight w:val="none"/>
        </w:rPr>
      </w:pPr>
      <w:r>
        <w:rPr>
          <w:highlight w:val="none"/>
        </w:rPr>
        <w:t>ii.</w:t>
      </w:r>
      <w:r>
        <w:rPr>
          <w:highlight w:val="none"/>
        </w:rPr>
        <w:tab/>
      </w:r>
      <w:r>
        <w:rPr>
          <w:highlight w:val="none"/>
        </w:rPr>
        <w:t xml:space="preserve">if the "ATSSS" feature is supported, the "addAccessInfo" attribute with the additional access type information if available, where the access type is encoded in the "accessType" attribute, and the RAT type is encoded in the "ratType" attribute when applicable for the notified access type; and </w:t>
      </w:r>
    </w:p>
    <w:p>
      <w:pPr>
        <w:pStyle w:val="103"/>
        <w:rPr>
          <w:highlight w:val="none"/>
        </w:rPr>
      </w:pPr>
      <w:r>
        <w:rPr>
          <w:highlight w:val="none"/>
        </w:rPr>
        <w:t>NOTE</w:t>
      </w:r>
      <w:r>
        <w:rPr>
          <w:highlight w:val="none"/>
          <w:lang w:eastAsia="zh-CN"/>
        </w:rPr>
        <w:t> 11</w:t>
      </w:r>
      <w:r>
        <w:rPr>
          <w:highlight w:val="none"/>
        </w:rPr>
        <w:t>:</w:t>
      </w:r>
      <w:r>
        <w:rPr>
          <w:highlight w:val="none"/>
        </w:rPr>
        <w:tab/>
      </w:r>
      <w:r>
        <w:rPr>
          <w:highlight w:val="none"/>
        </w:rPr>
        <w:t>For a MA PDU session, if the "ATSSS" feature is not supported by the NF service consumer the PCF includes the "accessType" attribute and the "ratType" attribute with a currently active combination of access type and RAT type (if applicable for the notifed access type). When both 3GPP and non-3GPP accesses are available, the PCF includes the information corresponding to the 3GPP access.</w:t>
      </w:r>
    </w:p>
    <w:p>
      <w:pPr>
        <w:pStyle w:val="123"/>
        <w:rPr>
          <w:highlight w:val="none"/>
        </w:rPr>
      </w:pPr>
      <w:r>
        <w:rPr>
          <w:highlight w:val="none"/>
        </w:rPr>
        <w:t>iii.</w:t>
      </w:r>
      <w:r>
        <w:rPr>
          <w:highlight w:val="none"/>
        </w:rPr>
        <w:tab/>
      </w:r>
      <w:r>
        <w:rPr>
          <w:highlight w:val="none"/>
        </w:rPr>
        <w:tab/>
      </w:r>
      <w:r>
        <w:rPr>
          <w:highlight w:val="none"/>
        </w:rPr>
        <w:t>the "anGwAddr" attribute including access network gateway address when available,</w:t>
      </w:r>
    </w:p>
    <w:p>
      <w:pPr>
        <w:pStyle w:val="123"/>
        <w:rPr>
          <w:highlight w:val="none"/>
        </w:rPr>
      </w:pPr>
      <w:r>
        <w:rPr>
          <w:highlight w:val="none"/>
        </w:rPr>
        <w:t>if the PCF has previously requested to be updated with this information in the SMF; and</w:t>
      </w:r>
    </w:p>
    <w:p>
      <w:pPr>
        <w:pStyle w:val="122"/>
        <w:rPr>
          <w:highlight w:val="none"/>
        </w:rPr>
      </w:pPr>
      <w:r>
        <w:rPr>
          <w:highlight w:val="none"/>
        </w:rPr>
        <w:t>-</w:t>
      </w:r>
      <w:r>
        <w:rPr>
          <w:highlight w:val="none"/>
        </w:rPr>
        <w:tab/>
      </w:r>
      <w:r>
        <w:rPr>
          <w:highlight w:val="none"/>
        </w:rPr>
        <w:t>if the "IMS_SBI" feature is supported and if the NF service consumer subscribed to the "CHARGING_CORRELATION" event in the HTTP POST request, the "event" attribute set to "CHARGING_CORRELATION" and may include the "anChargIds" attribute containing the access network charging identifier(s) and the "anChargAddr" attribute containing the access network charging address.</w:t>
      </w:r>
    </w:p>
    <w:p>
      <w:pPr>
        <w:rPr>
          <w:highlight w:val="none"/>
        </w:rPr>
      </w:pPr>
      <w:r>
        <w:rPr>
          <w:highlight w:val="none"/>
        </w:rPr>
        <w:t>The NF service consumer subscription to other specific events using the Npcf_PolicyAuthorization_Create request is described in the related clauses. Notification of events when the applicable information is not available in the PCF when receiving the Npcf_PolicyAuthorization_Create request is described in clause 4.2.5.</w:t>
      </w:r>
    </w:p>
    <w:p>
      <w:pPr>
        <w:rPr>
          <w:highlight w:val="none"/>
        </w:rPr>
      </w:pPr>
      <w:r>
        <w:rPr>
          <w:highlight w:val="none"/>
        </w:rPr>
        <w:t>The acknowledgement towards the NF service consumer should take place before or in parallel with any required PCC rule provisioning towards the SMF.</w:t>
      </w:r>
    </w:p>
    <w:p>
      <w:pPr>
        <w:pStyle w:val="103"/>
      </w:pPr>
      <w:r>
        <w:t>NOTE 12:</w:t>
      </w:r>
      <w:r>
        <w:tab/>
      </w:r>
      <w:r>
        <w:t>The behaviour when the NF service consumer does not receive the HTTP response message, or when it arrives after the internal timer waiting for it has expired, or when it arrives with an indication different than a success indication, are outside the scope of this specification and based on operator policy.</w:t>
      </w:r>
    </w:p>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rPr>
          <w:ins w:id="71" w:author="CMCC" w:date="2023-04-10T00:55:56Z"/>
          <w:color w:val="auto"/>
          <w:highlight w:val="none"/>
          <w:u w:val="none"/>
        </w:rPr>
      </w:pPr>
      <w:ins w:id="72" w:author="CMCC" w:date="2023-04-10T00:55:56Z">
        <w:bookmarkStart w:id="33" w:name="_Toc28012332"/>
        <w:bookmarkStart w:id="34" w:name="_Toc36038275"/>
        <w:bookmarkStart w:id="35" w:name="_Toc51762294"/>
        <w:bookmarkStart w:id="36" w:name="_Toc45133540"/>
        <w:bookmarkStart w:id="37" w:name="_Toc59016865"/>
        <w:bookmarkStart w:id="38" w:name="_Toc130291634"/>
        <w:bookmarkStart w:id="39" w:name="_Toc129338765"/>
        <w:r>
          <w:rPr/>
          <w:t>4.</w:t>
        </w:r>
      </w:ins>
      <w:ins w:id="73" w:author="CMCC" w:date="2023-04-10T00:55:56Z">
        <w:r>
          <w:rPr>
            <w:color w:val="auto"/>
            <w:highlight w:val="none"/>
            <w:u w:val="none"/>
          </w:rPr>
          <w:t>2.2.</w:t>
        </w:r>
      </w:ins>
      <w:ins w:id="74" w:author="CMCC2" w:date="2023-04-19T07:33:18Z">
        <w:r>
          <w:rPr>
            <w:rFonts w:hint="eastAsia" w:eastAsia="宋体"/>
            <w:color w:val="auto"/>
            <w:highlight w:val="none"/>
            <w:u w:val="none"/>
            <w:lang w:val="en-US" w:eastAsia="zh-CN"/>
          </w:rPr>
          <w:t>37</w:t>
        </w:r>
      </w:ins>
      <w:ins w:id="75" w:author="CMCC" w:date="2023-04-10T00:55:56Z">
        <w:del w:id="76" w:author="CMCC2" w:date="2023-04-19T07:33:18Z">
          <w:r>
            <w:rPr>
              <w:rFonts w:hint="eastAsia" w:eastAsia="宋体"/>
              <w:color w:val="auto"/>
              <w:highlight w:val="none"/>
              <w:u w:val="none"/>
              <w:lang w:val="en-US" w:eastAsia="zh-CN"/>
            </w:rPr>
            <w:delText>X</w:delText>
          </w:r>
        </w:del>
      </w:ins>
      <w:ins w:id="77" w:author="CMCC" w:date="2023-04-10T00:55:56Z">
        <w:r>
          <w:rPr>
            <w:color w:val="auto"/>
            <w:highlight w:val="none"/>
            <w:u w:val="none"/>
          </w:rPr>
          <w:tab/>
        </w:r>
      </w:ins>
      <w:ins w:id="78" w:author="CMCC" w:date="2023-04-10T00:55:56Z">
        <w:bookmarkStart w:id="40" w:name="_Hlk24533267"/>
        <w:r>
          <w:rPr>
            <w:color w:val="auto"/>
            <w:highlight w:val="none"/>
            <w:u w:val="none"/>
          </w:rPr>
          <w:t xml:space="preserve">Provisioning of </w:t>
        </w:r>
        <w:bookmarkEnd w:id="33"/>
        <w:bookmarkEnd w:id="40"/>
      </w:ins>
      <w:ins w:id="79" w:author="CMCC" w:date="2023-04-10T00:55:56Z">
        <w:r>
          <w:rPr>
            <w:rFonts w:hint="eastAsia" w:eastAsia="宋体"/>
            <w:color w:val="auto"/>
            <w:highlight w:val="none"/>
            <w:u w:val="none"/>
            <w:lang w:val="en-US" w:eastAsia="zh-CN"/>
          </w:rPr>
          <w:t>PDU Set</w:t>
        </w:r>
      </w:ins>
      <w:ins w:id="80" w:author="CMCC" w:date="2023-04-10T00:55:56Z">
        <w:r>
          <w:rPr>
            <w:color w:val="auto"/>
            <w:highlight w:val="none"/>
            <w:u w:val="none"/>
          </w:rPr>
          <w:t xml:space="preserve"> QoS related data</w:t>
        </w:r>
        <w:bookmarkEnd w:id="34"/>
        <w:bookmarkEnd w:id="35"/>
        <w:bookmarkEnd w:id="36"/>
        <w:bookmarkEnd w:id="37"/>
        <w:bookmarkEnd w:id="38"/>
        <w:bookmarkEnd w:id="39"/>
      </w:ins>
    </w:p>
    <w:p>
      <w:pPr>
        <w:rPr>
          <w:ins w:id="81" w:author="CMCC" w:date="2023-04-10T00:55:56Z"/>
          <w:color w:val="auto"/>
          <w:highlight w:val="none"/>
          <w:u w:val="none"/>
        </w:rPr>
      </w:pPr>
      <w:ins w:id="82" w:author="CMCC" w:date="2023-04-10T00:55:56Z">
        <w:r>
          <w:rPr>
            <w:color w:val="auto"/>
            <w:highlight w:val="none"/>
            <w:u w:val="none"/>
          </w:rPr>
          <w:t>If the "</w:t>
        </w:r>
      </w:ins>
      <w:ins w:id="83" w:author="CMCC" w:date="2023-04-10T18:29:09Z">
        <w:r>
          <w:rPr>
            <w:rFonts w:hint="eastAsia" w:eastAsia="宋体"/>
            <w:color w:val="auto"/>
            <w:highlight w:val="none"/>
            <w:u w:val="none"/>
            <w:lang w:val="en-US" w:eastAsia="zh-CN"/>
          </w:rPr>
          <w:t>XRM_</w:t>
        </w:r>
      </w:ins>
      <w:ins w:id="84" w:author="CMCC" w:date="2023-04-10T18:29:10Z">
        <w:r>
          <w:rPr>
            <w:rFonts w:hint="eastAsia" w:eastAsia="宋体"/>
            <w:color w:val="auto"/>
            <w:highlight w:val="none"/>
            <w:u w:val="none"/>
            <w:lang w:val="en-US" w:eastAsia="zh-CN"/>
          </w:rPr>
          <w:t>5G</w:t>
        </w:r>
      </w:ins>
      <w:ins w:id="85" w:author="CMCC" w:date="2023-04-10T00:55:56Z">
        <w:r>
          <w:rPr>
            <w:color w:val="auto"/>
            <w:highlight w:val="none"/>
            <w:u w:val="none"/>
          </w:rPr>
          <w:t>" feature is supported</w:t>
        </w:r>
      </w:ins>
      <w:ins w:id="86" w:author="CMCC" w:date="2023-04-10T00:55:56Z">
        <w:bookmarkStart w:id="41" w:name="OLE_LINK8"/>
        <w:r>
          <w:rPr>
            <w:rFonts w:hint="eastAsia" w:eastAsia="宋体"/>
            <w:color w:val="auto"/>
            <w:highlight w:val="none"/>
            <w:u w:val="none"/>
            <w:lang w:val="en-US" w:eastAsia="zh-CN"/>
          </w:rPr>
          <w:t>, to</w:t>
        </w:r>
      </w:ins>
      <w:ins w:id="87" w:author="CMCC" w:date="2023-04-10T00:55:56Z">
        <w:r>
          <w:rPr>
            <w:color w:val="auto"/>
            <w:highlight w:val="none"/>
            <w:u w:val="none"/>
          </w:rPr>
          <w:t xml:space="preserve"> indicate the </w:t>
        </w:r>
      </w:ins>
      <w:ins w:id="88" w:author="CMCC" w:date="2023-04-10T00:55:56Z">
        <w:r>
          <w:rPr>
            <w:rFonts w:hint="eastAsia"/>
            <w:color w:val="auto"/>
            <w:highlight w:val="none"/>
            <w:u w:val="none"/>
          </w:rPr>
          <w:t>PDU Set QoS</w:t>
        </w:r>
      </w:ins>
      <w:ins w:id="89" w:author="CMCC" w:date="2023-04-10T00:55:56Z">
        <w:r>
          <w:rPr>
            <w:color w:val="auto"/>
            <w:highlight w:val="none"/>
            <w:u w:val="none"/>
          </w:rPr>
          <w:t xml:space="preserve"> related information</w:t>
        </w:r>
      </w:ins>
      <w:ins w:id="90" w:author="CMCC" w:date="2023-04-10T00:55:56Z">
        <w:r>
          <w:rPr>
            <w:highlight w:val="none"/>
            <w:lang w:eastAsia="ko-KR"/>
          </w:rPr>
          <w:t xml:space="preserve"> </w:t>
        </w:r>
      </w:ins>
      <w:ins w:id="91" w:author="CMCC" w:date="2023-04-10T00:55:56Z">
        <w:r>
          <w:rPr>
            <w:rFonts w:hint="eastAsia" w:eastAsia="宋体"/>
            <w:highlight w:val="none"/>
            <w:lang w:val="en-US" w:eastAsia="zh-CN"/>
          </w:rPr>
          <w:t>for</w:t>
        </w:r>
      </w:ins>
      <w:ins w:id="92" w:author="CMCC" w:date="2023-04-10T00:55:56Z">
        <w:r>
          <w:rPr>
            <w:highlight w:val="none"/>
            <w:lang w:eastAsia="ko-KR"/>
          </w:rPr>
          <w:t xml:space="preserve"> the PDU Set</w:t>
        </w:r>
      </w:ins>
      <w:ins w:id="93" w:author="CMCC" w:date="2023-04-10T00:55:56Z">
        <w:r>
          <w:rPr>
            <w:rFonts w:hint="eastAsia" w:eastAsia="宋体"/>
            <w:highlight w:val="none"/>
            <w:lang w:val="en-US" w:eastAsia="zh-CN"/>
          </w:rPr>
          <w:t xml:space="preserve">, </w:t>
        </w:r>
        <w:bookmarkEnd w:id="41"/>
      </w:ins>
      <w:ins w:id="94" w:author="CMCC" w:date="2023-04-10T00:55:56Z">
        <w:r>
          <w:rPr>
            <w:color w:val="auto"/>
            <w:highlight w:val="none"/>
            <w:u w:val="none"/>
          </w:rPr>
          <w:t>the NF service consumer may include in the "</w:t>
        </w:r>
      </w:ins>
      <w:ins w:id="95" w:author="CMCC" w:date="2023-04-10T00:55:56Z">
        <w:del w:id="96" w:author="CMCC-r2" w:date="2023-04-20T19:34:34Z">
          <w:r>
            <w:rPr>
              <w:rFonts w:hint="eastAsia" w:eastAsia="宋体"/>
              <w:color w:val="auto"/>
              <w:highlight w:val="none"/>
              <w:u w:val="none"/>
              <w:lang w:val="en-US" w:eastAsia="zh-CN"/>
            </w:rPr>
            <w:delText>p</w:delText>
          </w:r>
        </w:del>
      </w:ins>
      <w:ins w:id="97" w:author="CMCC-r2" w:date="2023-04-20T19:34:33Z">
        <w:r>
          <w:rPr>
            <w:rFonts w:hint="eastAsia" w:eastAsia="宋体"/>
            <w:color w:val="auto"/>
            <w:highlight w:val="none"/>
            <w:u w:val="none"/>
            <w:lang w:val="en-US" w:eastAsia="zh-CN"/>
          </w:rPr>
          <w:t>P</w:t>
        </w:r>
      </w:ins>
      <w:ins w:id="98" w:author="CMCC" w:date="2023-04-10T00:55:56Z">
        <w:r>
          <w:rPr>
            <w:rFonts w:hint="eastAsia" w:eastAsia="宋体"/>
            <w:color w:val="auto"/>
            <w:highlight w:val="none"/>
            <w:u w:val="none"/>
            <w:lang w:val="en-US" w:eastAsia="zh-CN"/>
          </w:rPr>
          <w:t>duSet</w:t>
        </w:r>
      </w:ins>
      <w:ins w:id="99" w:author="CMCC" w:date="2023-04-10T00:55:56Z">
        <w:r>
          <w:rPr>
            <w:color w:val="auto"/>
            <w:highlight w:val="none"/>
            <w:u w:val="none"/>
          </w:rPr>
          <w:t>Qos" attribute included in a media component entry of the "</w:t>
        </w:r>
        <w:bookmarkStart w:id="42" w:name="OLE_LINK26"/>
        <w:r>
          <w:rPr>
            <w:color w:val="auto"/>
            <w:highlight w:val="none"/>
            <w:u w:val="none"/>
          </w:rPr>
          <w:t>medComponents</w:t>
        </w:r>
        <w:bookmarkEnd w:id="42"/>
        <w:r>
          <w:rPr>
            <w:color w:val="auto"/>
            <w:highlight w:val="none"/>
            <w:u w:val="none"/>
          </w:rPr>
          <w:t>" attribute;</w:t>
        </w:r>
      </w:ins>
    </w:p>
    <w:p>
      <w:pPr>
        <w:pStyle w:val="122"/>
        <w:rPr>
          <w:ins w:id="100" w:author="CMCC" w:date="2023-04-10T00:55:56Z"/>
          <w:color w:val="auto"/>
          <w:highlight w:val="none"/>
          <w:u w:val="none"/>
        </w:rPr>
      </w:pPr>
      <w:ins w:id="101" w:author="CMCC" w:date="2023-04-10T00:55:56Z">
        <w:r>
          <w:rPr>
            <w:color w:val="auto"/>
            <w:highlight w:val="none"/>
            <w:u w:val="none"/>
          </w:rPr>
          <w:t>-</w:t>
        </w:r>
      </w:ins>
      <w:ins w:id="102" w:author="CMCC" w:date="2023-04-10T00:55:56Z">
        <w:r>
          <w:rPr>
            <w:color w:val="auto"/>
            <w:highlight w:val="none"/>
            <w:u w:val="none"/>
          </w:rPr>
          <w:tab/>
        </w:r>
      </w:ins>
      <w:ins w:id="103" w:author="CMCC" w:date="2023-04-10T00:55:56Z">
        <w:r>
          <w:rPr>
            <w:color w:val="auto"/>
            <w:highlight w:val="none"/>
            <w:u w:val="none"/>
          </w:rPr>
          <w:t xml:space="preserve">the </w:t>
        </w:r>
      </w:ins>
      <w:ins w:id="104" w:author="CMCC" w:date="2023-04-10T00:55:56Z">
        <w:r>
          <w:rPr>
            <w:rFonts w:hint="eastAsia"/>
            <w:color w:val="auto"/>
            <w:highlight w:val="none"/>
            <w:u w:val="none"/>
          </w:rPr>
          <w:t>upper bound for the delay that a PDU Set may experience for the transfer between the UE and the N6 termination point at the UPF</w:t>
        </w:r>
      </w:ins>
      <w:ins w:id="105" w:author="CMCC" w:date="2023-04-10T00:55:56Z">
        <w:r>
          <w:rPr>
            <w:rFonts w:hint="eastAsia" w:eastAsia="宋体"/>
            <w:color w:val="auto"/>
            <w:highlight w:val="none"/>
            <w:u w:val="none"/>
            <w:lang w:val="en-US" w:eastAsia="zh-CN"/>
          </w:rPr>
          <w:t xml:space="preserve"> </w:t>
        </w:r>
      </w:ins>
      <w:ins w:id="106" w:author="CMCC" w:date="2023-04-10T00:55:56Z">
        <w:r>
          <w:rPr>
            <w:color w:val="auto"/>
            <w:highlight w:val="none"/>
            <w:u w:val="none"/>
          </w:rPr>
          <w:t>encoded in the "</w:t>
        </w:r>
      </w:ins>
      <w:ins w:id="107" w:author="CMCC-r2" w:date="2023-04-20T19:07:30Z">
        <w:r>
          <w:rPr>
            <w:rFonts w:hint="eastAsia" w:eastAsia="宋体"/>
            <w:color w:val="auto"/>
            <w:highlight w:val="none"/>
            <w:u w:val="none"/>
            <w:lang w:val="en-US" w:eastAsia="zh-CN"/>
          </w:rPr>
          <w:t>P</w:t>
        </w:r>
      </w:ins>
      <w:ins w:id="108" w:author="CMCC" w:date="2023-04-10T00:55:56Z">
        <w:del w:id="109" w:author="CMCC-r2" w:date="2023-04-20T19:07:30Z">
          <w:r>
            <w:rPr>
              <w:rFonts w:hint="eastAsia" w:eastAsia="宋体"/>
              <w:highlight w:val="none"/>
              <w:lang w:val="en-US" w:eastAsia="zh-CN"/>
            </w:rPr>
            <w:delText>p</w:delText>
          </w:r>
        </w:del>
      </w:ins>
      <w:ins w:id="110" w:author="CMCC" w:date="2023-04-10T00:55:56Z">
        <w:r>
          <w:rPr>
            <w:rFonts w:hint="eastAsia" w:eastAsia="宋体"/>
            <w:highlight w:val="none"/>
            <w:lang w:val="en-US" w:eastAsia="zh-CN"/>
          </w:rPr>
          <w:t>duSetDelayBudget</w:t>
        </w:r>
      </w:ins>
      <w:ins w:id="111" w:author="CMCC" w:date="2023-04-10T00:55:56Z">
        <w:r>
          <w:rPr>
            <w:color w:val="auto"/>
            <w:highlight w:val="none"/>
            <w:u w:val="none"/>
          </w:rPr>
          <w:t>" attribute</w:t>
        </w:r>
      </w:ins>
      <w:ins w:id="112" w:author="CMCC2" w:date="2023-04-19T07:39:37Z">
        <w:r>
          <w:rPr>
            <w:rFonts w:hint="eastAsia" w:eastAsia="宋体"/>
            <w:color w:val="auto"/>
            <w:highlight w:val="none"/>
            <w:u w:val="none"/>
            <w:lang w:val="en-US" w:eastAsia="zh-CN"/>
          </w:rPr>
          <w:t xml:space="preserve"> </w:t>
        </w:r>
      </w:ins>
      <w:ins w:id="113" w:author="CMCC2" w:date="2023-04-19T07:39:40Z">
        <w:r>
          <w:rPr>
            <w:rFonts w:hint="eastAsia" w:eastAsia="宋体"/>
            <w:color w:val="auto"/>
            <w:lang w:val="en-US" w:eastAsia="zh-CN"/>
          </w:rPr>
          <w:t xml:space="preserve">as described in </w:t>
        </w:r>
      </w:ins>
      <w:ins w:id="114" w:author="CMCC2" w:date="2023-04-19T07:39:40Z">
        <w:r>
          <w:rPr/>
          <w:t>3GPP TS 2</w:t>
        </w:r>
      </w:ins>
      <w:ins w:id="115" w:author="CMCC-r2" w:date="2023-04-20T18:53:32Z">
        <w:r>
          <w:rPr>
            <w:rFonts w:hint="eastAsia" w:eastAsia="宋体"/>
            <w:lang w:val="en-US" w:eastAsia="zh-CN"/>
          </w:rPr>
          <w:t>9</w:t>
        </w:r>
      </w:ins>
      <w:ins w:id="116" w:author="CMCC2" w:date="2023-04-19T07:39:40Z">
        <w:del w:id="117" w:author="CMCC-r2" w:date="2023-04-20T18:53:32Z">
          <w:r>
            <w:rPr/>
            <w:delText>3</w:delText>
          </w:r>
        </w:del>
      </w:ins>
      <w:ins w:id="118" w:author="CMCC2" w:date="2023-04-19T07:39:40Z">
        <w:r>
          <w:rPr/>
          <w:t>.5</w:t>
        </w:r>
      </w:ins>
      <w:ins w:id="119" w:author="CMCC2" w:date="2023-04-19T07:39:42Z">
        <w:r>
          <w:rPr>
            <w:rFonts w:hint="eastAsia" w:eastAsia="宋体"/>
            <w:lang w:val="en-US" w:eastAsia="zh-CN"/>
          </w:rPr>
          <w:t>7</w:t>
        </w:r>
      </w:ins>
      <w:ins w:id="120" w:author="CMCC2" w:date="2023-04-19T07:39:40Z">
        <w:r>
          <w:rPr/>
          <w:t>1 [</w:t>
        </w:r>
      </w:ins>
      <w:ins w:id="121" w:author="CMCC2" w:date="2023-04-19T07:39:44Z">
        <w:r>
          <w:rPr>
            <w:rFonts w:hint="eastAsia" w:eastAsia="宋体"/>
            <w:lang w:val="en-US" w:eastAsia="zh-CN"/>
          </w:rPr>
          <w:t>1</w:t>
        </w:r>
      </w:ins>
      <w:ins w:id="122" w:author="CMCC2" w:date="2023-04-19T07:39:40Z">
        <w:r>
          <w:rPr/>
          <w:t>2]</w:t>
        </w:r>
      </w:ins>
      <w:ins w:id="123" w:author="CMCC" w:date="2023-04-10T00:55:56Z">
        <w:r>
          <w:rPr>
            <w:color w:val="auto"/>
            <w:highlight w:val="none"/>
            <w:u w:val="none"/>
          </w:rPr>
          <w:t>;</w:t>
        </w:r>
      </w:ins>
    </w:p>
    <w:p>
      <w:pPr>
        <w:pStyle w:val="122"/>
        <w:rPr>
          <w:ins w:id="124" w:author="CMCC" w:date="2023-04-10T00:55:56Z"/>
          <w:rFonts w:hint="eastAsia" w:eastAsia="宋体"/>
          <w:color w:val="auto"/>
          <w:highlight w:val="none"/>
          <w:u w:val="none"/>
          <w:lang w:val="en-US" w:eastAsia="zh-CN"/>
        </w:rPr>
      </w:pPr>
      <w:ins w:id="125" w:author="CMCC" w:date="2023-04-10T00:55:56Z">
        <w:r>
          <w:rPr>
            <w:color w:val="auto"/>
            <w:highlight w:val="none"/>
            <w:u w:val="none"/>
          </w:rPr>
          <w:t>-</w:t>
        </w:r>
      </w:ins>
      <w:ins w:id="126" w:author="CMCC" w:date="2023-04-10T00:55:56Z">
        <w:r>
          <w:rPr>
            <w:color w:val="auto"/>
            <w:highlight w:val="none"/>
            <w:u w:val="none"/>
          </w:rPr>
          <w:tab/>
        </w:r>
      </w:ins>
      <w:ins w:id="127" w:author="CMCC" w:date="2023-04-10T00:55:56Z">
        <w:r>
          <w:rPr>
            <w:highlight w:val="none"/>
            <w:lang w:eastAsia="ko-KR"/>
          </w:rPr>
          <w:t>upper bound for the rate of PDU Sets that have been processed by the sender of a link layer protocol</w:t>
        </w:r>
      </w:ins>
      <w:ins w:id="128" w:author="CMCC" w:date="2023-04-10T00:55:56Z">
        <w:r>
          <w:rPr>
            <w:color w:val="auto"/>
            <w:highlight w:val="none"/>
            <w:u w:val="none"/>
          </w:rPr>
          <w:t xml:space="preserve"> encoded in the "</w:t>
        </w:r>
      </w:ins>
      <w:ins w:id="129" w:author="CMCC-r2" w:date="2023-04-20T19:07:42Z">
        <w:r>
          <w:rPr>
            <w:rFonts w:hint="eastAsia" w:eastAsia="宋体"/>
            <w:color w:val="auto"/>
            <w:highlight w:val="none"/>
            <w:u w:val="none"/>
            <w:lang w:val="en-US" w:eastAsia="zh-CN"/>
          </w:rPr>
          <w:t>P</w:t>
        </w:r>
      </w:ins>
      <w:ins w:id="130" w:author="CMCC2" w:date="2023-04-19T07:34:07Z">
        <w:del w:id="131" w:author="CMCC-r2" w:date="2023-04-20T19:07:42Z">
          <w:r>
            <w:rPr>
              <w:rFonts w:eastAsia="Times New Roman"/>
            </w:rPr>
            <w:delText>p</w:delText>
          </w:r>
        </w:del>
      </w:ins>
      <w:ins w:id="132" w:author="CMCC2" w:date="2023-04-19T07:34:07Z">
        <w:r>
          <w:rPr>
            <w:rFonts w:eastAsia="Times New Roman"/>
          </w:rPr>
          <w:t>duSetErrRate</w:t>
        </w:r>
      </w:ins>
      <w:ins w:id="133" w:author="CMCC" w:date="2023-04-10T00:55:56Z">
        <w:del w:id="134" w:author="CMCC2" w:date="2023-04-19T07:34:07Z">
          <w:r>
            <w:rPr>
              <w:rFonts w:hint="eastAsia" w:eastAsia="宋体"/>
              <w:highlight w:val="none"/>
              <w:lang w:val="en-US" w:eastAsia="zh-CN"/>
            </w:rPr>
            <w:delText>pduSetErrorRate</w:delText>
          </w:r>
        </w:del>
      </w:ins>
      <w:ins w:id="135" w:author="CMCC" w:date="2023-04-10T00:55:56Z">
        <w:r>
          <w:rPr>
            <w:color w:val="auto"/>
            <w:highlight w:val="none"/>
            <w:u w:val="none"/>
          </w:rPr>
          <w:t>" attribute</w:t>
        </w:r>
      </w:ins>
      <w:ins w:id="136" w:author="CMCC2" w:date="2023-04-19T07:39:46Z">
        <w:r>
          <w:rPr>
            <w:rFonts w:hint="eastAsia" w:eastAsia="宋体"/>
            <w:color w:val="auto"/>
            <w:highlight w:val="none"/>
            <w:u w:val="none"/>
            <w:lang w:val="en-US" w:eastAsia="zh-CN"/>
          </w:rPr>
          <w:t xml:space="preserve"> </w:t>
        </w:r>
      </w:ins>
      <w:ins w:id="137" w:author="CMCC2" w:date="2023-04-19T07:39:46Z">
        <w:r>
          <w:rPr>
            <w:rFonts w:hint="eastAsia" w:eastAsia="宋体"/>
            <w:color w:val="auto"/>
            <w:lang w:val="en-US" w:eastAsia="zh-CN"/>
          </w:rPr>
          <w:t xml:space="preserve">as described in </w:t>
        </w:r>
      </w:ins>
      <w:ins w:id="138" w:author="CMCC2" w:date="2023-04-19T07:39:46Z">
        <w:r>
          <w:rPr/>
          <w:t>3GPP TS 2</w:t>
        </w:r>
      </w:ins>
      <w:ins w:id="139" w:author="CMCC-r2" w:date="2023-04-20T18:53:37Z">
        <w:r>
          <w:rPr>
            <w:rFonts w:hint="eastAsia" w:eastAsia="宋体"/>
            <w:lang w:val="en-US" w:eastAsia="zh-CN"/>
          </w:rPr>
          <w:t>9</w:t>
        </w:r>
      </w:ins>
      <w:ins w:id="140" w:author="CMCC2" w:date="2023-04-19T07:39:46Z">
        <w:del w:id="141" w:author="CMCC-r2" w:date="2023-04-20T18:53:37Z">
          <w:r>
            <w:rPr/>
            <w:delText>3</w:delText>
          </w:r>
        </w:del>
      </w:ins>
      <w:ins w:id="142" w:author="CMCC2" w:date="2023-04-19T07:39:46Z">
        <w:r>
          <w:rPr/>
          <w:t>.5</w:t>
        </w:r>
      </w:ins>
      <w:ins w:id="143" w:author="CMCC2" w:date="2023-04-19T07:39:49Z">
        <w:r>
          <w:rPr>
            <w:rFonts w:hint="eastAsia" w:eastAsia="宋体"/>
            <w:lang w:val="en-US" w:eastAsia="zh-CN"/>
          </w:rPr>
          <w:t>7</w:t>
        </w:r>
      </w:ins>
      <w:ins w:id="144" w:author="CMCC2" w:date="2023-04-19T07:39:46Z">
        <w:r>
          <w:rPr/>
          <w:t>1 [</w:t>
        </w:r>
      </w:ins>
      <w:ins w:id="145" w:author="CMCC2" w:date="2023-04-19T07:39:50Z">
        <w:r>
          <w:rPr>
            <w:rFonts w:hint="eastAsia" w:eastAsia="宋体"/>
            <w:lang w:val="en-US" w:eastAsia="zh-CN"/>
          </w:rPr>
          <w:t>1</w:t>
        </w:r>
      </w:ins>
      <w:ins w:id="146" w:author="CMCC2" w:date="2023-04-19T07:39:46Z">
        <w:r>
          <w:rPr/>
          <w:t>2]</w:t>
        </w:r>
      </w:ins>
      <w:ins w:id="147" w:author="CMCC" w:date="2023-04-10T00:55:56Z">
        <w:r>
          <w:rPr>
            <w:rFonts w:hint="eastAsia" w:eastAsia="宋体"/>
            <w:color w:val="auto"/>
            <w:highlight w:val="none"/>
            <w:u w:val="none"/>
            <w:lang w:val="en-US" w:eastAsia="zh-CN"/>
          </w:rPr>
          <w:t>.</w:t>
        </w:r>
      </w:ins>
    </w:p>
    <w:p>
      <w:pPr>
        <w:rPr>
          <w:ins w:id="148" w:author="CMCC" w:date="2023-04-10T18:30:37Z"/>
          <w:rFonts w:hint="eastAsia" w:eastAsia="宋体"/>
          <w:color w:val="auto"/>
          <w:highlight w:val="none"/>
          <w:u w:val="none"/>
          <w:lang w:val="en-US" w:eastAsia="zh-CN"/>
        </w:rPr>
      </w:pPr>
      <w:ins w:id="149" w:author="CMCC" w:date="2023-04-10T18:32:33Z">
        <w:r>
          <w:rPr>
            <w:color w:val="auto"/>
          </w:rPr>
          <w:t xml:space="preserve">Editor’s Note: </w:t>
        </w:r>
      </w:ins>
      <w:ins w:id="150" w:author="CMCC" w:date="2023-04-10T18:32:45Z">
        <w:r>
          <w:rPr>
            <w:rFonts w:hint="eastAsia" w:eastAsia="宋体"/>
            <w:color w:val="auto"/>
            <w:lang w:val="en-US" w:eastAsia="zh-CN"/>
          </w:rPr>
          <w:t>t</w:t>
        </w:r>
      </w:ins>
      <w:ins w:id="151" w:author="CMCC" w:date="2023-04-10T18:32:48Z">
        <w:r>
          <w:rPr>
            <w:rFonts w:hint="eastAsia" w:eastAsia="宋体"/>
            <w:color w:val="auto"/>
            <w:lang w:val="en-US" w:eastAsia="zh-CN"/>
          </w:rPr>
          <w:t>he</w:t>
        </w:r>
      </w:ins>
      <w:ins w:id="152" w:author="CMCC" w:date="2023-04-10T18:32:49Z">
        <w:r>
          <w:rPr>
            <w:rFonts w:hint="eastAsia" w:eastAsia="宋体"/>
            <w:color w:val="auto"/>
            <w:lang w:val="en-US" w:eastAsia="zh-CN"/>
          </w:rPr>
          <w:t xml:space="preserve"> usag</w:t>
        </w:r>
      </w:ins>
      <w:ins w:id="153" w:author="CMCC" w:date="2023-04-10T18:32:50Z">
        <w:r>
          <w:rPr>
            <w:rFonts w:hint="eastAsia" w:eastAsia="宋体"/>
            <w:color w:val="auto"/>
            <w:lang w:val="en-US" w:eastAsia="zh-CN"/>
          </w:rPr>
          <w:t>e of</w:t>
        </w:r>
      </w:ins>
      <w:ins w:id="154" w:author="CMCC" w:date="2023-04-10T18:32:53Z">
        <w:r>
          <w:rPr>
            <w:rFonts w:hint="eastAsia" w:eastAsia="宋体"/>
            <w:color w:val="auto"/>
            <w:lang w:val="en-US" w:eastAsia="zh-CN"/>
          </w:rPr>
          <w:t xml:space="preserve"> </w:t>
        </w:r>
      </w:ins>
      <w:ins w:id="155" w:author="CMCC" w:date="2023-04-10T18:32:33Z">
        <w:r>
          <w:rPr>
            <w:color w:val="auto"/>
          </w:rPr>
          <w:t xml:space="preserve"> </w:t>
        </w:r>
      </w:ins>
      <w:ins w:id="156" w:author="CMCC" w:date="2023-04-10T18:33:06Z">
        <w:r>
          <w:rPr>
            <w:rFonts w:hint="eastAsia" w:eastAsia="宋体"/>
            <w:color w:val="auto"/>
            <w:lang w:val="en-US" w:eastAsia="zh-CN"/>
          </w:rPr>
          <w:t>PD</w:t>
        </w:r>
      </w:ins>
      <w:ins w:id="157" w:author="CMCC" w:date="2023-04-10T18:33:07Z">
        <w:r>
          <w:rPr>
            <w:rFonts w:hint="eastAsia" w:eastAsia="宋体"/>
            <w:color w:val="auto"/>
            <w:lang w:val="en-US" w:eastAsia="zh-CN"/>
          </w:rPr>
          <w:t xml:space="preserve">U </w:t>
        </w:r>
      </w:ins>
      <w:ins w:id="158" w:author="CMCC" w:date="2023-04-10T18:33:08Z">
        <w:r>
          <w:rPr>
            <w:rFonts w:hint="eastAsia" w:eastAsia="宋体"/>
            <w:color w:val="auto"/>
            <w:lang w:val="en-US" w:eastAsia="zh-CN"/>
          </w:rPr>
          <w:t xml:space="preserve">Set </w:t>
        </w:r>
      </w:ins>
      <w:ins w:id="159" w:author="CMCC" w:date="2023-04-10T18:33:10Z">
        <w:r>
          <w:rPr>
            <w:rFonts w:hint="eastAsia" w:eastAsia="宋体"/>
            <w:color w:val="auto"/>
            <w:lang w:val="en-US" w:eastAsia="zh-CN"/>
          </w:rPr>
          <w:t>I</w:t>
        </w:r>
      </w:ins>
      <w:ins w:id="160" w:author="CMCC" w:date="2023-04-10T18:33:16Z">
        <w:r>
          <w:rPr>
            <w:rFonts w:hint="eastAsia" w:eastAsia="宋体"/>
            <w:color w:val="auto"/>
            <w:lang w:val="en-US" w:eastAsia="zh-CN"/>
          </w:rPr>
          <w:t>n</w:t>
        </w:r>
      </w:ins>
      <w:ins w:id="161" w:author="CMCC" w:date="2023-04-10T18:33:10Z">
        <w:r>
          <w:rPr>
            <w:rFonts w:hint="eastAsia" w:eastAsia="宋体"/>
            <w:color w:val="auto"/>
            <w:lang w:val="en-US" w:eastAsia="zh-CN"/>
          </w:rPr>
          <w:t>te</w:t>
        </w:r>
      </w:ins>
      <w:ins w:id="162" w:author="CMCC" w:date="2023-04-10T18:33:11Z">
        <w:r>
          <w:rPr>
            <w:rFonts w:hint="eastAsia" w:eastAsia="宋体"/>
            <w:color w:val="auto"/>
            <w:lang w:val="en-US" w:eastAsia="zh-CN"/>
          </w:rPr>
          <w:t xml:space="preserve">grated </w:t>
        </w:r>
      </w:ins>
      <w:ins w:id="163" w:author="CMCC" w:date="2023-04-10T18:33:19Z">
        <w:r>
          <w:rPr>
            <w:rFonts w:hint="eastAsia" w:eastAsia="宋体"/>
            <w:color w:val="auto"/>
            <w:lang w:val="en-US" w:eastAsia="zh-CN"/>
          </w:rPr>
          <w:t>H</w:t>
        </w:r>
      </w:ins>
      <w:ins w:id="164" w:author="CMCC" w:date="2023-04-10T18:33:20Z">
        <w:r>
          <w:rPr>
            <w:rFonts w:hint="eastAsia" w:eastAsia="宋体"/>
            <w:color w:val="auto"/>
            <w:lang w:val="en-US" w:eastAsia="zh-CN"/>
          </w:rPr>
          <w:t>andling</w:t>
        </w:r>
      </w:ins>
      <w:ins w:id="165" w:author="CMCC" w:date="2023-04-10T18:33:21Z">
        <w:r>
          <w:rPr>
            <w:rFonts w:hint="eastAsia" w:eastAsia="宋体"/>
            <w:color w:val="auto"/>
            <w:lang w:val="en-US" w:eastAsia="zh-CN"/>
          </w:rPr>
          <w:t xml:space="preserve"> Infor</w:t>
        </w:r>
      </w:ins>
      <w:ins w:id="166" w:author="CMCC" w:date="2023-04-10T18:33:22Z">
        <w:r>
          <w:rPr>
            <w:rFonts w:hint="eastAsia" w:eastAsia="宋体"/>
            <w:color w:val="auto"/>
            <w:lang w:val="en-US" w:eastAsia="zh-CN"/>
          </w:rPr>
          <w:t>mat</w:t>
        </w:r>
      </w:ins>
      <w:ins w:id="167" w:author="CMCC" w:date="2023-04-10T18:33:23Z">
        <w:r>
          <w:rPr>
            <w:rFonts w:hint="eastAsia" w:eastAsia="宋体"/>
            <w:color w:val="auto"/>
            <w:lang w:val="en-US" w:eastAsia="zh-CN"/>
          </w:rPr>
          <w:t xml:space="preserve">ion </w:t>
        </w:r>
      </w:ins>
      <w:ins w:id="168" w:author="CMCC" w:date="2023-04-10T18:33:28Z">
        <w:r>
          <w:rPr>
            <w:rFonts w:hint="eastAsia" w:eastAsia="宋体"/>
            <w:color w:val="auto"/>
            <w:lang w:val="en-US" w:eastAsia="zh-CN"/>
          </w:rPr>
          <w:t>(</w:t>
        </w:r>
      </w:ins>
      <w:ins w:id="169" w:author="CMCC" w:date="2023-04-10T18:33:29Z">
        <w:r>
          <w:rPr>
            <w:rFonts w:hint="eastAsia" w:eastAsia="宋体"/>
            <w:color w:val="auto"/>
            <w:lang w:val="en-US" w:eastAsia="zh-CN"/>
          </w:rPr>
          <w:t>PSIH</w:t>
        </w:r>
      </w:ins>
      <w:ins w:id="170" w:author="CMCC" w:date="2023-04-10T18:33:30Z">
        <w:r>
          <w:rPr>
            <w:rFonts w:hint="eastAsia" w:eastAsia="宋体"/>
            <w:color w:val="auto"/>
            <w:lang w:val="en-US" w:eastAsia="zh-CN"/>
          </w:rPr>
          <w:t>I</w:t>
        </w:r>
      </w:ins>
      <w:ins w:id="171" w:author="CMCC" w:date="2023-04-10T18:33:28Z">
        <w:r>
          <w:rPr>
            <w:rFonts w:hint="eastAsia" w:eastAsia="宋体"/>
            <w:color w:val="auto"/>
            <w:lang w:val="en-US" w:eastAsia="zh-CN"/>
          </w:rPr>
          <w:t>)</w:t>
        </w:r>
      </w:ins>
      <w:ins w:id="172" w:author="CMCC" w:date="2023-04-10T18:33:30Z">
        <w:r>
          <w:rPr>
            <w:rFonts w:hint="eastAsia" w:eastAsia="宋体"/>
            <w:color w:val="auto"/>
            <w:lang w:val="en-US" w:eastAsia="zh-CN"/>
          </w:rPr>
          <w:t xml:space="preserve"> as</w:t>
        </w:r>
      </w:ins>
      <w:ins w:id="173" w:author="CMCC" w:date="2023-04-10T18:33:31Z">
        <w:r>
          <w:rPr>
            <w:rFonts w:hint="eastAsia" w:eastAsia="宋体"/>
            <w:color w:val="auto"/>
            <w:lang w:val="en-US" w:eastAsia="zh-CN"/>
          </w:rPr>
          <w:t xml:space="preserve"> de</w:t>
        </w:r>
      </w:ins>
      <w:ins w:id="174" w:author="CMCC" w:date="2023-04-10T18:33:32Z">
        <w:r>
          <w:rPr>
            <w:rFonts w:hint="eastAsia" w:eastAsia="宋体"/>
            <w:color w:val="auto"/>
            <w:lang w:val="en-US" w:eastAsia="zh-CN"/>
          </w:rPr>
          <w:t>s</w:t>
        </w:r>
      </w:ins>
      <w:ins w:id="175" w:author="CMCC" w:date="2023-04-10T18:33:33Z">
        <w:r>
          <w:rPr>
            <w:rFonts w:hint="eastAsia" w:eastAsia="宋体"/>
            <w:color w:val="auto"/>
            <w:lang w:val="en-US" w:eastAsia="zh-CN"/>
          </w:rPr>
          <w:t>cribed</w:t>
        </w:r>
      </w:ins>
      <w:ins w:id="176" w:author="CMCC" w:date="2023-04-10T18:33:34Z">
        <w:r>
          <w:rPr>
            <w:rFonts w:hint="eastAsia" w:eastAsia="宋体"/>
            <w:color w:val="auto"/>
            <w:lang w:val="en-US" w:eastAsia="zh-CN"/>
          </w:rPr>
          <w:t xml:space="preserve"> in </w:t>
        </w:r>
      </w:ins>
      <w:ins w:id="177" w:author="CMCC" w:date="2023-04-10T18:33:58Z">
        <w:r>
          <w:rPr/>
          <w:t>3GPP TS 23.501 [2]</w:t>
        </w:r>
      </w:ins>
      <w:ins w:id="178" w:author="CMCC" w:date="2023-04-10T18:33:59Z">
        <w:r>
          <w:rPr>
            <w:rFonts w:hint="eastAsia" w:eastAsia="宋体"/>
            <w:lang w:val="en-US" w:eastAsia="zh-CN"/>
          </w:rPr>
          <w:t xml:space="preserve"> and </w:t>
        </w:r>
      </w:ins>
      <w:ins w:id="179" w:author="CMCC" w:date="2023-04-10T18:34:00Z">
        <w:r>
          <w:rPr>
            <w:rFonts w:hint="eastAsia" w:eastAsia="宋体"/>
            <w:lang w:val="en-US" w:eastAsia="zh-CN"/>
          </w:rPr>
          <w:t xml:space="preserve">its </w:t>
        </w:r>
      </w:ins>
      <w:ins w:id="180" w:author="CMCC" w:date="2023-04-10T18:34:01Z">
        <w:r>
          <w:rPr>
            <w:rFonts w:hint="eastAsia" w:eastAsia="宋体"/>
            <w:lang w:val="en-US" w:eastAsia="zh-CN"/>
          </w:rPr>
          <w:t>c</w:t>
        </w:r>
      </w:ins>
      <w:ins w:id="181" w:author="CMCC" w:date="2023-04-10T18:34:02Z">
        <w:r>
          <w:rPr>
            <w:rFonts w:hint="eastAsia" w:eastAsia="宋体"/>
            <w:lang w:val="en-US" w:eastAsia="zh-CN"/>
          </w:rPr>
          <w:t>o</w:t>
        </w:r>
      </w:ins>
      <w:ins w:id="182" w:author="CMCC" w:date="2023-04-10T18:34:03Z">
        <w:r>
          <w:rPr>
            <w:rFonts w:hint="eastAsia" w:eastAsia="宋体"/>
            <w:lang w:val="en-US" w:eastAsia="zh-CN"/>
          </w:rPr>
          <w:t>rresp</w:t>
        </w:r>
      </w:ins>
      <w:ins w:id="183" w:author="CMCC" w:date="2023-04-10T18:34:04Z">
        <w:r>
          <w:rPr>
            <w:rFonts w:hint="eastAsia" w:eastAsia="宋体"/>
            <w:lang w:val="en-US" w:eastAsia="zh-CN"/>
          </w:rPr>
          <w:t>o</w:t>
        </w:r>
      </w:ins>
      <w:ins w:id="184" w:author="CMCC" w:date="2023-04-10T18:34:06Z">
        <w:r>
          <w:rPr>
            <w:rFonts w:hint="eastAsia" w:eastAsia="宋体"/>
            <w:lang w:val="en-US" w:eastAsia="zh-CN"/>
          </w:rPr>
          <w:t>ngdin</w:t>
        </w:r>
      </w:ins>
      <w:ins w:id="185" w:author="CMCC" w:date="2023-04-10T18:34:07Z">
        <w:r>
          <w:rPr>
            <w:rFonts w:hint="eastAsia" w:eastAsia="宋体"/>
            <w:lang w:val="en-US" w:eastAsia="zh-CN"/>
          </w:rPr>
          <w:t>g a</w:t>
        </w:r>
      </w:ins>
      <w:ins w:id="186" w:author="CMCC" w:date="2023-04-10T18:34:08Z">
        <w:r>
          <w:rPr>
            <w:rFonts w:hint="eastAsia" w:eastAsia="宋体"/>
            <w:lang w:val="en-US" w:eastAsia="zh-CN"/>
          </w:rPr>
          <w:t>ttri</w:t>
        </w:r>
      </w:ins>
      <w:ins w:id="187" w:author="CMCC" w:date="2023-04-10T18:34:09Z">
        <w:r>
          <w:rPr>
            <w:rFonts w:hint="eastAsia" w:eastAsia="宋体"/>
            <w:lang w:val="en-US" w:eastAsia="zh-CN"/>
          </w:rPr>
          <w:t xml:space="preserve">bute </w:t>
        </w:r>
      </w:ins>
      <w:ins w:id="188" w:author="CMCC" w:date="2023-04-10T18:32:33Z">
        <w:r>
          <w:rPr>
            <w:color w:val="auto"/>
          </w:rPr>
          <w:t>name is FFS</w:t>
        </w:r>
      </w:ins>
      <w:ins w:id="189" w:author="CMCC" w:date="2023-04-10T18:34:16Z">
        <w:r>
          <w:rPr>
            <w:rFonts w:hint="eastAsia" w:eastAsia="宋体"/>
            <w:color w:val="auto"/>
            <w:lang w:val="en-US" w:eastAsia="zh-CN"/>
          </w:rPr>
          <w:t>.</w:t>
        </w:r>
      </w:ins>
    </w:p>
    <w:p>
      <w:pPr>
        <w:rPr>
          <w:ins w:id="190" w:author="CMCC" w:date="2023-04-10T00:55:56Z"/>
          <w:color w:val="auto"/>
          <w:highlight w:val="none"/>
          <w:u w:val="none"/>
        </w:rPr>
      </w:pPr>
      <w:ins w:id="191" w:author="CMCC" w:date="2023-04-10T00:55:56Z">
        <w:r>
          <w:rPr>
            <w:color w:val="auto"/>
            <w:highlight w:val="none"/>
            <w:u w:val="none"/>
            <w:lang w:eastAsia="de-DE"/>
          </w:rPr>
          <w:t xml:space="preserve">The PCF shall reply to the </w:t>
        </w:r>
      </w:ins>
      <w:ins w:id="192" w:author="CMCC" w:date="2023-04-10T00:55:56Z">
        <w:r>
          <w:rPr>
            <w:color w:val="auto"/>
            <w:highlight w:val="none"/>
            <w:u w:val="none"/>
          </w:rPr>
          <w:t xml:space="preserve">NF service consumer </w:t>
        </w:r>
      </w:ins>
      <w:ins w:id="193" w:author="CMCC" w:date="2023-04-10T00:55:56Z">
        <w:r>
          <w:rPr>
            <w:color w:val="auto"/>
            <w:highlight w:val="none"/>
            <w:u w:val="none"/>
            <w:lang w:eastAsia="de-DE"/>
          </w:rPr>
          <w:t xml:space="preserve">as described in </w:t>
        </w:r>
      </w:ins>
      <w:ins w:id="194" w:author="CMCC" w:date="2023-04-10T00:55:56Z">
        <w:r>
          <w:rPr>
            <w:color w:val="auto"/>
            <w:highlight w:val="none"/>
            <w:u w:val="none"/>
          </w:rPr>
          <w:t>clause 4.2.2.2.</w:t>
        </w:r>
      </w:ins>
    </w:p>
    <w:p>
      <w:pPr>
        <w:rPr>
          <w:ins w:id="195" w:author="CMCC" w:date="2023-04-10T00:55:56Z"/>
        </w:rPr>
      </w:pPr>
      <w:ins w:id="196" w:author="CMCC" w:date="2023-04-10T18:35:14Z">
        <w:r>
          <w:rPr>
            <w:color w:val="auto"/>
          </w:rPr>
          <w:t xml:space="preserve">Editor’s Note: </w:t>
        </w:r>
      </w:ins>
      <w:ins w:id="197" w:author="CMCC" w:date="2023-04-10T00:55:56Z">
        <w:r>
          <w:rPr>
            <w:color w:val="auto"/>
            <w:highlight w:val="none"/>
            <w:u w:val="none"/>
          </w:rPr>
          <w:t xml:space="preserve">The PCF shall check whether the received </w:t>
        </w:r>
      </w:ins>
      <w:ins w:id="198" w:author="CMCC" w:date="2023-04-10T00:55:56Z">
        <w:r>
          <w:rPr>
            <w:rFonts w:hint="eastAsia" w:eastAsia="宋体"/>
            <w:color w:val="auto"/>
            <w:highlight w:val="none"/>
            <w:u w:val="none"/>
            <w:lang w:val="en-US" w:eastAsia="zh-CN"/>
          </w:rPr>
          <w:t>PDU Set</w:t>
        </w:r>
      </w:ins>
      <w:ins w:id="199" w:author="CMCC" w:date="2023-04-10T00:55:56Z">
        <w:r>
          <w:rPr>
            <w:color w:val="auto"/>
            <w:highlight w:val="none"/>
            <w:u w:val="none"/>
          </w:rPr>
          <w:t xml:space="preserve"> QoS related data require to create PCC rules to provide the SMF with derived QoS characteristics. Provisioning of PCC rule(s) to the SMF</w:t>
        </w:r>
      </w:ins>
      <w:ins w:id="200" w:author="CMCC" w:date="2023-04-10T18:35:49Z">
        <w:r>
          <w:rPr>
            <w:rFonts w:hint="eastAsia" w:eastAsia="宋体"/>
            <w:color w:val="auto"/>
            <w:highlight w:val="none"/>
            <w:u w:val="none"/>
            <w:lang w:val="en-US" w:eastAsia="zh-CN"/>
          </w:rPr>
          <w:t xml:space="preserve"> a</w:t>
        </w:r>
      </w:ins>
      <w:ins w:id="201" w:author="CMCC" w:date="2023-04-10T00:55:56Z">
        <w:r>
          <w:rPr>
            <w:color w:val="auto"/>
            <w:highlight w:val="none"/>
            <w:u w:val="none"/>
          </w:rPr>
          <w:t xml:space="preserve">s specified in </w:t>
        </w:r>
      </w:ins>
      <w:ins w:id="202" w:author="CMCC" w:date="2023-04-10T00:55:56Z">
        <w:r>
          <w:rPr>
            <w:color w:val="auto"/>
            <w:highlight w:val="none"/>
            <w:u w:val="none"/>
            <w:lang w:eastAsia="zh-CN"/>
          </w:rPr>
          <w:t>3GPP TS 29.512 [8]</w:t>
        </w:r>
      </w:ins>
      <w:ins w:id="203" w:author="CMCC" w:date="2023-04-10T18:35:51Z">
        <w:r>
          <w:rPr>
            <w:rFonts w:hint="eastAsia"/>
            <w:color w:val="auto"/>
            <w:highlight w:val="none"/>
            <w:u w:val="none"/>
            <w:lang w:val="en-US" w:eastAsia="zh-CN"/>
          </w:rPr>
          <w:t xml:space="preserve"> </w:t>
        </w:r>
      </w:ins>
      <w:ins w:id="204" w:author="CMCC" w:date="2023-04-10T18:35:52Z">
        <w:r>
          <w:rPr>
            <w:rFonts w:hint="eastAsia"/>
            <w:color w:val="auto"/>
            <w:highlight w:val="none"/>
            <w:u w:val="none"/>
            <w:lang w:val="en-US" w:eastAsia="zh-CN"/>
          </w:rPr>
          <w:t>is FFS</w:t>
        </w:r>
      </w:ins>
      <w:ins w:id="205" w:author="CMCC" w:date="2023-04-10T00:55:56Z">
        <w:r>
          <w:rPr>
            <w:color w:val="auto"/>
            <w:highlight w:val="none"/>
            <w:u w:val="none"/>
          </w:rPr>
          <w:t>.</w:t>
        </w:r>
      </w:ins>
    </w:p>
    <w:p>
      <w:pPr>
        <w:rPr>
          <w:color w:val="auto"/>
          <w:highlight w:val="none"/>
          <w:u w:val="none"/>
        </w:rPr>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43" w:name="_Toc51762305"/>
      <w:bookmarkStart w:id="44" w:name="_Toc45133551"/>
      <w:bookmarkStart w:id="45" w:name="_Toc36038284"/>
      <w:bookmarkStart w:id="46" w:name="_Toc59016876"/>
      <w:bookmarkStart w:id="47" w:name="_Toc28012337"/>
      <w:bookmarkStart w:id="48" w:name="_Toc130291647"/>
      <w:bookmarkStart w:id="49" w:name="_Toc129338778"/>
      <w:r>
        <w:t>4.2.3.1</w:t>
      </w:r>
      <w:r>
        <w:tab/>
      </w:r>
      <w:r>
        <w:t>General</w:t>
      </w:r>
      <w:bookmarkEnd w:id="43"/>
      <w:bookmarkEnd w:id="44"/>
      <w:bookmarkEnd w:id="45"/>
      <w:bookmarkEnd w:id="46"/>
      <w:bookmarkEnd w:id="47"/>
      <w:bookmarkEnd w:id="48"/>
      <w:bookmarkEnd w:id="49"/>
    </w:p>
    <w:p>
      <w:r>
        <w:t>The Npcf_PolicyAuthorization_Update service operation provides updated application level information from the NF service consumer and optionally communicates with the Npcf_SMPolicyControl service to determine and install the policy according to the information provided by the NF service consumer.</w:t>
      </w:r>
    </w:p>
    <w:p>
      <w:r>
        <w:t>The Npcf_PolicyAuthorization_Update service operation updates an application session context in the PCF.</w:t>
      </w:r>
    </w:p>
    <w:p>
      <w:r>
        <w:t>The following procedures using the Npcf_PolicyAuthorization_Update service operation are supported:</w:t>
      </w:r>
    </w:p>
    <w:p>
      <w:pPr>
        <w:pStyle w:val="122"/>
      </w:pPr>
      <w:r>
        <w:t>-</w:t>
      </w:r>
      <w:r>
        <w:tab/>
      </w:r>
      <w:r>
        <w:t>Modification of service information.</w:t>
      </w:r>
    </w:p>
    <w:p>
      <w:pPr>
        <w:pStyle w:val="122"/>
      </w:pPr>
      <w:r>
        <w:t>-</w:t>
      </w:r>
      <w:r>
        <w:tab/>
      </w:r>
      <w:r>
        <w:t>Gate control.</w:t>
      </w:r>
    </w:p>
    <w:p>
      <w:pPr>
        <w:pStyle w:val="122"/>
      </w:pPr>
      <w:r>
        <w:t>-</w:t>
      </w:r>
      <w:r>
        <w:tab/>
      </w:r>
      <w:r>
        <w:t>Background Data Transfer policy indication at policy authorization update.</w:t>
      </w:r>
    </w:p>
    <w:p>
      <w:pPr>
        <w:pStyle w:val="122"/>
      </w:pPr>
      <w:r>
        <w:t>-</w:t>
      </w:r>
      <w:r>
        <w:tab/>
      </w:r>
      <w:r>
        <w:t>Modification of sponsored connectivity information.</w:t>
      </w:r>
    </w:p>
    <w:p>
      <w:pPr>
        <w:pStyle w:val="122"/>
      </w:pPr>
      <w:r>
        <w:t>-</w:t>
      </w:r>
      <w:r>
        <w:tab/>
      </w:r>
      <w:r>
        <w:t>Modification of Subscription to Service Data Flow QoS notification control.</w:t>
      </w:r>
    </w:p>
    <w:p>
      <w:pPr>
        <w:pStyle w:val="122"/>
      </w:pPr>
      <w:r>
        <w:t>-</w:t>
      </w:r>
      <w:r>
        <w:tab/>
      </w:r>
      <w:r>
        <w:t>Modification of Subscription to Service Data Flow Deactivation.</w:t>
      </w:r>
    </w:p>
    <w:p>
      <w:pPr>
        <w:pStyle w:val="122"/>
      </w:pPr>
      <w:r>
        <w:t>-</w:t>
      </w:r>
      <w:r>
        <w:tab/>
      </w:r>
      <w:r>
        <w:t>Update of traffic routing information.</w:t>
      </w:r>
    </w:p>
    <w:p>
      <w:pPr>
        <w:pStyle w:val="122"/>
      </w:pPr>
      <w:r>
        <w:t>-</w:t>
      </w:r>
      <w:r>
        <w:tab/>
      </w:r>
      <w:r>
        <w:t>Modification of subscription to resources allocation outcome.</w:t>
      </w:r>
    </w:p>
    <w:p>
      <w:pPr>
        <w:pStyle w:val="122"/>
      </w:pPr>
      <w:r>
        <w:t>-</w:t>
      </w:r>
      <w:r>
        <w:tab/>
      </w:r>
      <w:r>
        <w:t>Modification of Multimedia Priority Services.</w:t>
      </w:r>
    </w:p>
    <w:p>
      <w:pPr>
        <w:pStyle w:val="122"/>
      </w:pPr>
      <w:r>
        <w:t>-</w:t>
      </w:r>
      <w:r>
        <w:tab/>
      </w:r>
      <w:r>
        <w:t>Support of content versioning.</w:t>
      </w:r>
    </w:p>
    <w:p>
      <w:pPr>
        <w:pStyle w:val="122"/>
      </w:pPr>
      <w:r>
        <w:t>-</w:t>
      </w:r>
      <w:r>
        <w:tab/>
      </w:r>
      <w:r>
        <w:t>Request of access network information.</w:t>
      </w:r>
    </w:p>
    <w:p>
      <w:pPr>
        <w:pStyle w:val="122"/>
      </w:pPr>
      <w:r>
        <w:t>-</w:t>
      </w:r>
      <w:r>
        <w:tab/>
      </w:r>
      <w:r>
        <w:t>Modification of service information status.</w:t>
      </w:r>
    </w:p>
    <w:p>
      <w:pPr>
        <w:pStyle w:val="122"/>
      </w:pPr>
      <w:r>
        <w:t>-</w:t>
      </w:r>
      <w:r>
        <w:tab/>
      </w:r>
      <w:r>
        <w:t>Support of SIP forking.</w:t>
      </w:r>
    </w:p>
    <w:p>
      <w:pPr>
        <w:pStyle w:val="122"/>
      </w:pPr>
      <w:r>
        <w:t>-</w:t>
      </w:r>
      <w:r>
        <w:tab/>
      </w:r>
      <w:r>
        <w:t>Provisioning of signalling flow information.</w:t>
      </w:r>
    </w:p>
    <w:p>
      <w:pPr>
        <w:pStyle w:val="122"/>
      </w:pPr>
      <w:r>
        <w:t>-</w:t>
      </w:r>
      <w:r>
        <w:tab/>
      </w:r>
      <w:r>
        <w:t>Support of resource sharing.</w:t>
      </w:r>
    </w:p>
    <w:p>
      <w:pPr>
        <w:pStyle w:val="122"/>
      </w:pPr>
      <w:r>
        <w:t>-</w:t>
      </w:r>
      <w:r>
        <w:tab/>
      </w:r>
      <w:r>
        <w:t>Modification of MCPTT.</w:t>
      </w:r>
    </w:p>
    <w:p>
      <w:pPr>
        <w:pStyle w:val="122"/>
      </w:pPr>
      <w:r>
        <w:t>-</w:t>
      </w:r>
      <w:r>
        <w:tab/>
      </w:r>
      <w:r>
        <w:t>Modification of MCVideo.</w:t>
      </w:r>
    </w:p>
    <w:p>
      <w:pPr>
        <w:pStyle w:val="122"/>
      </w:pPr>
      <w:r>
        <w:t>-</w:t>
      </w:r>
      <w:r>
        <w:tab/>
      </w:r>
      <w:r>
        <w:t>Priority sharing indication.</w:t>
      </w:r>
    </w:p>
    <w:p>
      <w:pPr>
        <w:pStyle w:val="122"/>
      </w:pPr>
      <w:r>
        <w:t>-</w:t>
      </w:r>
      <w:r>
        <w:tab/>
      </w:r>
      <w:r>
        <w:t>Modification of subscription to out of credit notification.</w:t>
      </w:r>
    </w:p>
    <w:p>
      <w:pPr>
        <w:pStyle w:val="122"/>
      </w:pPr>
      <w:r>
        <w:t>-</w:t>
      </w:r>
      <w:r>
        <w:tab/>
      </w:r>
      <w:r>
        <w:t>Modification of Subscription to Service Data Flow QoS Monitoring Information.</w:t>
      </w:r>
    </w:p>
    <w:p>
      <w:pPr>
        <w:pStyle w:val="122"/>
      </w:pPr>
      <w:r>
        <w:t>-</w:t>
      </w:r>
      <w:r>
        <w:tab/>
      </w:r>
      <w:r>
        <w:t>Update of TSCAI Input Information and TSC QoS related data.</w:t>
      </w:r>
    </w:p>
    <w:p>
      <w:pPr>
        <w:pStyle w:val="122"/>
      </w:pPr>
      <w:r>
        <w:t>-</w:t>
      </w:r>
      <w:r>
        <w:tab/>
      </w:r>
      <w:r>
        <w:t xml:space="preserve">Provisioning of </w:t>
      </w:r>
      <w:r>
        <w:rPr>
          <w:lang w:eastAsia="zh-CN"/>
        </w:rPr>
        <w:t xml:space="preserve">TSC </w:t>
      </w:r>
      <w:r>
        <w:t>user plane node management information and port management information.</w:t>
      </w:r>
    </w:p>
    <w:p>
      <w:pPr>
        <w:pStyle w:val="122"/>
      </w:pPr>
      <w:r>
        <w:t>-</w:t>
      </w:r>
      <w:r>
        <w:tab/>
      </w:r>
      <w:r>
        <w:t xml:space="preserve">Support of CHEM feature. </w:t>
      </w:r>
    </w:p>
    <w:p>
      <w:pPr>
        <w:pStyle w:val="122"/>
      </w:pPr>
      <w:r>
        <w:t>-</w:t>
      </w:r>
      <w:r>
        <w:tab/>
      </w:r>
      <w:r>
        <w:t>Support of FLUS feature.</w:t>
      </w:r>
    </w:p>
    <w:p>
      <w:pPr>
        <w:pStyle w:val="122"/>
      </w:pPr>
      <w:r>
        <w:t>-</w:t>
      </w:r>
      <w:r>
        <w:tab/>
      </w:r>
      <w:r>
        <w:t xml:space="preserve">Subscription to EPS Fallback report. </w:t>
      </w:r>
    </w:p>
    <w:p>
      <w:pPr>
        <w:pStyle w:val="122"/>
      </w:pPr>
      <w:r>
        <w:t>-</w:t>
      </w:r>
      <w:r>
        <w:tab/>
      </w:r>
      <w:r>
        <w:t>Modification of required QoS information.</w:t>
      </w:r>
    </w:p>
    <w:p>
      <w:pPr>
        <w:pStyle w:val="122"/>
      </w:pPr>
      <w:r>
        <w:t>-</w:t>
      </w:r>
      <w:r>
        <w:tab/>
      </w:r>
      <w:r>
        <w:t>Support of QoSHint feature.</w:t>
      </w:r>
    </w:p>
    <w:p>
      <w:pPr>
        <w:pStyle w:val="122"/>
      </w:pPr>
      <w:r>
        <w:t>-</w:t>
      </w:r>
      <w:r>
        <w:tab/>
      </w:r>
      <w:r>
        <w:t>Modification of subscription to reallocation of credit notification.</w:t>
      </w:r>
    </w:p>
    <w:p>
      <w:pPr>
        <w:pStyle w:val="122"/>
      </w:pPr>
      <w:r>
        <w:t>-</w:t>
      </w:r>
      <w:r>
        <w:tab/>
      </w:r>
      <w:r>
        <w:t>Modification of subscription to satellite backhaul category changes.</w:t>
      </w:r>
    </w:p>
    <w:p>
      <w:pPr>
        <w:pStyle w:val="122"/>
      </w:pPr>
      <w:r>
        <w:t>-</w:t>
      </w:r>
      <w:r>
        <w:tab/>
      </w:r>
      <w:r>
        <w:t>Modification of the subscription to the report of extra UE addresses.</w:t>
      </w:r>
    </w:p>
    <w:p>
      <w:pPr>
        <w:pStyle w:val="122"/>
      </w:pPr>
      <w:ins w:id="206" w:author="CMCC" w:date="2023-04-09T23:57:38Z">
        <w:r>
          <w:rPr>
            <w:highlight w:val="none"/>
          </w:rPr>
          <w:t>-</w:t>
        </w:r>
      </w:ins>
      <w:ins w:id="207" w:author="CMCC" w:date="2023-04-09T23:57:38Z">
        <w:r>
          <w:rPr>
            <w:highlight w:val="none"/>
          </w:rPr>
          <w:tab/>
        </w:r>
      </w:ins>
      <w:ins w:id="208" w:author="CMCC" w:date="2023-04-09T23:57:44Z">
        <w:r>
          <w:rPr>
            <w:rFonts w:hint="eastAsia" w:eastAsia="宋体"/>
            <w:highlight w:val="none"/>
            <w:lang w:val="en-US" w:eastAsia="zh-CN"/>
          </w:rPr>
          <w:t>Upd</w:t>
        </w:r>
      </w:ins>
      <w:ins w:id="209" w:author="CMCC" w:date="2023-04-09T23:57:45Z">
        <w:r>
          <w:rPr>
            <w:rFonts w:hint="eastAsia" w:eastAsia="宋体"/>
            <w:highlight w:val="none"/>
            <w:lang w:val="en-US" w:eastAsia="zh-CN"/>
          </w:rPr>
          <w:t>ate</w:t>
        </w:r>
      </w:ins>
      <w:ins w:id="210" w:author="CMCC" w:date="2023-04-09T23:57:38Z">
        <w:r>
          <w:rPr>
            <w:highlight w:val="none"/>
          </w:rPr>
          <w:t xml:space="preserve"> of </w:t>
        </w:r>
      </w:ins>
      <w:ins w:id="211" w:author="CMCC" w:date="2023-04-09T23:57:38Z">
        <w:r>
          <w:rPr>
            <w:rFonts w:hint="eastAsia" w:eastAsia="宋体"/>
            <w:highlight w:val="none"/>
            <w:lang w:val="en-US" w:eastAsia="zh-CN"/>
          </w:rPr>
          <w:t>PDU Set</w:t>
        </w:r>
      </w:ins>
      <w:ins w:id="212" w:author="CMCC" w:date="2023-04-09T23:57:38Z">
        <w:r>
          <w:rPr>
            <w:highlight w:val="none"/>
          </w:rPr>
          <w:t xml:space="preserve"> QoS related data.</w:t>
        </w:r>
      </w:ins>
    </w:p>
    <w:p>
      <w:pPr>
        <w:pStyle w:val="123"/>
        <w:ind w:left="0" w:firstLine="0"/>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50" w:name="_Toc130291648"/>
      <w:bookmarkStart w:id="51" w:name="_Toc129338779"/>
      <w:r>
        <w:t>4.2.3.2</w:t>
      </w:r>
      <w:r>
        <w:tab/>
      </w:r>
      <w:r>
        <w:t>Modification of service information</w:t>
      </w:r>
      <w:bookmarkEnd w:id="50"/>
      <w:bookmarkEnd w:id="51"/>
    </w:p>
    <w:p>
      <w:r>
        <w:t xml:space="preserve">This procedure is used to modify an existing application session context as defined in 3GPP TS 23.501 [2], 3GPP TS 23.502 [3] and 3GPP TS 23.503 [4] </w:t>
      </w:r>
      <w:bookmarkStart w:id="52" w:name="_Hlk65221768"/>
      <w:r>
        <w:t>when the feature "PatchCorrection" is supported</w:t>
      </w:r>
      <w:bookmarkEnd w:id="52"/>
      <w:r>
        <w:t>.</w:t>
      </w:r>
    </w:p>
    <w:p>
      <w:r>
        <w:t>Figure 4.2.3.2-1 illustrates the modification of service information using HTTP PATCH method.</w:t>
      </w:r>
    </w:p>
    <w:p>
      <w:pPr>
        <w:pStyle w:val="102"/>
      </w:pPr>
    </w:p>
    <w:p>
      <w:pPr>
        <w:pStyle w:val="102"/>
      </w:pPr>
      <w:r>
        <w:object>
          <v:shape id="_x0000_i1026" o:spt="75" type="#_x0000_t75" style="height:149pt;width:455.45pt;" o:ole="t" filled="f" o:preferrelative="t" stroked="f" coordsize="21600,21600">
            <v:path/>
            <v:fill on="f" focussize="0,0"/>
            <v:stroke on="f"/>
            <v:imagedata r:id="rId17" o:title=""/>
            <o:lock v:ext="edit" aspectratio="t"/>
            <w10:wrap type="none"/>
            <w10:anchorlock/>
          </v:shape>
          <o:OLEObject Type="Embed" ProgID="Visio.Drawing.15" ShapeID="_x0000_i1026" DrawAspect="Content" ObjectID="_1468075726" r:id="rId16">
            <o:LockedField>false</o:LockedField>
          </o:OLEObject>
        </w:object>
      </w:r>
    </w:p>
    <w:p>
      <w:pPr>
        <w:pStyle w:val="101"/>
      </w:pPr>
      <w:r>
        <w:t>Figure 4.2.3.2-1: Modification of service information using HTTP PATCH</w:t>
      </w:r>
    </w:p>
    <w:p>
      <w:r>
        <w:t>The NF service consumer may modify the application session context information at any time (e.g. due to an AF session modification or internal NF service consumer trigger) and invoke the Npcf_PolicyAuthorization_Update service operation by sending the HTTP PATCH request message to the resource URI representing the "Individual Application Session Context" resource, as shown in figure 4.2.3.2-1, step 1, with the modifications to apply.</w:t>
      </w:r>
    </w:p>
    <w:p>
      <w:r>
        <w:t xml:space="preserve">The JSON body within the PATCH request shall include the "AppSessionContextUpdateDataPatch" data type and shall be encoded according to "JSON Merge Patch", as defined in IETF RFC 7396 [21]. The modifications to apply are encoded within the attributes of the </w:t>
      </w:r>
      <w:r>
        <w:rPr>
          <w:rStyle w:val="168"/>
        </w:rPr>
        <w:t>"ascReqData" attribute, as described below and in subsequent clauses.</w:t>
      </w:r>
    </w:p>
    <w:p>
      <w:pPr>
        <w:rPr>
          <w:rStyle w:val="168"/>
        </w:rPr>
      </w:pPr>
      <w:r>
        <w:t xml:space="preserve">The NF service consumer may include the updated service information in the </w:t>
      </w:r>
      <w:r>
        <w:rPr>
          <w:rStyle w:val="168"/>
        </w:rPr>
        <w:t>"medComponents"</w:t>
      </w:r>
      <w:r>
        <w:t xml:space="preserve"> attribute of the </w:t>
      </w:r>
      <w:r>
        <w:rPr>
          <w:rStyle w:val="168"/>
        </w:rPr>
        <w:t>"ascReqData" attribute</w:t>
      </w:r>
      <w:r>
        <w:t>.</w:t>
      </w:r>
      <w:r>
        <w:rPr>
          <w:rStyle w:val="168"/>
        </w:rPr>
        <w:t xml:space="preserve"> </w:t>
      </w:r>
    </w:p>
    <w:p>
      <w:r>
        <w:rPr>
          <w:rStyle w:val="168"/>
        </w:rPr>
        <w:t xml:space="preserve">If </w:t>
      </w:r>
      <w:r>
        <w:rPr>
          <w:lang w:eastAsia="zh-CN"/>
        </w:rPr>
        <w:t>the "</w:t>
      </w:r>
      <w:r>
        <w:t>AuthorizationWithRequiredQoS" feature as defined in clause 5.8 is supported,</w:t>
      </w:r>
      <w:r>
        <w:rPr>
          <w:lang w:eastAsia="zh-CN"/>
        </w:rPr>
        <w:t xml:space="preserve"> the </w:t>
      </w:r>
      <w:r>
        <w:t>NF service consumer</w:t>
      </w:r>
      <w:r>
        <w:rPr>
          <w:lang w:eastAsia="zh-CN"/>
        </w:rPr>
        <w:t xml:space="preserve"> may provide within the</w:t>
      </w:r>
      <w:r>
        <w:t xml:space="preserve"> MediaComponentRm data structure an update of the required QoS information as specified in clause 4.2.3.30</w:t>
      </w:r>
      <w:r>
        <w:rPr>
          <w:lang w:eastAsia="zh-CN"/>
        </w:rPr>
        <w:t>.</w:t>
      </w:r>
    </w:p>
    <w:p>
      <w:r>
        <w:t xml:space="preserve">The NF service consumer may include in the </w:t>
      </w:r>
      <w:r>
        <w:rPr>
          <w:rStyle w:val="168"/>
        </w:rPr>
        <w:t>"ascReqData" attribute</w:t>
      </w:r>
      <w:r>
        <w:t xml:space="preserve"> an AF application identifier in the </w:t>
      </w:r>
      <w:r>
        <w:rPr>
          <w:rStyle w:val="168"/>
        </w:rPr>
        <w:t>"afAppId"</w:t>
      </w:r>
      <w:r>
        <w:t xml:space="preserve"> attribute to trigger the PCF to indicate to the SMF/UPF to perform the application detection based on the operator's policy as defined in 3GPP TS 29.512 [8].</w:t>
      </w:r>
    </w:p>
    <w:p>
      <w:pPr>
        <w:rPr>
          <w:ins w:id="213" w:author="CMCC" w:date="2023-04-09T23:59:47Z"/>
        </w:rPr>
      </w:pPr>
      <w:r>
        <w:t xml:space="preserve">If the "TimeSensitiveNetworking" </w:t>
      </w:r>
      <w:r>
        <w:rPr>
          <w:lang w:eastAsia="zh-CN"/>
        </w:rPr>
        <w:t>or "TimeSensitive</w:t>
      </w:r>
      <w:r>
        <w:t>Communication</w:t>
      </w:r>
      <w:r>
        <w:rPr>
          <w:lang w:eastAsia="zh-CN"/>
        </w:rPr>
        <w:t xml:space="preserve">" </w:t>
      </w:r>
      <w:r>
        <w:t xml:space="preserve">feature is supported, the NF service consumer may provide </w:t>
      </w:r>
      <w:r>
        <w:rPr>
          <w:lang w:eastAsia="zh-CN"/>
        </w:rPr>
        <w:t xml:space="preserve">TSC </w:t>
      </w:r>
      <w:r>
        <w:t>user plane node related information as specified in clauses 4.2.3.24 and 4.2.3.25.</w:t>
      </w:r>
    </w:p>
    <w:p>
      <w:ins w:id="214" w:author="CMCC" w:date="2023-04-09T23:59:48Z">
        <w:r>
          <w:rPr>
            <w:highlight w:val="none"/>
          </w:rPr>
          <w:t>If the "</w:t>
        </w:r>
      </w:ins>
      <w:ins w:id="215" w:author="CMCC" w:date="2023-04-10T18:36:39Z">
        <w:r>
          <w:rPr>
            <w:rFonts w:hint="eastAsia"/>
            <w:lang w:val="en-US" w:eastAsia="zh-CN"/>
          </w:rPr>
          <w:t>XRM</w:t>
        </w:r>
      </w:ins>
      <w:ins w:id="216" w:author="CMCC" w:date="2023-04-10T18:36:40Z">
        <w:r>
          <w:rPr>
            <w:rFonts w:hint="eastAsia"/>
            <w:lang w:val="en-US" w:eastAsia="zh-CN"/>
          </w:rPr>
          <w:t>_5G</w:t>
        </w:r>
      </w:ins>
      <w:ins w:id="217" w:author="CMCC" w:date="2023-04-09T23:59:48Z">
        <w:r>
          <w:rPr>
            <w:highlight w:val="none"/>
          </w:rPr>
          <w:t>"</w:t>
        </w:r>
      </w:ins>
      <w:ins w:id="218" w:author="CMCC" w:date="2023-04-09T23:59:48Z">
        <w:r>
          <w:rPr>
            <w:highlight w:val="none"/>
            <w:lang w:eastAsia="zh-CN"/>
          </w:rPr>
          <w:t xml:space="preserve"> </w:t>
        </w:r>
      </w:ins>
      <w:ins w:id="219" w:author="CMCC" w:date="2023-04-09T23:59:48Z">
        <w:r>
          <w:rPr>
            <w:highlight w:val="none"/>
          </w:rPr>
          <w:t>feature is supported</w:t>
        </w:r>
      </w:ins>
      <w:ins w:id="220" w:author="CMCC" w:date="2023-04-09T23:59:58Z">
        <w:r>
          <w:rPr>
            <w:rFonts w:hint="eastAsia" w:eastAsia="宋体"/>
            <w:highlight w:val="none"/>
            <w:lang w:val="en-US" w:eastAsia="zh-CN"/>
          </w:rPr>
          <w:t>,</w:t>
        </w:r>
      </w:ins>
      <w:ins w:id="221" w:author="CMCC" w:date="2023-04-09T23:59:48Z">
        <w:r>
          <w:rPr>
            <w:highlight w:val="none"/>
          </w:rPr>
          <w:t xml:space="preserve"> the NF service consumer may </w:t>
        </w:r>
      </w:ins>
      <w:ins w:id="222" w:author="CMCC" w:date="2023-04-10T00:01:02Z">
        <w:r>
          <w:rPr>
            <w:rFonts w:hint="eastAsia" w:eastAsia="宋体"/>
            <w:highlight w:val="none"/>
            <w:lang w:val="en-US" w:eastAsia="zh-CN"/>
          </w:rPr>
          <w:t>u</w:t>
        </w:r>
      </w:ins>
      <w:ins w:id="223" w:author="CMCC" w:date="2023-04-10T00:01:03Z">
        <w:r>
          <w:rPr>
            <w:rFonts w:hint="eastAsia" w:eastAsia="宋体"/>
            <w:highlight w:val="none"/>
            <w:lang w:val="en-US" w:eastAsia="zh-CN"/>
          </w:rPr>
          <w:t>pd</w:t>
        </w:r>
      </w:ins>
      <w:ins w:id="224" w:author="CMCC" w:date="2023-04-10T00:01:04Z">
        <w:r>
          <w:rPr>
            <w:rFonts w:hint="eastAsia" w:eastAsia="宋体"/>
            <w:highlight w:val="none"/>
            <w:lang w:val="en-US" w:eastAsia="zh-CN"/>
          </w:rPr>
          <w:t>ate</w:t>
        </w:r>
      </w:ins>
      <w:ins w:id="225" w:author="CMCC" w:date="2023-04-09T23:59:48Z">
        <w:r>
          <w:rPr>
            <w:highlight w:val="none"/>
          </w:rPr>
          <w:t xml:space="preserve"> </w:t>
        </w:r>
      </w:ins>
      <w:ins w:id="226" w:author="CMCC" w:date="2023-04-09T23:59:48Z">
        <w:r>
          <w:rPr>
            <w:rFonts w:hint="eastAsia" w:eastAsia="宋体"/>
            <w:highlight w:val="none"/>
            <w:lang w:val="en-US" w:eastAsia="zh-CN"/>
          </w:rPr>
          <w:t>PDU set related QoS</w:t>
        </w:r>
      </w:ins>
      <w:ins w:id="227" w:author="CMCC" w:date="2023-04-09T23:59:48Z">
        <w:r>
          <w:rPr>
            <w:highlight w:val="none"/>
          </w:rPr>
          <w:t xml:space="preserve"> information as specified in clauses 4.2.</w:t>
        </w:r>
      </w:ins>
      <w:ins w:id="228" w:author="CMCC" w:date="2023-04-10T18:37:00Z">
        <w:r>
          <w:rPr>
            <w:rFonts w:hint="eastAsia" w:eastAsia="宋体"/>
            <w:highlight w:val="none"/>
            <w:lang w:val="en-US" w:eastAsia="zh-CN"/>
          </w:rPr>
          <w:t>3</w:t>
        </w:r>
      </w:ins>
      <w:ins w:id="229" w:author="CMCC" w:date="2023-04-09T23:59:48Z">
        <w:r>
          <w:rPr>
            <w:highlight w:val="none"/>
          </w:rPr>
          <w:t>.</w:t>
        </w:r>
      </w:ins>
      <w:ins w:id="230" w:author="CMCC-r2" w:date="2023-04-20T18:56:45Z">
        <w:r>
          <w:rPr>
            <w:rFonts w:hint="eastAsia" w:eastAsia="宋体"/>
            <w:highlight w:val="none"/>
            <w:lang w:val="en-US" w:eastAsia="zh-CN"/>
          </w:rPr>
          <w:t>36</w:t>
        </w:r>
      </w:ins>
      <w:ins w:id="231" w:author="CMCC" w:date="2023-04-09T23:59:48Z">
        <w:del w:id="232" w:author="CMCC-r2" w:date="2023-04-20T18:56:44Z">
          <w:r>
            <w:rPr>
              <w:rFonts w:hint="eastAsia" w:eastAsia="宋体"/>
              <w:highlight w:val="none"/>
              <w:lang w:val="en-US" w:eastAsia="zh-CN"/>
            </w:rPr>
            <w:delText>X</w:delText>
          </w:r>
        </w:del>
      </w:ins>
      <w:ins w:id="233" w:author="CMCC" w:date="2023-04-09T23:59:48Z">
        <w:r>
          <w:rPr>
            <w:highlight w:val="none"/>
          </w:rPr>
          <w:t>.</w:t>
        </w:r>
      </w:ins>
    </w:p>
    <w:p>
      <w:r>
        <w:t>The NF service consumer may also create, modify or remove events subscription information by sending the HTTP PATCH request message to the resource URI representing the "Individual Application Session Context" resource.</w:t>
      </w:r>
    </w:p>
    <w:p>
      <w:r>
        <w:t xml:space="preserve">The NF service consumer shall create event subscription information by including in the </w:t>
      </w:r>
      <w:r>
        <w:rPr>
          <w:rStyle w:val="168"/>
        </w:rPr>
        <w:t>"ascReqData" attribute</w:t>
      </w:r>
      <w:r>
        <w:t xml:space="preserve"> the "evSubsc" attribute of "EventsSubscReqDataRm" data type with the corresponding list of events to subscribe to; and the "notifUri" attribute with the notification URI where the PCF shall send the notifications.</w:t>
      </w:r>
    </w:p>
    <w:p>
      <w:r>
        <w:t xml:space="preserve">The NF service consumer shall update existing event subscription information by including in the </w:t>
      </w:r>
      <w:r>
        <w:rPr>
          <w:rStyle w:val="168"/>
        </w:rPr>
        <w:t>"ascReqData" attribute</w:t>
      </w:r>
      <w:r>
        <w:t xml:space="preserve"> an updated value of the "evSubsc" attribute of the "EventsSubscReqDataRm" data type as follows:</w:t>
      </w:r>
    </w:p>
    <w:p>
      <w:pPr>
        <w:pStyle w:val="122"/>
      </w:pPr>
      <w:r>
        <w:t>-</w:t>
      </w:r>
      <w:r>
        <w:tab/>
      </w:r>
      <w:r>
        <w:t>The "events" attribute shall include the new complete list of subscribed events.</w:t>
      </w:r>
    </w:p>
    <w:p>
      <w:pPr>
        <w:pStyle w:val="122"/>
      </w:pPr>
      <w:r>
        <w:t>-</w:t>
      </w:r>
      <w:r>
        <w:tab/>
      </w:r>
      <w:r>
        <w:t>When the NF service consumer requests to update the additional information related to an event (e.g. the NF service consumer needs to provide new thresholds to the PCF in the "usgThres" attribute related to the "USAGE_REPORT" event) the NF service consumer shall include the additional information, which shall completely replace the previously provided one.</w:t>
      </w:r>
    </w:p>
    <w:p>
      <w:pPr>
        <w:pStyle w:val="103"/>
      </w:pPr>
      <w:r>
        <w:t>NOTE 1:</w:t>
      </w:r>
      <w:r>
        <w:tab/>
      </w:r>
      <w:r>
        <w:t>Note that when the NF service consumer requests to remove an event, this event is not included in the "events" attribute.</w:t>
      </w:r>
    </w:p>
    <w:p>
      <w:pPr>
        <w:pStyle w:val="103"/>
      </w:pPr>
      <w:r>
        <w:t>NOTE 2:</w:t>
      </w:r>
      <w:r>
        <w:tab/>
      </w:r>
      <w:r>
        <w:t xml:space="preserve">When an event is included in the "events" attribute and its related additional information is set to null, the PCF considers the subscription to this event is active, but the related procedures stop applying. </w:t>
      </w:r>
    </w:p>
    <w:p>
      <w:pPr>
        <w:pStyle w:val="103"/>
      </w:pPr>
      <w:r>
        <w:t>NOTE 3:</w:t>
      </w:r>
      <w:r>
        <w:tab/>
      </w:r>
      <w:r>
        <w:t>When an event is removed from the "events" attribute but its related information is not set to null, the PCF considers the subscription to this event is terminated, the related additional information is removed, and the related procedures stop applying.</w:t>
      </w:r>
    </w:p>
    <w:p>
      <w:r>
        <w:t xml:space="preserve">The NF service consumer shall remove existing event subscription information by setting to null the "evSubsc" attribute included in the </w:t>
      </w:r>
      <w:r>
        <w:rPr>
          <w:rStyle w:val="168"/>
        </w:rPr>
        <w:t>"ascReqData" attribute</w:t>
      </w:r>
      <w:r>
        <w:t>.</w:t>
      </w:r>
    </w:p>
    <w:p>
      <w:r>
        <w:t>Events with "notifMethod" set to "ONE_TIME" shall only apply at the time the NF service consumer requests their subscription. Once the event report is performed, the subscription to this event is automatically terminated in the PCF and the related information is removed. The presence of a one-time event, together with its related additional information when applicable, during an update procedure shall represent the recreation of the subscription to this event in the PCF.</w:t>
      </w:r>
    </w:p>
    <w:p>
      <w:pPr>
        <w:pStyle w:val="103"/>
      </w:pPr>
      <w:r>
        <w:t>NOTE 4:</w:t>
      </w:r>
      <w:r>
        <w:tab/>
      </w:r>
      <w:r>
        <w:t>The "notifUri" attribute within the EventsSubscReqData data structure can be modified to request that subsequent notifications are sent to a new NF service consumer.</w:t>
      </w:r>
    </w:p>
    <w:p>
      <w:r>
        <w:t>If the PCF cannot successfully fulfil the received HTTP PATCH request due to the internal PCF error or due to the error in the HTTP PATCH request, the PCF shall send the HTTP error response as specified in clause 5.7.</w:t>
      </w:r>
    </w:p>
    <w:p>
      <w:r>
        <w:t>If the feature "ES3XX" is supported, and the PCF determines the received HTTP PATCH request needs to be redirected, the PCF shall send an HTTP redirect response as specified in clause </w:t>
      </w:r>
      <w:r>
        <w:rPr>
          <w:lang w:eastAsia="zh-CN"/>
        </w:rPr>
        <w:t xml:space="preserve">6.10.9 of </w:t>
      </w:r>
      <w:r>
        <w:rPr>
          <w:lang w:val="en-US"/>
        </w:rPr>
        <w:t>3GPP TS 29.500 [5]</w:t>
      </w:r>
      <w:r>
        <w:t>.</w:t>
      </w:r>
    </w:p>
    <w:p>
      <w:r>
        <w:t>Otherwise, the PCF shall process the received service information according the operator policy and may decide whether the HTTP request message is accepted or not.</w:t>
      </w:r>
    </w:p>
    <w:p>
      <w:r>
        <w:t xml:space="preserve">If the updated service information is not acceptable (e.g. the subscribed guaranteed bandwidth for a particular user is exceeded or the authorized data rate in that slice for the UE is exceeded), the PCF shall include in an HTTP </w:t>
      </w:r>
      <w:r>
        <w:rPr>
          <w:rStyle w:val="168"/>
        </w:rPr>
        <w:t xml:space="preserve">"403 Forbidden" </w:t>
      </w:r>
      <w:r>
        <w:t xml:space="preserve">response message the </w:t>
      </w:r>
      <w:r>
        <w:rPr>
          <w:rStyle w:val="168"/>
        </w:rPr>
        <w:t>"cause" attribute set to "REQUESTED_SERVICE_NOT_AUTHORIZED"</w:t>
      </w:r>
      <w:r>
        <w:t>.</w:t>
      </w:r>
    </w:p>
    <w:p>
      <w:r>
        <w:t xml:space="preserve">If the PCF detects that a temporary network failure has occurred (e.g. the SGW has failed </w:t>
      </w:r>
      <w:r>
        <w:rPr>
          <w:rFonts w:hint="eastAsia"/>
          <w:lang w:eastAsia="zh-CN"/>
        </w:rPr>
        <w:t xml:space="preserve">as defined in </w:t>
      </w:r>
      <w:r>
        <w:rPr>
          <w:lang w:eastAsia="zh-CN"/>
        </w:rPr>
        <w:t>clause </w:t>
      </w:r>
      <w:r>
        <w:rPr>
          <w:rFonts w:hint="eastAsia"/>
          <w:lang w:eastAsia="zh-CN"/>
        </w:rPr>
        <w:t>B.3.</w:t>
      </w:r>
      <w:r>
        <w:rPr>
          <w:lang w:eastAsia="zh-CN"/>
        </w:rPr>
        <w:t>3.3</w:t>
      </w:r>
      <w:r>
        <w:rPr>
          <w:rFonts w:hint="eastAsia"/>
          <w:lang w:eastAsia="zh-CN"/>
        </w:rPr>
        <w:t xml:space="preserve"> </w:t>
      </w:r>
      <w:r>
        <w:rPr>
          <w:lang w:eastAsia="zh-CN"/>
        </w:rPr>
        <w:t xml:space="preserve">or B.3.4.9 </w:t>
      </w:r>
      <w:r>
        <w:rPr>
          <w:rFonts w:hint="eastAsia"/>
          <w:lang w:eastAsia="zh-CN"/>
        </w:rPr>
        <w:t>of 3GPP</w:t>
      </w:r>
      <w:r>
        <w:rPr>
          <w:lang w:eastAsia="zh-CN"/>
        </w:rPr>
        <w:t> </w:t>
      </w:r>
      <w:r>
        <w:rPr>
          <w:rFonts w:hint="eastAsia"/>
          <w:lang w:eastAsia="zh-CN"/>
        </w:rPr>
        <w:t>TS</w:t>
      </w:r>
      <w:r>
        <w:rPr>
          <w:lang w:eastAsia="zh-CN"/>
        </w:rPr>
        <w:t> </w:t>
      </w:r>
      <w:r>
        <w:rPr>
          <w:rFonts w:hint="eastAsia"/>
          <w:lang w:eastAsia="zh-CN"/>
        </w:rPr>
        <w:t>29.</w:t>
      </w:r>
      <w:r>
        <w:rPr>
          <w:lang w:eastAsia="zh-CN"/>
        </w:rPr>
        <w:t>5</w:t>
      </w:r>
      <w:r>
        <w:rPr>
          <w:rFonts w:hint="eastAsia"/>
          <w:lang w:eastAsia="zh-CN"/>
        </w:rPr>
        <w:t>12</w:t>
      </w:r>
      <w:r>
        <w:rPr>
          <w:lang w:eastAsia="zh-CN"/>
        </w:rPr>
        <w:t> </w:t>
      </w:r>
      <w:r>
        <w:rPr>
          <w:rFonts w:hint="eastAsia"/>
          <w:lang w:eastAsia="zh-CN"/>
        </w:rPr>
        <w:t>[</w:t>
      </w:r>
      <w:r>
        <w:rPr>
          <w:lang w:eastAsia="zh-CN"/>
        </w:rPr>
        <w:t>8</w:t>
      </w:r>
      <w:r>
        <w:rPr>
          <w:rFonts w:hint="eastAsia"/>
          <w:lang w:eastAsia="zh-CN"/>
        </w:rPr>
        <w:t>]</w:t>
      </w:r>
      <w:r>
        <w:t xml:space="preserve">) and the AF initiates an Npcf_PolicyAuthorization_Update service operation, </w:t>
      </w:r>
      <w:r>
        <w:rPr>
          <w:rFonts w:hint="eastAsia"/>
          <w:lang w:eastAsia="zh-CN"/>
        </w:rPr>
        <w:t>the PCF</w:t>
      </w:r>
      <w:r>
        <w:rPr>
          <w:lang w:eastAsia="zh-CN"/>
        </w:rPr>
        <w:t xml:space="preserve"> shall</w:t>
      </w:r>
      <w:r>
        <w:rPr>
          <w:rFonts w:hint="eastAsia"/>
          <w:lang w:eastAsia="zh-CN"/>
        </w:rPr>
        <w:t xml:space="preserve"> </w:t>
      </w:r>
      <w:r>
        <w:rPr>
          <w:lang w:eastAsia="zh-CN"/>
        </w:rPr>
        <w:t xml:space="preserve">reject the request with </w:t>
      </w:r>
      <w:r>
        <w:t xml:space="preserve">an HTTP </w:t>
      </w:r>
      <w:r>
        <w:rPr>
          <w:rStyle w:val="168"/>
        </w:rPr>
        <w:t xml:space="preserve">"403 Forbidden" </w:t>
      </w:r>
      <w:r>
        <w:t xml:space="preserve">response including the </w:t>
      </w:r>
      <w:r>
        <w:rPr>
          <w:rStyle w:val="168"/>
        </w:rPr>
        <w:t>"cause" attribute set to "</w:t>
      </w:r>
      <w:r>
        <w:rPr>
          <w:lang w:eastAsia="zh-CN"/>
        </w:rPr>
        <w:t>TEMPORARY_</w:t>
      </w:r>
      <w:r>
        <w:t>NETWORK_FAILURE".</w:t>
      </w:r>
    </w:p>
    <w:p>
      <w:r>
        <w:t xml:space="preserve">If the service information provided in the HTTP PATCH request is rejected due to a temporary condition in the network (e.g. the NWDAF reported the network slice selected for the PDU session is congested), the PCF may include in the </w:t>
      </w:r>
      <w:r>
        <w:rPr>
          <w:rStyle w:val="168"/>
        </w:rPr>
        <w:t xml:space="preserve">"403 Forbidden" </w:t>
      </w:r>
      <w:r>
        <w:t xml:space="preserve">response the </w:t>
      </w:r>
      <w:r>
        <w:rPr>
          <w:rStyle w:val="168"/>
        </w:rPr>
        <w:t>"cause" attribute set to "REQUESTED_SERVICE_TEMPORARILY_NOT_AUTHORIZED"</w:t>
      </w:r>
      <w:r>
        <w:t xml:space="preserve">. The PCF may also provide a retry interval within the </w:t>
      </w:r>
      <w:r>
        <w:rPr>
          <w:rStyle w:val="168"/>
        </w:rPr>
        <w:t>"</w:t>
      </w:r>
      <w:r>
        <w:t>Retry-After</w:t>
      </w:r>
      <w:r>
        <w:rPr>
          <w:rStyle w:val="168"/>
        </w:rPr>
        <w:t>"</w:t>
      </w:r>
      <w:r>
        <w:t xml:space="preserve"> HTTP header field. When the NF service consumer receives the retry interval within the </w:t>
      </w:r>
      <w:r>
        <w:rPr>
          <w:rStyle w:val="168"/>
        </w:rPr>
        <w:t>"</w:t>
      </w:r>
      <w:r>
        <w:t>Retry-After</w:t>
      </w:r>
      <w:r>
        <w:rPr>
          <w:rStyle w:val="168"/>
        </w:rPr>
        <w:t>"</w:t>
      </w:r>
      <w:r>
        <w:t xml:space="preserve"> HTTP header field, the NF service consumer shall not send the same service information to the PCF again (for the same application session context) until the retry interval has elapsed. The </w:t>
      </w:r>
      <w:r>
        <w:rPr>
          <w:rStyle w:val="168"/>
        </w:rPr>
        <w:t>"</w:t>
      </w:r>
      <w:r>
        <w:t>Retry-After</w:t>
      </w:r>
      <w:r>
        <w:rPr>
          <w:rStyle w:val="168"/>
        </w:rPr>
        <w:t>"</w:t>
      </w:r>
      <w:r>
        <w:t xml:space="preserve"> HTTP header is described in 3GPP TS 29.500 [5] clause 5.2.2.2.</w:t>
      </w:r>
    </w:p>
    <w:p>
      <w:r>
        <w:t xml:space="preserve">If the service information is invalid or in sufficient for the PCF to perform the requested action, e.g. invalid media type or invalid QoS reference, the PCF shall indicate an HTTP </w:t>
      </w:r>
      <w:r>
        <w:rPr>
          <w:rStyle w:val="168"/>
        </w:rPr>
        <w:t>"</w:t>
      </w:r>
      <w:r>
        <w:t>Bad Request</w:t>
      </w:r>
      <w:r>
        <w:rPr>
          <w:rStyle w:val="168"/>
        </w:rPr>
        <w:t>"</w:t>
      </w:r>
      <w:r>
        <w:t xml:space="preserve"> response including the </w:t>
      </w:r>
      <w:r>
        <w:rPr>
          <w:rStyle w:val="168"/>
        </w:rPr>
        <w:t>"</w:t>
      </w:r>
      <w:r>
        <w:t>cause</w:t>
      </w:r>
      <w:r>
        <w:rPr>
          <w:rStyle w:val="168"/>
        </w:rPr>
        <w:t>"</w:t>
      </w:r>
      <w:r>
        <w:t xml:space="preserve"> attribute set to </w:t>
      </w:r>
      <w:r>
        <w:rPr>
          <w:rStyle w:val="168"/>
        </w:rPr>
        <w:t>"</w:t>
      </w:r>
      <w:r>
        <w:t>INVALID_SERVICE_INFORMATION</w:t>
      </w:r>
      <w:r>
        <w:rPr>
          <w:rStyle w:val="168"/>
        </w:rPr>
        <w:t>"</w:t>
      </w:r>
      <w:r>
        <w:t>.</w:t>
      </w:r>
    </w:p>
    <w:p>
      <w:pPr>
        <w:rPr>
          <w:rStyle w:val="168"/>
        </w:rPr>
      </w:pPr>
      <w:r>
        <w:t xml:space="preserve">If the IP flow descriptions cannot be handled by the PCF because the restrictions defined in clause 5.3.8 of 3GPP TS 29.214 [20] are not observed, the PCF shall indicate an HTTP </w:t>
      </w:r>
      <w:r>
        <w:rPr>
          <w:rStyle w:val="168"/>
        </w:rPr>
        <w:t>"Bad Request" response including the "cause" attribute set to "FILTER_RESTRICTIONS".</w:t>
      </w:r>
    </w:p>
    <w:p>
      <w:r>
        <w:rPr>
          <w:rStyle w:val="168"/>
        </w:rPr>
        <w:t xml:space="preserve">If the AF provided the same AF charging identifier for a new Individual Application Session Context that is already in use for the other ongoing Individual Application Session, the PCF shall indicate an </w:t>
      </w:r>
      <w:r>
        <w:t xml:space="preserve">HTTP </w:t>
      </w:r>
      <w:r>
        <w:rPr>
          <w:rStyle w:val="168"/>
        </w:rPr>
        <w:t>"Bad Request" response including the "cause" attribute set to "DUPLICATED_AF_SESSION".</w:t>
      </w:r>
    </w:p>
    <w:p>
      <w:pPr>
        <w:pStyle w:val="103"/>
      </w:pPr>
      <w:r>
        <w:t>NOTE 5:</w:t>
      </w:r>
      <w:r>
        <w:tab/>
      </w:r>
      <w:r>
        <w:rPr>
          <w:rFonts w:eastAsia="Batang"/>
        </w:rPr>
        <w:tab/>
      </w:r>
      <w:r>
        <w:t xml:space="preserve">When the PCF supports </w:t>
      </w:r>
      <w:r>
        <w:rPr>
          <w:rFonts w:eastAsia="等线"/>
          <w:lang w:eastAsia="zh-CN"/>
        </w:rPr>
        <w:t xml:space="preserve">data rate control per network slice and/or data rate control per network slice for a UE as specified in </w:t>
      </w:r>
      <w:r>
        <w:t xml:space="preserve">3GPP TS 29.512 [8] </w:t>
      </w:r>
      <w:r>
        <w:rPr>
          <w:rFonts w:eastAsia="等线"/>
          <w:lang w:eastAsia="zh-CN"/>
        </w:rPr>
        <w:t>and the</w:t>
      </w:r>
      <w:r>
        <w:t xml:space="preserve"> authorized data rate in a slice is exceeded due to the bandwidth demands of the modified service information, it is also possible to accept the request based on operator policies. In this case the derived PCC rule(s) belonging to the authorized GBR service data flows can include a different MBR and/or have a different charging than the one applicable if the data rate is not exceeded as specified in 3GPP TS 29.512 [8].</w:t>
      </w:r>
    </w:p>
    <w:p>
      <w:r>
        <w:rPr>
          <w:lang w:eastAsia="zh-CN"/>
        </w:rPr>
        <w:t xml:space="preserve">The PCF may additionally provide the acceptable bandwidth within the attribute </w:t>
      </w:r>
      <w:r>
        <w:rPr>
          <w:rStyle w:val="168"/>
        </w:rPr>
        <w:t>"acceptableServInfo" included in the "ExtendedProblemDetails" data structure returned in the rejection response message.</w:t>
      </w:r>
    </w:p>
    <w:p>
      <w:r>
        <w:t>If the request is accepted, the PCF shall update the service information with the new information received. Due to the updated service information, the PCF may need to create, modify or delete the related PCC rules as specified in 3GPP TS 29.513 [7] and provide the updated information towards the SMF following the corresponding procedures specified in 3GPP TS 29.512 [8].</w:t>
      </w:r>
    </w:p>
    <w:p>
      <w:pPr>
        <w:rPr>
          <w:lang w:eastAsia="zh-CN"/>
        </w:rPr>
      </w:pPr>
      <w:r>
        <w:t xml:space="preserve">Based on the received subscription information from the NF service consumer, the PCF may </w:t>
      </w:r>
      <w:r>
        <w:rPr>
          <w:lang w:eastAsia="zh-CN"/>
        </w:rPr>
        <w:t>create a subscription</w:t>
      </w:r>
      <w:r>
        <w:t xml:space="preserve"> </w:t>
      </w:r>
      <w:r>
        <w:rPr>
          <w:lang w:eastAsia="zh-CN"/>
        </w:rPr>
        <w:t xml:space="preserve">to </w:t>
      </w:r>
      <w:r>
        <w:t xml:space="preserve">event notifications </w:t>
      </w:r>
      <w:r>
        <w:rPr>
          <w:lang w:eastAsia="zh-CN"/>
        </w:rPr>
        <w:t xml:space="preserve">or may </w:t>
      </w:r>
      <w:r>
        <w:t xml:space="preserve">modify the existing subscription </w:t>
      </w:r>
      <w:r>
        <w:rPr>
          <w:lang w:eastAsia="zh-CN"/>
        </w:rPr>
        <w:t xml:space="preserve">to </w:t>
      </w:r>
      <w:r>
        <w:t xml:space="preserve">event notifications, </w:t>
      </w:r>
      <w:r>
        <w:rPr>
          <w:lang w:eastAsia="zh-CN"/>
        </w:rPr>
        <w:t xml:space="preserve">for a related PDU session </w:t>
      </w:r>
      <w:r>
        <w:t>from the SMF, as described in 3GPP TS 29.512 [8].</w:t>
      </w:r>
    </w:p>
    <w:p>
      <w:r>
        <w:t xml:space="preserve">The PCF shall reply with the HTTP response message to the NF service consumer and may include the "AppSessionContext" data type payload body with the representation of the modified "Individual Application Session Context" resource and may include the </w:t>
      </w:r>
      <w:r>
        <w:rPr>
          <w:rFonts w:ascii="Calibri" w:hAnsi="Calibri"/>
        </w:rPr>
        <w:t>"</w:t>
      </w:r>
      <w:r>
        <w:t>Events Subscription</w:t>
      </w:r>
      <w:r>
        <w:rPr>
          <w:rFonts w:ascii="Calibri" w:hAnsi="Calibri"/>
        </w:rPr>
        <w:t xml:space="preserve">" </w:t>
      </w:r>
      <w:r>
        <w:t>sub-resource.</w:t>
      </w:r>
    </w:p>
    <w:p>
      <w:pPr>
        <w:rPr>
          <w:lang w:eastAsia="de-DE"/>
        </w:rPr>
      </w:pPr>
      <w:r>
        <w:rPr>
          <w:lang w:eastAsia="de-DE"/>
        </w:rPr>
        <w:t xml:space="preserve">The PCF shall include in the </w:t>
      </w:r>
      <w:r>
        <w:rPr>
          <w:rFonts w:ascii="Calibri" w:hAnsi="Calibri"/>
        </w:rPr>
        <w:t>"</w:t>
      </w:r>
      <w:r>
        <w:t>evsNotif</w:t>
      </w:r>
      <w:r>
        <w:rPr>
          <w:rFonts w:ascii="Calibri" w:hAnsi="Calibri"/>
        </w:rPr>
        <w:t xml:space="preserve">" </w:t>
      </w:r>
      <w:r>
        <w:rPr>
          <w:lang w:eastAsia="de-DE"/>
        </w:rPr>
        <w:t>attribute:</w:t>
      </w:r>
    </w:p>
    <w:p>
      <w:pPr>
        <w:pStyle w:val="122"/>
      </w:pPr>
      <w:r>
        <w:t>-</w:t>
      </w:r>
      <w:r>
        <w:tab/>
      </w:r>
      <w:r>
        <w:t xml:space="preserve">if the NF service consumer subscribed to the "PLMN_CHG" event in the HTTP PATCH request, the "event" attribute set to "PLMN_CHG" and the "plmnId" attribute including the PLMN Identifier </w:t>
      </w:r>
      <w:r>
        <w:rPr>
          <w:rFonts w:cs="Arial"/>
          <w:szCs w:val="18"/>
        </w:rPr>
        <w:t xml:space="preserve">or </w:t>
      </w:r>
      <w:r>
        <w:rPr>
          <w:lang w:eastAsia="zh-CN"/>
        </w:rPr>
        <w:t xml:space="preserve">the SNPN </w:t>
      </w:r>
      <w:r>
        <w:rPr>
          <w:rFonts w:cs="Arial"/>
          <w:szCs w:val="18"/>
        </w:rPr>
        <w:t>Identifier</w:t>
      </w:r>
      <w:r>
        <w:rPr>
          <w:lang w:eastAsia="zh-CN"/>
        </w:rPr>
        <w:t xml:space="preserve"> </w:t>
      </w:r>
      <w:r>
        <w:t>if the PCF has previously requested to be updated with this information in the SMF;</w:t>
      </w:r>
    </w:p>
    <w:p>
      <w:pPr>
        <w:pStyle w:val="103"/>
      </w:pPr>
      <w:r>
        <w:rPr>
          <w:rFonts w:eastAsia="Batang"/>
        </w:rPr>
        <w:t>NOTE 6:</w:t>
      </w:r>
      <w:r>
        <w:rPr>
          <w:rFonts w:eastAsia="Batang"/>
        </w:rPr>
        <w:tab/>
      </w:r>
      <w:r>
        <w:t>The SNPN Identifier consists of the PLMN Identifier and the NID.</w:t>
      </w:r>
    </w:p>
    <w:p>
      <w:pPr>
        <w:pStyle w:val="103"/>
      </w:pPr>
      <w:r>
        <w:t>NOTE</w:t>
      </w:r>
      <w:r>
        <w:rPr>
          <w:lang w:val="en-US"/>
        </w:rPr>
        <w:t> 7</w:t>
      </w:r>
      <w:r>
        <w:t>:</w:t>
      </w:r>
      <w:r>
        <w:tab/>
      </w:r>
      <w:r>
        <w:t>Handover between non-equivalent SNPNs, and between SNPN and PLMN is not supported. When the UE is operating in SNPN access mode, the trigger reports changes of equivalent SNPNs.</w:t>
      </w:r>
    </w:p>
    <w:p>
      <w:pPr>
        <w:pStyle w:val="122"/>
      </w:pPr>
      <w:r>
        <w:t>-</w:t>
      </w:r>
      <w:r>
        <w:tab/>
      </w:r>
      <w:r>
        <w:t>if the NF service consumer subscribed to the event "ACCESS_TYPE_CHANGE" event in the HTTP PATCH request, the "event" attribute set to "ACCESS_TYPE_CHANGE" and:</w:t>
      </w:r>
    </w:p>
    <w:p>
      <w:pPr>
        <w:ind w:left="851" w:hanging="284"/>
      </w:pPr>
      <w:r>
        <w:t>i.</w:t>
      </w:r>
      <w:r>
        <w:tab/>
      </w:r>
      <w:r>
        <w:t>the "accessType" attribute including the access type, and the "ratType" attribute including the RAT type when applicable for the notified access type; and</w:t>
      </w:r>
    </w:p>
    <w:p>
      <w:pPr>
        <w:ind w:left="851" w:hanging="284"/>
      </w:pPr>
      <w:r>
        <w:t>ii.</w:t>
      </w:r>
      <w:r>
        <w:tab/>
      </w:r>
      <w:r>
        <w:t xml:space="preserve">if the "ATSSS" feature is supported, the "addAccessInfo" attribute with the additional access type information if available, where the access type is encoded in the "accessType" attribute, and the RAT type is encoded in the "ratType" attribute when applicable for the notified access type; and </w:t>
      </w:r>
    </w:p>
    <w:p>
      <w:pPr>
        <w:pStyle w:val="103"/>
      </w:pPr>
      <w:r>
        <w:t>NOTE</w:t>
      </w:r>
      <w:r>
        <w:rPr>
          <w:lang w:eastAsia="zh-CN"/>
        </w:rPr>
        <w:t> 8</w:t>
      </w:r>
      <w:r>
        <w:t>:</w:t>
      </w:r>
      <w:r>
        <w:tab/>
      </w:r>
      <w:r>
        <w:t>For a MA PDU session, if the "ATSSS" feature is not supported by the NF service consumer, the PCF includes the "accessType" attribute and the "ratType" attribute with a currently active combination of access type and RAT type (if applicable for the notifed access type). When both 3GPP and non-3GPP accesses are available, the PCF includes the information corresponding to the 3GPP access.</w:t>
      </w:r>
    </w:p>
    <w:p>
      <w:pPr>
        <w:ind w:left="851" w:hanging="284"/>
      </w:pPr>
      <w:r>
        <w:t>iii.</w:t>
      </w:r>
      <w:r>
        <w:tab/>
      </w:r>
      <w:r>
        <w:tab/>
      </w:r>
      <w:r>
        <w:t xml:space="preserve">the "anGwAddr" attribute including access network gateway address when available, </w:t>
      </w:r>
    </w:p>
    <w:p>
      <w:pPr>
        <w:pStyle w:val="123"/>
      </w:pPr>
      <w:r>
        <w:t>if the PCF has previously requested to be updated with this information in the SMF; and</w:t>
      </w:r>
    </w:p>
    <w:p>
      <w:pPr>
        <w:pStyle w:val="122"/>
      </w:pPr>
      <w:r>
        <w:t>-</w:t>
      </w:r>
      <w:r>
        <w:tab/>
      </w:r>
      <w:r>
        <w:t>if the "IMS_SBI" feature is supported and if the NF service consumer subscribed to the "CHARGING_CORRELATION" event in the HTTP PATCH request, the "event" attribute set to "CHARGING_CORRELATION" and may include the "anChargIds" attribute containing the access network charging identifier(s) and the "anChargAddr" attribute containing the access network charging address.</w:t>
      </w:r>
    </w:p>
    <w:p>
      <w:r>
        <w:t>The NF service consumer subscription to other specific events using the Npcf_PolicyAuthorization_Update request is described in the related clauses. Notification of events when the applicable information is not available in the PCF when receiving the Npcf_PolicyAuthorization_Update request is described in clause 4.2.5.</w:t>
      </w:r>
    </w:p>
    <w:p>
      <w:r>
        <w:t>The HTTP response message towards the NF service consumer should take place before or in parallel with any required PCC rule provisioning towards the SMF.</w:t>
      </w:r>
    </w:p>
    <w:p>
      <w:r>
        <w:t>If the PCF does not have an existing application session context for the application session context being modified (such as after a PCF failure), the PCF shall reject the HTTP request message with the HTTP response message with the applicable rejection cause.</w:t>
      </w:r>
    </w:p>
    <w:p>
      <w:pPr>
        <w:pStyle w:val="123"/>
        <w:ind w:left="0" w:firstLine="0"/>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rPr>
          <w:ins w:id="234" w:author="CMCC" w:date="2023-04-10T00:23:42Z"/>
        </w:rPr>
      </w:pPr>
      <w:ins w:id="235" w:author="CMCC" w:date="2023-04-10T00:23:42Z">
        <w:bookmarkStart w:id="53" w:name="_Toc28012360"/>
        <w:bookmarkStart w:id="54" w:name="_Toc130291670"/>
        <w:bookmarkStart w:id="55" w:name="_Toc129338801"/>
        <w:bookmarkStart w:id="56" w:name="_Toc45133574"/>
        <w:bookmarkStart w:id="57" w:name="_Toc59016899"/>
        <w:bookmarkStart w:id="58" w:name="_Toc51762328"/>
        <w:bookmarkStart w:id="59" w:name="_Toc36038307"/>
        <w:r>
          <w:rPr/>
          <w:t>4.2.3.</w:t>
        </w:r>
      </w:ins>
      <w:ins w:id="236" w:author="CMCC2" w:date="2023-04-19T07:40:15Z">
        <w:r>
          <w:rPr>
            <w:rFonts w:hint="eastAsia" w:eastAsia="宋体"/>
            <w:lang w:val="en-US" w:eastAsia="zh-CN"/>
          </w:rPr>
          <w:t>36</w:t>
        </w:r>
      </w:ins>
      <w:ins w:id="237" w:author="CMCC" w:date="2023-04-10T00:23:42Z">
        <w:del w:id="238" w:author="CMCC2" w:date="2023-04-19T07:40:15Z">
          <w:r>
            <w:rPr>
              <w:rFonts w:hint="eastAsia" w:eastAsia="宋体"/>
              <w:lang w:val="en-US" w:eastAsia="zh-CN"/>
            </w:rPr>
            <w:delText>X</w:delText>
          </w:r>
        </w:del>
      </w:ins>
      <w:ins w:id="239" w:author="CMCC" w:date="2023-04-10T00:23:42Z">
        <w:r>
          <w:rPr/>
          <w:tab/>
        </w:r>
      </w:ins>
      <w:ins w:id="240" w:author="CMCC" w:date="2023-04-10T00:23:42Z">
        <w:r>
          <w:rPr/>
          <w:t xml:space="preserve">Update of </w:t>
        </w:r>
        <w:bookmarkEnd w:id="53"/>
      </w:ins>
      <w:ins w:id="241" w:author="CMCC" w:date="2023-04-10T00:23:42Z">
        <w:r>
          <w:rPr>
            <w:rFonts w:hint="eastAsia" w:eastAsia="宋体"/>
            <w:lang w:val="en-US" w:eastAsia="zh-CN"/>
          </w:rPr>
          <w:t>PDU Set</w:t>
        </w:r>
      </w:ins>
      <w:ins w:id="242" w:author="CMCC" w:date="2023-04-10T00:23:42Z">
        <w:r>
          <w:rPr/>
          <w:t xml:space="preserve"> QoS related data</w:t>
        </w:r>
        <w:bookmarkEnd w:id="54"/>
        <w:bookmarkEnd w:id="55"/>
        <w:bookmarkEnd w:id="56"/>
        <w:bookmarkEnd w:id="57"/>
        <w:bookmarkEnd w:id="58"/>
        <w:bookmarkEnd w:id="59"/>
      </w:ins>
    </w:p>
    <w:p>
      <w:pPr>
        <w:rPr>
          <w:ins w:id="243" w:author="CMCC" w:date="2023-04-10T00:23:42Z"/>
          <w:lang w:eastAsia="zh-CN"/>
        </w:rPr>
      </w:pPr>
      <w:ins w:id="244" w:author="CMCC" w:date="2023-04-10T00:23:42Z">
        <w:r>
          <w:rPr/>
          <w:t>If the "</w:t>
        </w:r>
      </w:ins>
      <w:ins w:id="245" w:author="CMCC" w:date="2023-04-10T18:37:51Z">
        <w:r>
          <w:rPr>
            <w:rFonts w:hint="eastAsia" w:eastAsia="宋体"/>
            <w:color w:val="auto"/>
            <w:highlight w:val="none"/>
            <w:u w:val="none"/>
            <w:lang w:val="en-US" w:eastAsia="zh-CN"/>
          </w:rPr>
          <w:t>X</w:t>
        </w:r>
      </w:ins>
      <w:ins w:id="246" w:author="CMCC" w:date="2023-04-10T18:37:52Z">
        <w:r>
          <w:rPr>
            <w:rFonts w:hint="eastAsia" w:eastAsia="宋体"/>
            <w:color w:val="auto"/>
            <w:highlight w:val="none"/>
            <w:u w:val="none"/>
            <w:lang w:val="en-US" w:eastAsia="zh-CN"/>
          </w:rPr>
          <w:t>RM_</w:t>
        </w:r>
      </w:ins>
      <w:ins w:id="247" w:author="CMCC" w:date="2023-04-10T18:38:00Z">
        <w:r>
          <w:rPr>
            <w:rFonts w:hint="eastAsia" w:eastAsia="宋体"/>
            <w:color w:val="auto"/>
            <w:highlight w:val="none"/>
            <w:u w:val="none"/>
            <w:lang w:val="en-US" w:eastAsia="zh-CN"/>
          </w:rPr>
          <w:t>5</w:t>
        </w:r>
      </w:ins>
      <w:ins w:id="248" w:author="CMCC" w:date="2023-04-10T18:38:01Z">
        <w:r>
          <w:rPr>
            <w:rFonts w:hint="eastAsia" w:eastAsia="宋体"/>
            <w:color w:val="auto"/>
            <w:highlight w:val="none"/>
            <w:u w:val="none"/>
            <w:lang w:val="en-US" w:eastAsia="zh-CN"/>
          </w:rPr>
          <w:t>G</w:t>
        </w:r>
      </w:ins>
      <w:ins w:id="249" w:author="CMCC" w:date="2023-04-10T00:23:42Z">
        <w:r>
          <w:rPr/>
          <w:t xml:space="preserve">" feature is supported, the NF service consumer may update the </w:t>
        </w:r>
      </w:ins>
      <w:ins w:id="250" w:author="CMCC" w:date="2023-04-10T00:23:42Z">
        <w:r>
          <w:rPr>
            <w:rFonts w:hint="eastAsia" w:eastAsia="宋体"/>
            <w:lang w:val="en-US" w:eastAsia="zh-CN"/>
          </w:rPr>
          <w:t xml:space="preserve">PDU Set </w:t>
        </w:r>
      </w:ins>
      <w:ins w:id="251" w:author="CMCC" w:date="2023-04-10T00:23:42Z">
        <w:r>
          <w:rPr/>
          <w:t xml:space="preserve">QoS related data held in an "Individual Application Session Context" resource using the </w:t>
        </w:r>
      </w:ins>
      <w:ins w:id="252" w:author="CMCC" w:date="2023-04-10T00:23:42Z">
        <w:r>
          <w:rPr>
            <w:lang w:eastAsia="zh-CN"/>
          </w:rPr>
          <w:t xml:space="preserve">Npcf_PolicyAuthorization_Update service operation to </w:t>
        </w:r>
      </w:ins>
      <w:ins w:id="253" w:author="CMCC" w:date="2023-04-10T00:23:42Z">
        <w:r>
          <w:rPr/>
          <w:t xml:space="preserve">modify the </w:t>
        </w:r>
      </w:ins>
      <w:ins w:id="254" w:author="CMCC" w:date="2023-04-10T00:23:42Z">
        <w:r>
          <w:rPr>
            <w:rFonts w:hint="eastAsia" w:eastAsia="宋体"/>
            <w:lang w:val="en-US" w:eastAsia="zh-CN"/>
          </w:rPr>
          <w:t xml:space="preserve">PDU Set </w:t>
        </w:r>
      </w:ins>
      <w:ins w:id="255" w:author="CMCC" w:date="2023-04-10T00:23:42Z">
        <w:r>
          <w:rPr/>
          <w:t>QoS characteristics delivered to the SMF for use in the 5G System</w:t>
        </w:r>
      </w:ins>
      <w:ins w:id="256" w:author="CMCC" w:date="2023-04-10T00:23:42Z">
        <w:r>
          <w:rPr>
            <w:lang w:eastAsia="zh-CN"/>
          </w:rPr>
          <w:t xml:space="preserve">. </w:t>
        </w:r>
      </w:ins>
    </w:p>
    <w:p>
      <w:pPr>
        <w:rPr>
          <w:ins w:id="257" w:author="CMCC" w:date="2023-04-10T00:23:42Z"/>
        </w:rPr>
      </w:pPr>
      <w:ins w:id="258" w:author="CMCC" w:date="2023-04-10T00:23:42Z">
        <w:r>
          <w:rPr/>
          <w:t>The NF</w:t>
        </w:r>
      </w:ins>
      <w:ins w:id="259" w:author="CMCC" w:date="2023-04-10T00:23:42Z">
        <w:r>
          <w:rPr>
            <w:highlight w:val="none"/>
          </w:rPr>
          <w:t xml:space="preserve"> service consumer may indicate </w:t>
        </w:r>
      </w:ins>
      <w:ins w:id="260" w:author="CMCC" w:date="2023-04-10T00:23:42Z">
        <w:r>
          <w:rPr>
            <w:rFonts w:hint="eastAsia" w:eastAsia="宋体"/>
            <w:highlight w:val="none"/>
            <w:lang w:val="en-US" w:eastAsia="zh-CN"/>
          </w:rPr>
          <w:t xml:space="preserve">PDU Set </w:t>
        </w:r>
      </w:ins>
      <w:ins w:id="261" w:author="CMCC" w:date="2023-04-10T00:23:42Z">
        <w:r>
          <w:rPr>
            <w:highlight w:val="none"/>
          </w:rPr>
          <w:t xml:space="preserve">QoS related information for new </w:t>
        </w:r>
      </w:ins>
      <w:ins w:id="262" w:author="CMCC" w:date="2023-04-10T00:23:42Z">
        <w:r>
          <w:rPr>
            <w:rFonts w:hint="eastAsia" w:eastAsia="宋体"/>
            <w:highlight w:val="none"/>
            <w:lang w:val="en-US" w:eastAsia="zh-CN"/>
          </w:rPr>
          <w:t>PDUs</w:t>
        </w:r>
      </w:ins>
      <w:ins w:id="263" w:author="CMCC" w:date="2023-04-10T00:23:42Z">
        <w:r>
          <w:rPr>
            <w:highlight w:val="none"/>
          </w:rPr>
          <w:t xml:space="preserve"> by adding, in the </w:t>
        </w:r>
      </w:ins>
      <w:ins w:id="264" w:author="CMCC" w:date="2023-04-10T00:23:42Z">
        <w:r>
          <w:rPr>
            <w:rStyle w:val="168"/>
            <w:highlight w:val="none"/>
          </w:rPr>
          <w:t>"ascReqData" attribute,</w:t>
        </w:r>
      </w:ins>
      <w:ins w:id="265" w:author="CMCC" w:date="2023-04-10T00:23:42Z">
        <w:r>
          <w:rPr>
            <w:highlight w:val="none"/>
          </w:rPr>
          <w:t xml:space="preserve"> one or more media component entries within the "medComponents" attribute including the "</w:t>
        </w:r>
      </w:ins>
      <w:ins w:id="266" w:author="CMCC-r2" w:date="2023-04-20T19:34:40Z">
        <w:r>
          <w:rPr>
            <w:rFonts w:hint="eastAsia" w:eastAsia="宋体"/>
            <w:highlight w:val="none"/>
            <w:lang w:val="en-US" w:eastAsia="zh-CN"/>
          </w:rPr>
          <w:t>P</w:t>
        </w:r>
      </w:ins>
      <w:ins w:id="267" w:author="CMCC" w:date="2023-04-10T00:23:42Z">
        <w:del w:id="268" w:author="CMCC-r2" w:date="2023-04-20T19:34:40Z">
          <w:r>
            <w:rPr>
              <w:rFonts w:hint="eastAsia" w:eastAsia="宋体"/>
              <w:color w:val="auto"/>
              <w:highlight w:val="none"/>
              <w:u w:val="none"/>
              <w:lang w:val="en-US" w:eastAsia="zh-CN"/>
            </w:rPr>
            <w:delText>p</w:delText>
          </w:r>
        </w:del>
      </w:ins>
      <w:ins w:id="269" w:author="CMCC" w:date="2023-04-10T00:23:42Z">
        <w:r>
          <w:rPr>
            <w:rFonts w:hint="eastAsia" w:eastAsia="宋体"/>
            <w:color w:val="auto"/>
            <w:highlight w:val="none"/>
            <w:u w:val="none"/>
            <w:lang w:val="en-US" w:eastAsia="zh-CN"/>
          </w:rPr>
          <w:t>duSet</w:t>
        </w:r>
      </w:ins>
      <w:ins w:id="270" w:author="CMCC" w:date="2023-04-10T00:23:42Z">
        <w:r>
          <w:rPr>
            <w:color w:val="auto"/>
            <w:highlight w:val="none"/>
            <w:u w:val="none"/>
          </w:rPr>
          <w:t>Qos</w:t>
        </w:r>
      </w:ins>
      <w:ins w:id="271" w:author="CMCC" w:date="2023-04-10T00:23:42Z">
        <w:r>
          <w:rPr>
            <w:highlight w:val="none"/>
          </w:rPr>
          <w:t>" attribut</w:t>
        </w:r>
      </w:ins>
      <w:ins w:id="272" w:author="CMCC" w:date="2023-04-10T00:23:42Z">
        <w:r>
          <w:rPr>
            <w:rFonts w:hint="eastAsia" w:eastAsia="宋体"/>
            <w:highlight w:val="none"/>
            <w:lang w:val="en-US" w:eastAsia="zh-CN"/>
          </w:rPr>
          <w:t>e</w:t>
        </w:r>
      </w:ins>
      <w:ins w:id="273" w:author="CMCC" w:date="2023-04-10T00:23:42Z">
        <w:r>
          <w:rPr>
            <w:lang w:val="en-US"/>
          </w:rPr>
          <w:t>,</w:t>
        </w:r>
      </w:ins>
      <w:ins w:id="274" w:author="CMCC" w:date="2023-04-10T00:23:42Z">
        <w:r>
          <w:rPr/>
          <w:t xml:space="preserve"> as </w:t>
        </w:r>
      </w:ins>
      <w:ins w:id="275" w:author="CMCC" w:date="2023-04-10T00:23:42Z">
        <w:r>
          <w:rPr>
            <w:lang w:eastAsia="zh-CN"/>
          </w:rPr>
          <w:t xml:space="preserve">described in </w:t>
        </w:r>
      </w:ins>
      <w:ins w:id="276" w:author="CMCC" w:date="2023-04-10T00:23:42Z">
        <w:r>
          <w:rPr/>
          <w:t>clause 4.2.2.</w:t>
        </w:r>
      </w:ins>
      <w:ins w:id="277" w:author="CMCC" w:date="2023-04-10T00:23:42Z">
        <w:r>
          <w:rPr>
            <w:rFonts w:hint="eastAsia" w:eastAsia="宋体"/>
            <w:lang w:val="en-US" w:eastAsia="zh-CN"/>
          </w:rPr>
          <w:t>3</w:t>
        </w:r>
      </w:ins>
      <w:ins w:id="278" w:author="CMCC2" w:date="2023-04-19T07:35:09Z">
        <w:r>
          <w:rPr>
            <w:rFonts w:hint="eastAsia" w:eastAsia="宋体"/>
            <w:lang w:val="en-US" w:eastAsia="zh-CN"/>
          </w:rPr>
          <w:t>7</w:t>
        </w:r>
      </w:ins>
      <w:ins w:id="279" w:author="CMCC" w:date="2023-04-10T00:23:42Z">
        <w:del w:id="280" w:author="CMCC2" w:date="2023-04-19T07:35:09Z">
          <w:r>
            <w:rPr>
              <w:rFonts w:hint="eastAsia" w:eastAsia="宋体"/>
              <w:lang w:val="en-US" w:eastAsia="zh-CN"/>
            </w:rPr>
            <w:delText>X</w:delText>
          </w:r>
        </w:del>
      </w:ins>
      <w:ins w:id="281" w:author="CMCC" w:date="2023-04-10T00:23:42Z">
        <w:r>
          <w:rPr/>
          <w:t>.</w:t>
        </w:r>
      </w:ins>
    </w:p>
    <w:p>
      <w:pPr>
        <w:rPr>
          <w:ins w:id="282" w:author="CMCC" w:date="2023-04-10T00:23:42Z"/>
        </w:rPr>
      </w:pPr>
      <w:ins w:id="283" w:author="CMCC" w:date="2023-04-10T00:23:42Z">
        <w:r>
          <w:rPr/>
          <w:t xml:space="preserve">The NF service consumer may delete the </w:t>
        </w:r>
      </w:ins>
      <w:ins w:id="284" w:author="CMCC" w:date="2023-04-10T00:23:42Z">
        <w:r>
          <w:rPr>
            <w:rFonts w:hint="eastAsia" w:eastAsia="宋体"/>
            <w:highlight w:val="none"/>
            <w:lang w:val="en-US" w:eastAsia="zh-CN"/>
          </w:rPr>
          <w:t xml:space="preserve">PDU Set </w:t>
        </w:r>
      </w:ins>
      <w:ins w:id="285" w:author="CMCC" w:date="2023-04-10T00:23:42Z">
        <w:r>
          <w:rPr>
            <w:highlight w:val="none"/>
          </w:rPr>
          <w:t>QoS related information</w:t>
        </w:r>
      </w:ins>
      <w:ins w:id="286" w:author="CMCC" w:date="2023-04-10T00:23:42Z">
        <w:r>
          <w:rPr/>
          <w:t xml:space="preserve"> of removed </w:t>
        </w:r>
      </w:ins>
      <w:ins w:id="287" w:author="CMCC" w:date="2023-04-10T00:23:42Z">
        <w:r>
          <w:rPr>
            <w:rFonts w:hint="eastAsia" w:eastAsia="宋体"/>
            <w:highlight w:val="none"/>
            <w:lang w:val="en-US" w:eastAsia="zh-CN"/>
          </w:rPr>
          <w:t>PDU Set</w:t>
        </w:r>
      </w:ins>
      <w:ins w:id="288" w:author="CMCC" w:date="2023-04-10T00:23:42Z">
        <w:r>
          <w:rPr/>
          <w:t xml:space="preserve"> traffic by removing the corresponding media component entries within the "medComponents" attribute included in the </w:t>
        </w:r>
      </w:ins>
      <w:ins w:id="289" w:author="CMCC" w:date="2023-04-10T00:23:42Z">
        <w:r>
          <w:rPr>
            <w:rStyle w:val="168"/>
          </w:rPr>
          <w:t>"</w:t>
        </w:r>
        <w:bookmarkStart w:id="60" w:name="OLE_LINK3"/>
        <w:r>
          <w:rPr>
            <w:rStyle w:val="168"/>
          </w:rPr>
          <w:t>ascReqData</w:t>
        </w:r>
        <w:bookmarkEnd w:id="60"/>
        <w:r>
          <w:rPr>
            <w:rStyle w:val="168"/>
          </w:rPr>
          <w:t>" attribute</w:t>
        </w:r>
      </w:ins>
      <w:ins w:id="290" w:author="CMCC" w:date="2023-04-10T00:23:42Z">
        <w:r>
          <w:rPr/>
          <w:t xml:space="preserve">. </w:t>
        </w:r>
      </w:ins>
    </w:p>
    <w:p>
      <w:pPr>
        <w:rPr>
          <w:ins w:id="291" w:author="CMCC" w:date="2023-04-10T00:23:42Z"/>
        </w:rPr>
      </w:pPr>
      <w:ins w:id="292" w:author="CMCC" w:date="2023-04-10T00:23:42Z">
        <w:r>
          <w:rPr>
            <w:lang w:eastAsia="de-DE"/>
          </w:rPr>
          <w:t xml:space="preserve">The PCF shall reply to the </w:t>
        </w:r>
      </w:ins>
      <w:ins w:id="293" w:author="CMCC" w:date="2023-04-10T00:23:42Z">
        <w:r>
          <w:rPr/>
          <w:t>NF service consumer</w:t>
        </w:r>
      </w:ins>
      <w:ins w:id="294" w:author="CMCC" w:date="2023-04-10T00:23:42Z">
        <w:r>
          <w:rPr>
            <w:lang w:eastAsia="de-DE"/>
          </w:rPr>
          <w:t xml:space="preserve"> as described in </w:t>
        </w:r>
      </w:ins>
      <w:ins w:id="295" w:author="CMCC" w:date="2023-04-10T00:23:42Z">
        <w:r>
          <w:rPr/>
          <w:t>clause 4.2.3.2.</w:t>
        </w:r>
      </w:ins>
    </w:p>
    <w:p>
      <w:pPr>
        <w:rPr>
          <w:ins w:id="296" w:author="CMCC" w:date="2023-04-10T18:38:46Z"/>
        </w:rPr>
      </w:pPr>
      <w:ins w:id="297" w:author="CMCC" w:date="2023-04-10T18:38:46Z">
        <w:r>
          <w:rPr>
            <w:color w:val="auto"/>
          </w:rPr>
          <w:t xml:space="preserve">Editor’s Note: </w:t>
        </w:r>
      </w:ins>
      <w:ins w:id="298" w:author="CMCC" w:date="2023-04-10T18:38:46Z">
        <w:r>
          <w:rPr>
            <w:color w:val="auto"/>
            <w:highlight w:val="none"/>
            <w:u w:val="none"/>
          </w:rPr>
          <w:t xml:space="preserve">The PCF shall check whether the received </w:t>
        </w:r>
      </w:ins>
      <w:ins w:id="299" w:author="CMCC" w:date="2023-04-10T18:38:46Z">
        <w:r>
          <w:rPr>
            <w:rFonts w:hint="eastAsia" w:eastAsia="宋体"/>
            <w:color w:val="auto"/>
            <w:highlight w:val="none"/>
            <w:u w:val="none"/>
            <w:lang w:val="en-US" w:eastAsia="zh-CN"/>
          </w:rPr>
          <w:t>PDU Set</w:t>
        </w:r>
      </w:ins>
      <w:ins w:id="300" w:author="CMCC" w:date="2023-04-10T18:38:46Z">
        <w:r>
          <w:rPr>
            <w:color w:val="auto"/>
            <w:highlight w:val="none"/>
            <w:u w:val="none"/>
          </w:rPr>
          <w:t xml:space="preserve"> QoS related data require to </w:t>
        </w:r>
      </w:ins>
      <w:ins w:id="301" w:author="CMCC" w:date="2023-04-10T18:38:49Z">
        <w:r>
          <w:rPr>
            <w:rFonts w:hint="eastAsia" w:eastAsia="宋体"/>
            <w:color w:val="auto"/>
            <w:highlight w:val="none"/>
            <w:u w:val="none"/>
            <w:lang w:val="en-US" w:eastAsia="zh-CN"/>
          </w:rPr>
          <w:t>m</w:t>
        </w:r>
      </w:ins>
      <w:ins w:id="302" w:author="CMCC" w:date="2023-04-10T18:38:50Z">
        <w:r>
          <w:rPr>
            <w:rFonts w:hint="eastAsia" w:eastAsia="宋体"/>
            <w:color w:val="auto"/>
            <w:highlight w:val="none"/>
            <w:u w:val="none"/>
            <w:lang w:val="en-US" w:eastAsia="zh-CN"/>
          </w:rPr>
          <w:t xml:space="preserve">odify </w:t>
        </w:r>
      </w:ins>
      <w:ins w:id="303" w:author="CMCC" w:date="2023-04-10T18:38:51Z">
        <w:r>
          <w:rPr>
            <w:rFonts w:hint="eastAsia" w:eastAsia="宋体"/>
            <w:color w:val="auto"/>
            <w:highlight w:val="none"/>
            <w:u w:val="none"/>
            <w:lang w:val="en-US" w:eastAsia="zh-CN"/>
          </w:rPr>
          <w:t xml:space="preserve">or to </w:t>
        </w:r>
      </w:ins>
      <w:ins w:id="304" w:author="CMCC" w:date="2023-04-10T18:38:53Z">
        <w:r>
          <w:rPr>
            <w:rFonts w:hint="eastAsia" w:eastAsia="宋体"/>
            <w:color w:val="auto"/>
            <w:highlight w:val="none"/>
            <w:u w:val="none"/>
            <w:lang w:val="en-US" w:eastAsia="zh-CN"/>
          </w:rPr>
          <w:t>remove</w:t>
        </w:r>
      </w:ins>
      <w:ins w:id="305" w:author="CMCC" w:date="2023-04-10T18:38:46Z">
        <w:r>
          <w:rPr>
            <w:color w:val="auto"/>
            <w:highlight w:val="none"/>
            <w:u w:val="none"/>
          </w:rPr>
          <w:t xml:space="preserve"> PCC rules to provide the SMF with derived QoS characteristics. Provisioning of PCC rule(s) to the SMF</w:t>
        </w:r>
      </w:ins>
      <w:ins w:id="306" w:author="CMCC" w:date="2023-04-10T18:38:46Z">
        <w:r>
          <w:rPr>
            <w:rFonts w:hint="eastAsia" w:eastAsia="宋体"/>
            <w:color w:val="auto"/>
            <w:highlight w:val="none"/>
            <w:u w:val="none"/>
            <w:lang w:val="en-US" w:eastAsia="zh-CN"/>
          </w:rPr>
          <w:t xml:space="preserve"> a</w:t>
        </w:r>
      </w:ins>
      <w:ins w:id="307" w:author="CMCC" w:date="2023-04-10T18:38:46Z">
        <w:r>
          <w:rPr>
            <w:color w:val="auto"/>
            <w:highlight w:val="none"/>
            <w:u w:val="none"/>
          </w:rPr>
          <w:t xml:space="preserve">s specified in </w:t>
        </w:r>
      </w:ins>
      <w:ins w:id="308" w:author="CMCC" w:date="2023-04-10T18:38:46Z">
        <w:r>
          <w:rPr>
            <w:color w:val="auto"/>
            <w:highlight w:val="none"/>
            <w:u w:val="none"/>
            <w:lang w:eastAsia="zh-CN"/>
          </w:rPr>
          <w:t>3GPP TS 29.512 [8]</w:t>
        </w:r>
      </w:ins>
      <w:ins w:id="309" w:author="CMCC" w:date="2023-04-10T18:38:46Z">
        <w:r>
          <w:rPr>
            <w:rFonts w:hint="eastAsia"/>
            <w:color w:val="auto"/>
            <w:highlight w:val="none"/>
            <w:u w:val="none"/>
            <w:lang w:val="en-US" w:eastAsia="zh-CN"/>
          </w:rPr>
          <w:t xml:space="preserve"> is FFS</w:t>
        </w:r>
      </w:ins>
      <w:ins w:id="310" w:author="CMCC" w:date="2023-04-10T18:38:46Z">
        <w:r>
          <w:rPr>
            <w:color w:val="auto"/>
            <w:highlight w:val="none"/>
            <w:u w:val="none"/>
          </w:rPr>
          <w:t>.</w:t>
        </w:r>
      </w:ins>
    </w:p>
    <w:p>
      <w:pPr>
        <w:pStyle w:val="123"/>
        <w:ind w:left="0" w:firstLine="0"/>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4"/>
        <w:outlineLvl w:val="2"/>
        <w:rPr>
          <w:del w:id="311" w:author="CMCC2" w:date="2023-04-19T06:54:04Z"/>
        </w:rPr>
      </w:pPr>
      <w:del w:id="312" w:author="CMCC2" w:date="2023-04-19T06:54:04Z">
        <w:bookmarkStart w:id="61" w:name="_Toc130291795"/>
        <w:bookmarkStart w:id="62" w:name="_Toc129338926"/>
        <w:r>
          <w:rPr/>
          <w:delText>5.6</w:delText>
        </w:r>
      </w:del>
      <w:del w:id="313" w:author="CMCC2" w:date="2023-04-19T06:54:04Z">
        <w:r>
          <w:rPr/>
          <w:tab/>
        </w:r>
      </w:del>
      <w:del w:id="314" w:author="CMCC2" w:date="2023-04-19T06:54:04Z">
        <w:r>
          <w:rPr/>
          <w:delText>Data Model</w:delText>
        </w:r>
        <w:bookmarkEnd w:id="61"/>
        <w:bookmarkEnd w:id="62"/>
      </w:del>
    </w:p>
    <w:p>
      <w:pPr>
        <w:pStyle w:val="5"/>
      </w:pPr>
      <w:bookmarkStart w:id="63" w:name="_Toc129338927"/>
      <w:bookmarkStart w:id="64" w:name="_Toc28012453"/>
      <w:bookmarkStart w:id="65" w:name="_Toc59017007"/>
      <w:bookmarkStart w:id="66" w:name="_Toc45133681"/>
      <w:bookmarkStart w:id="67" w:name="_Toc130291796"/>
      <w:bookmarkStart w:id="68" w:name="_Toc51762435"/>
      <w:bookmarkStart w:id="69" w:name="_Toc36038411"/>
      <w:r>
        <w:t>5.6.1</w:t>
      </w:r>
      <w:r>
        <w:tab/>
      </w:r>
      <w:r>
        <w:t>General</w:t>
      </w:r>
      <w:bookmarkEnd w:id="63"/>
      <w:bookmarkEnd w:id="64"/>
      <w:bookmarkEnd w:id="65"/>
      <w:bookmarkEnd w:id="66"/>
      <w:bookmarkEnd w:id="67"/>
      <w:bookmarkEnd w:id="68"/>
      <w:bookmarkEnd w:id="69"/>
    </w:p>
    <w:p>
      <w:r>
        <w:t>This clause specifies the application data model supported by the API.</w:t>
      </w:r>
    </w:p>
    <w:p>
      <w:r>
        <w:t>Table 5.6.1-1 specifies the data types defined for the Npcf_PolicyAuthorization service based interface protocol.</w:t>
      </w:r>
    </w:p>
    <w:p>
      <w:pPr>
        <w:pStyle w:val="102"/>
      </w:pPr>
      <w:r>
        <w:t>Table 5.6.1-1: Npcf_PolicyAuthorization specific Data Types</w:t>
      </w:r>
    </w:p>
    <w:tbl>
      <w:tblPr>
        <w:tblStyle w:val="89"/>
        <w:tblW w:w="961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15" w:type="dxa"/>
        </w:tblCellMar>
      </w:tblPr>
      <w:tblGrid>
        <w:gridCol w:w="2239"/>
        <w:gridCol w:w="1578"/>
        <w:gridCol w:w="4052"/>
        <w:gridCol w:w="17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tblHeader/>
          <w:jc w:val="center"/>
        </w:trPr>
        <w:tc>
          <w:tcPr>
            <w:tcW w:w="2239" w:type="dxa"/>
            <w:shd w:val="clear" w:color="auto" w:fill="C0C0C0"/>
            <w:noWrap w:val="0"/>
            <w:vAlign w:val="top"/>
          </w:tcPr>
          <w:p>
            <w:pPr>
              <w:pStyle w:val="98"/>
            </w:pPr>
            <w:r>
              <w:t>Data type</w:t>
            </w:r>
          </w:p>
        </w:tc>
        <w:tc>
          <w:tcPr>
            <w:tcW w:w="1578" w:type="dxa"/>
            <w:shd w:val="clear" w:color="auto" w:fill="C0C0C0"/>
            <w:noWrap w:val="0"/>
            <w:vAlign w:val="top"/>
          </w:tcPr>
          <w:p>
            <w:pPr>
              <w:pStyle w:val="98"/>
            </w:pPr>
            <w:r>
              <w:t>Section defined</w:t>
            </w:r>
          </w:p>
        </w:tc>
        <w:tc>
          <w:tcPr>
            <w:tcW w:w="4052" w:type="dxa"/>
            <w:shd w:val="clear" w:color="auto" w:fill="C0C0C0"/>
            <w:noWrap w:val="0"/>
            <w:vAlign w:val="top"/>
          </w:tcPr>
          <w:p>
            <w:pPr>
              <w:pStyle w:val="98"/>
            </w:pPr>
            <w:r>
              <w:t>Description</w:t>
            </w:r>
          </w:p>
        </w:tc>
        <w:tc>
          <w:tcPr>
            <w:tcW w:w="1750" w:type="dxa"/>
            <w:shd w:val="clear" w:color="auto" w:fill="C0C0C0"/>
            <w:noWrap w:val="0"/>
            <w:vAlign w:val="top"/>
          </w:tcPr>
          <w:p>
            <w:pPr>
              <w:pStyle w:val="98"/>
            </w:pPr>
            <w:r>
              <w:t>Applicability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AcceptableServiceInfo</w:t>
            </w:r>
          </w:p>
        </w:tc>
        <w:tc>
          <w:tcPr>
            <w:tcW w:w="1578" w:type="dxa"/>
            <w:noWrap w:val="0"/>
            <w:vAlign w:val="top"/>
          </w:tcPr>
          <w:p>
            <w:pPr>
              <w:pStyle w:val="100"/>
            </w:pPr>
            <w:r>
              <w:t>5.6.2.30</w:t>
            </w:r>
          </w:p>
        </w:tc>
        <w:tc>
          <w:tcPr>
            <w:tcW w:w="4052" w:type="dxa"/>
            <w:noWrap w:val="0"/>
            <w:vAlign w:val="top"/>
          </w:tcPr>
          <w:p>
            <w:pPr>
              <w:pStyle w:val="100"/>
              <w:rPr>
                <w:rFonts w:cs="Arial"/>
                <w:szCs w:val="18"/>
              </w:rPr>
            </w:pPr>
            <w:r>
              <w:rPr>
                <w:rFonts w:cs="Arial"/>
                <w:szCs w:val="18"/>
              </w:rPr>
              <w:t>Acceptable maximum requested bandwidth.</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AccessNetChargingIdentifier</w:t>
            </w:r>
          </w:p>
        </w:tc>
        <w:tc>
          <w:tcPr>
            <w:tcW w:w="1578" w:type="dxa"/>
            <w:noWrap w:val="0"/>
            <w:vAlign w:val="top"/>
          </w:tcPr>
          <w:p>
            <w:pPr>
              <w:pStyle w:val="100"/>
            </w:pPr>
            <w:r>
              <w:t>5.6.2.32</w:t>
            </w:r>
          </w:p>
        </w:tc>
        <w:tc>
          <w:tcPr>
            <w:tcW w:w="4052" w:type="dxa"/>
            <w:noWrap w:val="0"/>
            <w:vAlign w:val="top"/>
          </w:tcPr>
          <w:p>
            <w:pPr>
              <w:pStyle w:val="100"/>
              <w:rPr>
                <w:rFonts w:cs="Arial"/>
                <w:szCs w:val="18"/>
              </w:rPr>
            </w:pPr>
            <w:r>
              <w:rPr>
                <w:lang w:eastAsia="zh-CN"/>
              </w:rPr>
              <w:t xml:space="preserve">Contains the </w:t>
            </w:r>
            <w:r>
              <w:t>access network charging identifier.</w:t>
            </w:r>
          </w:p>
        </w:tc>
        <w:tc>
          <w:tcPr>
            <w:tcW w:w="1750" w:type="dxa"/>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AfAppId</w:t>
            </w:r>
          </w:p>
        </w:tc>
        <w:tc>
          <w:tcPr>
            <w:tcW w:w="1578" w:type="dxa"/>
            <w:noWrap w:val="0"/>
            <w:vAlign w:val="top"/>
          </w:tcPr>
          <w:p>
            <w:pPr>
              <w:pStyle w:val="100"/>
            </w:pPr>
            <w:r>
              <w:t>5.6.3.2</w:t>
            </w:r>
          </w:p>
        </w:tc>
        <w:tc>
          <w:tcPr>
            <w:tcW w:w="4052" w:type="dxa"/>
            <w:noWrap w:val="0"/>
            <w:vAlign w:val="top"/>
          </w:tcPr>
          <w:p>
            <w:pPr>
              <w:pStyle w:val="100"/>
              <w:rPr>
                <w:lang w:eastAsia="zh-CN"/>
              </w:rPr>
            </w:pPr>
            <w:r>
              <w:t>Contains an AF application identifier.</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AfEvent</w:t>
            </w:r>
          </w:p>
        </w:tc>
        <w:tc>
          <w:tcPr>
            <w:tcW w:w="1578" w:type="dxa"/>
            <w:noWrap w:val="0"/>
            <w:vAlign w:val="top"/>
          </w:tcPr>
          <w:p>
            <w:pPr>
              <w:pStyle w:val="100"/>
            </w:pPr>
            <w:r>
              <w:t>5.6.3.7</w:t>
            </w:r>
          </w:p>
        </w:tc>
        <w:tc>
          <w:tcPr>
            <w:tcW w:w="4052" w:type="dxa"/>
            <w:noWrap w:val="0"/>
            <w:vAlign w:val="top"/>
          </w:tcPr>
          <w:p>
            <w:pPr>
              <w:pStyle w:val="100"/>
              <w:rPr>
                <w:rFonts w:cs="Arial"/>
                <w:szCs w:val="18"/>
              </w:rPr>
            </w:pPr>
            <w:r>
              <w:rPr>
                <w:rFonts w:cs="Arial"/>
                <w:szCs w:val="18"/>
              </w:rPr>
              <w:t xml:space="preserve">Represents an event to notify to the </w:t>
            </w:r>
            <w:r>
              <w:t>NF service consumer</w:t>
            </w:r>
            <w:r>
              <w:rPr>
                <w:rFonts w:cs="Arial"/>
                <w:szCs w:val="18"/>
              </w:rPr>
              <w:t>.</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AfEventNotification</w:t>
            </w:r>
          </w:p>
        </w:tc>
        <w:tc>
          <w:tcPr>
            <w:tcW w:w="1578" w:type="dxa"/>
            <w:noWrap w:val="0"/>
            <w:vAlign w:val="top"/>
          </w:tcPr>
          <w:p>
            <w:pPr>
              <w:pStyle w:val="100"/>
            </w:pPr>
            <w:r>
              <w:t>5.6.2.11</w:t>
            </w:r>
          </w:p>
        </w:tc>
        <w:tc>
          <w:tcPr>
            <w:tcW w:w="4052" w:type="dxa"/>
            <w:noWrap w:val="0"/>
            <w:vAlign w:val="top"/>
          </w:tcPr>
          <w:p>
            <w:pPr>
              <w:pStyle w:val="100"/>
              <w:rPr>
                <w:rFonts w:cs="Arial"/>
                <w:szCs w:val="18"/>
              </w:rPr>
            </w:pPr>
            <w:r>
              <w:rPr>
                <w:rFonts w:cs="Arial"/>
                <w:szCs w:val="18"/>
              </w:rPr>
              <w:t>Represents the notification of an event.</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AfEventSubscription</w:t>
            </w:r>
          </w:p>
        </w:tc>
        <w:tc>
          <w:tcPr>
            <w:tcW w:w="1578" w:type="dxa"/>
            <w:noWrap w:val="0"/>
            <w:vAlign w:val="top"/>
          </w:tcPr>
          <w:p>
            <w:pPr>
              <w:pStyle w:val="100"/>
            </w:pPr>
            <w:r>
              <w:t>5.6.2.10</w:t>
            </w:r>
          </w:p>
        </w:tc>
        <w:tc>
          <w:tcPr>
            <w:tcW w:w="4052" w:type="dxa"/>
            <w:noWrap w:val="0"/>
            <w:vAlign w:val="top"/>
          </w:tcPr>
          <w:p>
            <w:pPr>
              <w:pStyle w:val="100"/>
              <w:rPr>
                <w:rFonts w:cs="Arial"/>
                <w:szCs w:val="18"/>
              </w:rPr>
            </w:pPr>
            <w:r>
              <w:rPr>
                <w:rFonts w:cs="Arial"/>
                <w:szCs w:val="18"/>
              </w:rPr>
              <w:t>Represents the subscription to events.</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AfNotifMethod</w:t>
            </w:r>
          </w:p>
        </w:tc>
        <w:tc>
          <w:tcPr>
            <w:tcW w:w="1578" w:type="dxa"/>
            <w:noWrap w:val="0"/>
            <w:vAlign w:val="top"/>
          </w:tcPr>
          <w:p>
            <w:pPr>
              <w:pStyle w:val="100"/>
            </w:pPr>
            <w:r>
              <w:t>5.6.3.8</w:t>
            </w:r>
          </w:p>
        </w:tc>
        <w:tc>
          <w:tcPr>
            <w:tcW w:w="4052" w:type="dxa"/>
            <w:noWrap w:val="0"/>
            <w:vAlign w:val="top"/>
          </w:tcPr>
          <w:p>
            <w:pPr>
              <w:pStyle w:val="100"/>
              <w:rPr>
                <w:rFonts w:cs="Arial"/>
                <w:szCs w:val="18"/>
              </w:rPr>
            </w:pPr>
            <w:r>
              <w:rPr>
                <w:rFonts w:cs="Arial"/>
                <w:szCs w:val="18"/>
              </w:rPr>
              <w:t>Represents the notification methods that can be subscribed for an event.</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AfRequestedData</w:t>
            </w:r>
          </w:p>
        </w:tc>
        <w:tc>
          <w:tcPr>
            <w:tcW w:w="1578" w:type="dxa"/>
            <w:noWrap w:val="0"/>
            <w:vAlign w:val="top"/>
          </w:tcPr>
          <w:p>
            <w:pPr>
              <w:pStyle w:val="100"/>
            </w:pPr>
            <w:r>
              <w:t>5.6.3.18</w:t>
            </w:r>
          </w:p>
        </w:tc>
        <w:tc>
          <w:tcPr>
            <w:tcW w:w="4052" w:type="dxa"/>
            <w:noWrap w:val="0"/>
            <w:vAlign w:val="top"/>
          </w:tcPr>
          <w:p>
            <w:pPr>
              <w:pStyle w:val="100"/>
              <w:rPr>
                <w:rFonts w:cs="Arial"/>
                <w:szCs w:val="18"/>
              </w:rPr>
            </w:pPr>
            <w:r>
              <w:rPr>
                <w:rFonts w:cs="Arial"/>
                <w:szCs w:val="18"/>
              </w:rPr>
              <w:t xml:space="preserve">Represents the information the </w:t>
            </w:r>
            <w:r>
              <w:t>NF service consumer</w:t>
            </w:r>
            <w:r>
              <w:rPr>
                <w:rFonts w:cs="Arial"/>
                <w:szCs w:val="18"/>
              </w:rPr>
              <w:t xml:space="preserve"> requested to be exposed.</w:t>
            </w:r>
          </w:p>
        </w:tc>
        <w:tc>
          <w:tcPr>
            <w:tcW w:w="1750" w:type="dxa"/>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AfRoutingRequirement</w:t>
            </w:r>
          </w:p>
        </w:tc>
        <w:tc>
          <w:tcPr>
            <w:tcW w:w="1578" w:type="dxa"/>
            <w:noWrap w:val="0"/>
            <w:vAlign w:val="top"/>
          </w:tcPr>
          <w:p>
            <w:pPr>
              <w:pStyle w:val="100"/>
            </w:pPr>
            <w:r>
              <w:t>5.6.2.13</w:t>
            </w:r>
          </w:p>
        </w:tc>
        <w:tc>
          <w:tcPr>
            <w:tcW w:w="4052" w:type="dxa"/>
            <w:noWrap w:val="0"/>
            <w:vAlign w:val="top"/>
          </w:tcPr>
          <w:p>
            <w:pPr>
              <w:pStyle w:val="100"/>
              <w:rPr>
                <w:rFonts w:cs="Arial"/>
                <w:szCs w:val="18"/>
              </w:rPr>
            </w:pPr>
            <w:r>
              <w:rPr>
                <w:rFonts w:cs="Arial"/>
                <w:szCs w:val="18"/>
              </w:rPr>
              <w:t>Describes the routing requirements for the application traffic flows.</w:t>
            </w:r>
          </w:p>
        </w:tc>
        <w:tc>
          <w:tcPr>
            <w:tcW w:w="1750" w:type="dxa"/>
            <w:noWrap w:val="0"/>
            <w:vAlign w:val="top"/>
          </w:tcPr>
          <w:p>
            <w:pPr>
              <w:pStyle w:val="100"/>
              <w:rPr>
                <w:rFonts w:cs="Arial"/>
                <w:szCs w:val="18"/>
              </w:rPr>
            </w:pPr>
            <w:r>
              <w:rPr>
                <w:rFonts w:cs="Arial"/>
                <w:szCs w:val="18"/>
              </w:rPr>
              <w:t>InfluenceOnTrafficRouting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AfRoutingRequirementRm</w:t>
            </w:r>
          </w:p>
        </w:tc>
        <w:tc>
          <w:tcPr>
            <w:tcW w:w="1578" w:type="dxa"/>
            <w:noWrap w:val="0"/>
            <w:vAlign w:val="top"/>
          </w:tcPr>
          <w:p>
            <w:pPr>
              <w:pStyle w:val="100"/>
            </w:pPr>
            <w:r>
              <w:t>5.6.2.24</w:t>
            </w:r>
          </w:p>
        </w:tc>
        <w:tc>
          <w:tcPr>
            <w:tcW w:w="4052" w:type="dxa"/>
            <w:noWrap w:val="0"/>
            <w:vAlign w:val="top"/>
          </w:tcPr>
          <w:p>
            <w:pPr>
              <w:pStyle w:val="100"/>
              <w:rPr>
                <w:rFonts w:cs="Arial"/>
                <w:szCs w:val="18"/>
              </w:rPr>
            </w:pPr>
            <w:r>
              <w:t>This data type is defined in the same way as the "AfRoutingRequirement" data type, but with the OpenAPI "nullable: true" property.</w:t>
            </w:r>
          </w:p>
        </w:tc>
        <w:tc>
          <w:tcPr>
            <w:tcW w:w="1750" w:type="dxa"/>
            <w:noWrap w:val="0"/>
            <w:vAlign w:val="top"/>
          </w:tcPr>
          <w:p>
            <w:pPr>
              <w:pStyle w:val="100"/>
              <w:rPr>
                <w:rFonts w:cs="Arial"/>
                <w:szCs w:val="18"/>
              </w:rPr>
            </w:pPr>
            <w:r>
              <w:rPr>
                <w:rFonts w:cs="Arial"/>
                <w:szCs w:val="18"/>
              </w:rPr>
              <w:t>InfluenceOnTrafficRouting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AfSfcRequirement</w:t>
            </w:r>
          </w:p>
        </w:tc>
        <w:tc>
          <w:tcPr>
            <w:tcW w:w="1578" w:type="dxa"/>
            <w:noWrap w:val="0"/>
            <w:vAlign w:val="top"/>
          </w:tcPr>
          <w:p>
            <w:pPr>
              <w:pStyle w:val="100"/>
            </w:pPr>
            <w:r>
              <w:t>5.6.2.49</w:t>
            </w:r>
          </w:p>
        </w:tc>
        <w:tc>
          <w:tcPr>
            <w:tcW w:w="4052" w:type="dxa"/>
            <w:noWrap w:val="0"/>
            <w:vAlign w:val="top"/>
          </w:tcPr>
          <w:p>
            <w:pPr>
              <w:pStyle w:val="100"/>
            </w:pPr>
            <w:r>
              <w:rPr>
                <w:rFonts w:cs="Arial"/>
                <w:szCs w:val="18"/>
              </w:rPr>
              <w:t xml:space="preserve">Describes the requirements to steer the </w:t>
            </w:r>
            <w:r>
              <w:t>traffic to a pre-configured chain of service functions on N6-LAN.</w:t>
            </w:r>
          </w:p>
        </w:tc>
        <w:tc>
          <w:tcPr>
            <w:tcW w:w="1750" w:type="dxa"/>
            <w:noWrap w:val="0"/>
            <w:vAlign w:val="top"/>
          </w:tcPr>
          <w:p>
            <w:pPr>
              <w:pStyle w:val="100"/>
              <w:rPr>
                <w:rFonts w:cs="Arial"/>
                <w:szCs w:val="18"/>
              </w:rPr>
            </w:pPr>
            <w:r>
              <w:rPr>
                <w:rFonts w:cs="Arial"/>
                <w:szCs w:val="18"/>
              </w:rPr>
              <w:t>SFC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AlternativeServiceRequirementsData</w:t>
            </w:r>
          </w:p>
        </w:tc>
        <w:tc>
          <w:tcPr>
            <w:tcW w:w="1578" w:type="dxa"/>
            <w:noWrap w:val="0"/>
            <w:vAlign w:val="top"/>
          </w:tcPr>
          <w:p>
            <w:pPr>
              <w:pStyle w:val="100"/>
            </w:pPr>
            <w:r>
              <w:t>5.6.2.47</w:t>
            </w:r>
          </w:p>
        </w:tc>
        <w:tc>
          <w:tcPr>
            <w:tcW w:w="4052" w:type="dxa"/>
            <w:noWrap w:val="0"/>
            <w:vAlign w:val="top"/>
          </w:tcPr>
          <w:p>
            <w:pPr>
              <w:pStyle w:val="100"/>
            </w:pPr>
            <w:r>
              <w:t>Contains alternative QoS related parameter sets.</w:t>
            </w:r>
          </w:p>
        </w:tc>
        <w:tc>
          <w:tcPr>
            <w:tcW w:w="1750" w:type="dxa"/>
            <w:noWrap w:val="0"/>
            <w:vAlign w:val="top"/>
          </w:tcPr>
          <w:p>
            <w:pPr>
              <w:pStyle w:val="100"/>
              <w:rPr>
                <w:rFonts w:cs="Arial"/>
                <w:szCs w:val="18"/>
              </w:rPr>
            </w:pPr>
            <w:r>
              <w:rPr>
                <w:rFonts w:eastAsia="Times New Roman"/>
                <w:lang w:val="en-US"/>
              </w:rPr>
              <w:t>AltSerReqsWithIndQoS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AnGwAddress</w:t>
            </w:r>
          </w:p>
        </w:tc>
        <w:tc>
          <w:tcPr>
            <w:tcW w:w="1578" w:type="dxa"/>
            <w:noWrap w:val="0"/>
            <w:vAlign w:val="top"/>
          </w:tcPr>
          <w:p>
            <w:pPr>
              <w:pStyle w:val="100"/>
            </w:pPr>
            <w:r>
              <w:t>5.6.2.20</w:t>
            </w:r>
          </w:p>
        </w:tc>
        <w:tc>
          <w:tcPr>
            <w:tcW w:w="4052" w:type="dxa"/>
            <w:noWrap w:val="0"/>
            <w:vAlign w:val="top"/>
          </w:tcPr>
          <w:p>
            <w:pPr>
              <w:pStyle w:val="100"/>
              <w:rPr>
                <w:rFonts w:cs="Arial"/>
                <w:szCs w:val="18"/>
              </w:rPr>
            </w:pPr>
            <w:r>
              <w:rPr>
                <w:rFonts w:cs="Arial"/>
                <w:szCs w:val="18"/>
              </w:rPr>
              <w:t>Carries the control plane address of the access network gateway.</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AppDetectionReport</w:t>
            </w:r>
          </w:p>
        </w:tc>
        <w:tc>
          <w:tcPr>
            <w:tcW w:w="1578" w:type="dxa"/>
            <w:noWrap w:val="0"/>
            <w:vAlign w:val="top"/>
          </w:tcPr>
          <w:p>
            <w:pPr>
              <w:pStyle w:val="100"/>
            </w:pPr>
            <w:r>
              <w:t>5.6.2.44</w:t>
            </w:r>
          </w:p>
        </w:tc>
        <w:tc>
          <w:tcPr>
            <w:tcW w:w="4052" w:type="dxa"/>
            <w:noWrap w:val="0"/>
            <w:vAlign w:val="top"/>
          </w:tcPr>
          <w:p>
            <w:pPr>
              <w:pStyle w:val="100"/>
              <w:rPr>
                <w:rFonts w:cs="Arial"/>
                <w:szCs w:val="18"/>
              </w:rPr>
            </w:pPr>
            <w:r>
              <w:rPr>
                <w:rFonts w:cs="Arial"/>
                <w:szCs w:val="18"/>
              </w:rPr>
              <w:t>Indicates the start or stop of the detected application traffic and the detected AF application identifier.</w:t>
            </w:r>
          </w:p>
        </w:tc>
        <w:tc>
          <w:tcPr>
            <w:tcW w:w="1750" w:type="dxa"/>
            <w:noWrap w:val="0"/>
            <w:vAlign w:val="top"/>
          </w:tcPr>
          <w:p>
            <w:pPr>
              <w:pStyle w:val="100"/>
              <w:rPr>
                <w:rFonts w:cs="Arial"/>
                <w:szCs w:val="18"/>
              </w:rPr>
            </w:pPr>
            <w:r>
              <w:rPr>
                <w:rFonts w:cs="Arial"/>
                <w:szCs w:val="18"/>
              </w:rPr>
              <w:t>A</w:t>
            </w:r>
            <w:r>
              <w:rPr>
                <w:lang w:eastAsia="fr-FR"/>
              </w:rPr>
              <w:t>pplicationDetectionEvents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AppDetectionNotifType</w:t>
            </w:r>
          </w:p>
        </w:tc>
        <w:tc>
          <w:tcPr>
            <w:tcW w:w="1578" w:type="dxa"/>
            <w:noWrap w:val="0"/>
            <w:vAlign w:val="top"/>
          </w:tcPr>
          <w:p>
            <w:pPr>
              <w:pStyle w:val="100"/>
            </w:pPr>
            <w:r>
              <w:t>5.6.3.23</w:t>
            </w:r>
          </w:p>
        </w:tc>
        <w:tc>
          <w:tcPr>
            <w:tcW w:w="4052" w:type="dxa"/>
            <w:noWrap w:val="0"/>
            <w:vAlign w:val="top"/>
          </w:tcPr>
          <w:p>
            <w:pPr>
              <w:pStyle w:val="100"/>
              <w:rPr>
                <w:rFonts w:cs="Arial"/>
                <w:szCs w:val="18"/>
              </w:rPr>
            </w:pPr>
            <w:r>
              <w:t>Represents the types of reports bound to the notification of application detection information.</w:t>
            </w:r>
          </w:p>
        </w:tc>
        <w:tc>
          <w:tcPr>
            <w:tcW w:w="1750" w:type="dxa"/>
            <w:noWrap w:val="0"/>
            <w:vAlign w:val="top"/>
          </w:tcPr>
          <w:p>
            <w:pPr>
              <w:pStyle w:val="100"/>
              <w:rPr>
                <w:rFonts w:cs="Arial"/>
                <w:szCs w:val="18"/>
              </w:rPr>
            </w:pPr>
            <w:r>
              <w:rPr>
                <w:rFonts w:cs="Arial"/>
                <w:szCs w:val="18"/>
              </w:rPr>
              <w:t>A</w:t>
            </w:r>
            <w:r>
              <w:rPr>
                <w:lang w:eastAsia="fr-FR"/>
              </w:rPr>
              <w:t>pplicationDetectionEvents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AppSessionContext</w:t>
            </w:r>
          </w:p>
        </w:tc>
        <w:tc>
          <w:tcPr>
            <w:tcW w:w="1578" w:type="dxa"/>
            <w:noWrap w:val="0"/>
            <w:vAlign w:val="top"/>
          </w:tcPr>
          <w:p>
            <w:pPr>
              <w:pStyle w:val="100"/>
            </w:pPr>
            <w:r>
              <w:t>5.6.2.2</w:t>
            </w:r>
          </w:p>
        </w:tc>
        <w:tc>
          <w:tcPr>
            <w:tcW w:w="4052" w:type="dxa"/>
            <w:noWrap w:val="0"/>
            <w:vAlign w:val="top"/>
          </w:tcPr>
          <w:p>
            <w:pPr>
              <w:pStyle w:val="100"/>
              <w:rPr>
                <w:rFonts w:cs="Arial"/>
                <w:szCs w:val="18"/>
              </w:rPr>
            </w:pPr>
            <w:r>
              <w:rPr>
                <w:rFonts w:cs="Arial"/>
                <w:szCs w:val="18"/>
              </w:rPr>
              <w:t>Represents an Individual Application Session Context resource.</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AppSessionContextReqData</w:t>
            </w:r>
          </w:p>
        </w:tc>
        <w:tc>
          <w:tcPr>
            <w:tcW w:w="1578" w:type="dxa"/>
            <w:noWrap w:val="0"/>
            <w:vAlign w:val="top"/>
          </w:tcPr>
          <w:p>
            <w:pPr>
              <w:pStyle w:val="100"/>
            </w:pPr>
            <w:r>
              <w:t>5.6.2.3</w:t>
            </w:r>
          </w:p>
        </w:tc>
        <w:tc>
          <w:tcPr>
            <w:tcW w:w="4052" w:type="dxa"/>
            <w:noWrap w:val="0"/>
            <w:vAlign w:val="top"/>
          </w:tcPr>
          <w:p>
            <w:pPr>
              <w:pStyle w:val="100"/>
              <w:rPr>
                <w:rFonts w:cs="Arial"/>
                <w:szCs w:val="18"/>
              </w:rPr>
            </w:pPr>
            <w:r>
              <w:rPr>
                <w:rFonts w:cs="Arial"/>
                <w:szCs w:val="18"/>
              </w:rPr>
              <w:t>Represents the Individual Application Session Context resource data received in an HTTP POST request message.</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AppSessionContextRespData</w:t>
            </w:r>
          </w:p>
        </w:tc>
        <w:tc>
          <w:tcPr>
            <w:tcW w:w="1578" w:type="dxa"/>
            <w:noWrap w:val="0"/>
            <w:vAlign w:val="top"/>
          </w:tcPr>
          <w:p>
            <w:pPr>
              <w:pStyle w:val="100"/>
            </w:pPr>
            <w:r>
              <w:t>5.6.2.4</w:t>
            </w:r>
          </w:p>
        </w:tc>
        <w:tc>
          <w:tcPr>
            <w:tcW w:w="4052" w:type="dxa"/>
            <w:noWrap w:val="0"/>
            <w:vAlign w:val="top"/>
          </w:tcPr>
          <w:p>
            <w:pPr>
              <w:pStyle w:val="100"/>
              <w:rPr>
                <w:rFonts w:cs="Arial"/>
                <w:szCs w:val="18"/>
              </w:rPr>
            </w:pPr>
            <w:r>
              <w:rPr>
                <w:rFonts w:cs="Arial"/>
                <w:szCs w:val="18"/>
              </w:rPr>
              <w:t>Represents the Individual Application Session Context resource data produced by the server and returned in an HTTP response message.</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AppSessionContextUpdateData</w:t>
            </w:r>
          </w:p>
        </w:tc>
        <w:tc>
          <w:tcPr>
            <w:tcW w:w="1578" w:type="dxa"/>
            <w:noWrap w:val="0"/>
            <w:vAlign w:val="top"/>
          </w:tcPr>
          <w:p>
            <w:pPr>
              <w:pStyle w:val="100"/>
            </w:pPr>
            <w:r>
              <w:t>5.6.2.5</w:t>
            </w:r>
          </w:p>
        </w:tc>
        <w:tc>
          <w:tcPr>
            <w:tcW w:w="4052" w:type="dxa"/>
            <w:noWrap w:val="0"/>
            <w:vAlign w:val="top"/>
          </w:tcPr>
          <w:p>
            <w:pPr>
              <w:pStyle w:val="100"/>
              <w:rPr>
                <w:rFonts w:cs="Arial"/>
                <w:szCs w:val="18"/>
              </w:rPr>
            </w:pPr>
            <w:r>
              <w:rPr>
                <w:rFonts w:cs="Arial"/>
                <w:szCs w:val="18"/>
              </w:rPr>
              <w:t xml:space="preserve">Describes the modifications to the </w:t>
            </w:r>
            <w:r>
              <w:t xml:space="preserve">"ascReqData" property of </w:t>
            </w:r>
            <w:r>
              <w:rPr>
                <w:rFonts w:cs="Arial"/>
                <w:szCs w:val="18"/>
              </w:rPr>
              <w:t>an Individual Application Session Context resource.</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AppSessionContextUpdateDataPatch</w:t>
            </w:r>
          </w:p>
        </w:tc>
        <w:tc>
          <w:tcPr>
            <w:tcW w:w="1578" w:type="dxa"/>
            <w:noWrap w:val="0"/>
            <w:vAlign w:val="top"/>
          </w:tcPr>
          <w:p>
            <w:pPr>
              <w:pStyle w:val="100"/>
            </w:pPr>
            <w:r>
              <w:t>5.6.2.43</w:t>
            </w:r>
          </w:p>
        </w:tc>
        <w:tc>
          <w:tcPr>
            <w:tcW w:w="4052" w:type="dxa"/>
            <w:noWrap w:val="0"/>
            <w:vAlign w:val="top"/>
          </w:tcPr>
          <w:p>
            <w:pPr>
              <w:pStyle w:val="100"/>
              <w:rPr>
                <w:rFonts w:cs="Arial"/>
                <w:szCs w:val="18"/>
                <w:lang w:eastAsia="fr-FR"/>
              </w:rPr>
            </w:pPr>
            <w:r>
              <w:rPr>
                <w:rFonts w:cs="Arial"/>
                <w:szCs w:val="18"/>
                <w:lang w:eastAsia="fr-FR"/>
              </w:rPr>
              <w:t>Describes the modifications to an Individual Application Session Context resource</w:t>
            </w:r>
          </w:p>
        </w:tc>
        <w:tc>
          <w:tcPr>
            <w:tcW w:w="1750" w:type="dxa"/>
            <w:noWrap w:val="0"/>
            <w:vAlign w:val="top"/>
          </w:tcPr>
          <w:p>
            <w:pPr>
              <w:pStyle w:val="100"/>
              <w:rPr>
                <w:rFonts w:cs="Arial"/>
                <w:szCs w:val="18"/>
              </w:rPr>
            </w:pPr>
            <w:r>
              <w:rPr>
                <w:rFonts w:cs="Arial"/>
                <w:szCs w:val="18"/>
              </w:rPr>
              <w:t>PatchCorrection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AspId</w:t>
            </w:r>
          </w:p>
        </w:tc>
        <w:tc>
          <w:tcPr>
            <w:tcW w:w="1578" w:type="dxa"/>
            <w:noWrap w:val="0"/>
            <w:vAlign w:val="top"/>
          </w:tcPr>
          <w:p>
            <w:pPr>
              <w:pStyle w:val="100"/>
            </w:pPr>
            <w:r>
              <w:t>5.6.3.2</w:t>
            </w:r>
          </w:p>
        </w:tc>
        <w:tc>
          <w:tcPr>
            <w:tcW w:w="4052" w:type="dxa"/>
            <w:noWrap w:val="0"/>
            <w:vAlign w:val="top"/>
          </w:tcPr>
          <w:p>
            <w:pPr>
              <w:pStyle w:val="100"/>
              <w:rPr>
                <w:rFonts w:cs="Arial"/>
                <w:szCs w:val="18"/>
              </w:rPr>
            </w:pPr>
            <w:r>
              <w:t>Contains an identity of an application service provider.</w:t>
            </w:r>
          </w:p>
        </w:tc>
        <w:tc>
          <w:tcPr>
            <w:tcW w:w="1750" w:type="dxa"/>
            <w:noWrap w:val="0"/>
            <w:vAlign w:val="top"/>
          </w:tcPr>
          <w:p>
            <w:pPr>
              <w:pStyle w:val="100"/>
              <w:rPr>
                <w:rFonts w:cs="Arial"/>
                <w:szCs w:val="18"/>
              </w:rPr>
            </w:pPr>
            <w:r>
              <w:t>SponsoredConnectivity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CodecData</w:t>
            </w:r>
          </w:p>
        </w:tc>
        <w:tc>
          <w:tcPr>
            <w:tcW w:w="1578" w:type="dxa"/>
            <w:noWrap w:val="0"/>
            <w:vAlign w:val="top"/>
          </w:tcPr>
          <w:p>
            <w:pPr>
              <w:pStyle w:val="100"/>
            </w:pPr>
            <w:r>
              <w:t>5.6.3.2</w:t>
            </w:r>
          </w:p>
        </w:tc>
        <w:tc>
          <w:tcPr>
            <w:tcW w:w="4052" w:type="dxa"/>
            <w:noWrap w:val="0"/>
            <w:vAlign w:val="top"/>
          </w:tcPr>
          <w:p>
            <w:pPr>
              <w:pStyle w:val="100"/>
              <w:rPr>
                <w:rFonts w:cs="Arial"/>
                <w:szCs w:val="18"/>
              </w:rPr>
            </w:pPr>
            <w:r>
              <w:t>Contains a codec related information.</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ContentVersion</w:t>
            </w:r>
          </w:p>
        </w:tc>
        <w:tc>
          <w:tcPr>
            <w:tcW w:w="1578" w:type="dxa"/>
            <w:noWrap w:val="0"/>
            <w:vAlign w:val="top"/>
          </w:tcPr>
          <w:p>
            <w:pPr>
              <w:pStyle w:val="100"/>
            </w:pPr>
            <w:r>
              <w:t>5.6.3.2</w:t>
            </w:r>
          </w:p>
        </w:tc>
        <w:tc>
          <w:tcPr>
            <w:tcW w:w="4052" w:type="dxa"/>
            <w:noWrap w:val="0"/>
            <w:vAlign w:val="top"/>
          </w:tcPr>
          <w:p>
            <w:pPr>
              <w:pStyle w:val="100"/>
              <w:rPr>
                <w:rFonts w:cs="Arial"/>
                <w:szCs w:val="18"/>
              </w:rPr>
            </w:pPr>
            <w:r>
              <w:rPr>
                <w:rFonts w:cs="Arial"/>
                <w:szCs w:val="18"/>
              </w:rPr>
              <w:t>Represents the version of a media component.</w:t>
            </w:r>
          </w:p>
        </w:tc>
        <w:tc>
          <w:tcPr>
            <w:tcW w:w="1750" w:type="dxa"/>
            <w:noWrap w:val="0"/>
            <w:vAlign w:val="top"/>
          </w:tcPr>
          <w:p>
            <w:pPr>
              <w:pStyle w:val="100"/>
              <w:rPr>
                <w:rFonts w:cs="Arial"/>
                <w:szCs w:val="18"/>
              </w:rPr>
            </w:pPr>
            <w:r>
              <w:rPr>
                <w:rFonts w:cs="Arial"/>
                <w:szCs w:val="18"/>
              </w:rPr>
              <w:t>MediaComponentVersioning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EthFlowDescription</w:t>
            </w:r>
          </w:p>
        </w:tc>
        <w:tc>
          <w:tcPr>
            <w:tcW w:w="1578" w:type="dxa"/>
            <w:noWrap w:val="0"/>
            <w:vAlign w:val="top"/>
          </w:tcPr>
          <w:p>
            <w:pPr>
              <w:pStyle w:val="100"/>
            </w:pPr>
            <w:r>
              <w:t>5.6.2.17</w:t>
            </w:r>
          </w:p>
        </w:tc>
        <w:tc>
          <w:tcPr>
            <w:tcW w:w="4052" w:type="dxa"/>
            <w:noWrap w:val="0"/>
            <w:vAlign w:val="top"/>
          </w:tcPr>
          <w:p>
            <w:pPr>
              <w:pStyle w:val="100"/>
              <w:rPr>
                <w:rFonts w:cs="Arial"/>
                <w:szCs w:val="18"/>
              </w:rPr>
            </w:pPr>
            <w:r>
              <w:rPr>
                <w:rFonts w:cs="Arial"/>
                <w:szCs w:val="18"/>
              </w:rPr>
              <w:t>Defines a packet filter for an Ethernet flow.</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EventsNotification</w:t>
            </w:r>
          </w:p>
        </w:tc>
        <w:tc>
          <w:tcPr>
            <w:tcW w:w="1578" w:type="dxa"/>
            <w:noWrap w:val="0"/>
            <w:vAlign w:val="top"/>
          </w:tcPr>
          <w:p>
            <w:pPr>
              <w:pStyle w:val="100"/>
            </w:pPr>
            <w:r>
              <w:t>5.6.2.9</w:t>
            </w:r>
          </w:p>
        </w:tc>
        <w:tc>
          <w:tcPr>
            <w:tcW w:w="4052" w:type="dxa"/>
            <w:noWrap w:val="0"/>
            <w:vAlign w:val="top"/>
          </w:tcPr>
          <w:p>
            <w:pPr>
              <w:pStyle w:val="100"/>
              <w:rPr>
                <w:rFonts w:cs="Arial"/>
                <w:szCs w:val="18"/>
              </w:rPr>
            </w:pPr>
            <w:r>
              <w:rPr>
                <w:rFonts w:cs="Arial"/>
                <w:szCs w:val="18"/>
              </w:rPr>
              <w:t>Describes the notification about the events occurred within an Individual Application Session Context resource.</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EventsSubscPutData</w:t>
            </w:r>
          </w:p>
        </w:tc>
        <w:tc>
          <w:tcPr>
            <w:tcW w:w="1578" w:type="dxa"/>
            <w:noWrap w:val="0"/>
            <w:vAlign w:val="top"/>
          </w:tcPr>
          <w:p>
            <w:pPr>
              <w:pStyle w:val="100"/>
            </w:pPr>
            <w:r>
              <w:t>5.6.2.42</w:t>
            </w:r>
          </w:p>
        </w:tc>
        <w:tc>
          <w:tcPr>
            <w:tcW w:w="4052" w:type="dxa"/>
            <w:noWrap w:val="0"/>
            <w:vAlign w:val="top"/>
          </w:tcPr>
          <w:p>
            <w:pPr>
              <w:pStyle w:val="100"/>
              <w:rPr>
                <w:rFonts w:cs="Arial"/>
                <w:szCs w:val="18"/>
              </w:rPr>
            </w:pPr>
            <w:bookmarkStart w:id="70" w:name="_Hlk29892632"/>
            <w:r>
              <w:rPr>
                <w:rFonts w:cs="Arial"/>
                <w:szCs w:val="18"/>
              </w:rPr>
              <w:t>Identifies the events the application subscribes to within an Events Subscription sub-resource data</w:t>
            </w:r>
            <w:bookmarkEnd w:id="70"/>
            <w:r>
              <w:rPr>
                <w:rFonts w:cs="Arial"/>
                <w:szCs w:val="18"/>
              </w:rPr>
              <w:t xml:space="preserve">. It may also include the attributes of the notification about the events already met at the time of subscription. </w:t>
            </w:r>
          </w:p>
          <w:p>
            <w:pPr>
              <w:pStyle w:val="100"/>
              <w:rPr>
                <w:rFonts w:cs="Arial"/>
                <w:szCs w:val="18"/>
              </w:rPr>
            </w:pPr>
            <w:r>
              <w:rPr>
                <w:rFonts w:cs="Arial"/>
                <w:szCs w:val="18"/>
              </w:rPr>
              <w:t>It is represented as a non-exclusive list of two data types: EventsSubscReqData and EventsNotification.</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EventsSubscReqData</w:t>
            </w:r>
          </w:p>
        </w:tc>
        <w:tc>
          <w:tcPr>
            <w:tcW w:w="1578" w:type="dxa"/>
            <w:noWrap w:val="0"/>
            <w:vAlign w:val="top"/>
          </w:tcPr>
          <w:p>
            <w:pPr>
              <w:pStyle w:val="100"/>
            </w:pPr>
            <w:r>
              <w:t>5.6.2.6</w:t>
            </w:r>
          </w:p>
        </w:tc>
        <w:tc>
          <w:tcPr>
            <w:tcW w:w="4052" w:type="dxa"/>
            <w:noWrap w:val="0"/>
            <w:vAlign w:val="top"/>
          </w:tcPr>
          <w:p>
            <w:pPr>
              <w:pStyle w:val="100"/>
              <w:rPr>
                <w:rFonts w:cs="Arial"/>
                <w:szCs w:val="18"/>
              </w:rPr>
            </w:pPr>
            <w:r>
              <w:rPr>
                <w:rFonts w:cs="Arial"/>
                <w:szCs w:val="18"/>
              </w:rPr>
              <w:t>Identifies the events the application subscribes to within an Individual Application Session Context resource.</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EventsSubscReqDataRm</w:t>
            </w:r>
          </w:p>
        </w:tc>
        <w:tc>
          <w:tcPr>
            <w:tcW w:w="1578" w:type="dxa"/>
            <w:noWrap w:val="0"/>
            <w:vAlign w:val="top"/>
          </w:tcPr>
          <w:p>
            <w:pPr>
              <w:pStyle w:val="100"/>
            </w:pPr>
            <w:r>
              <w:t>5.6.2. 25</w:t>
            </w:r>
          </w:p>
        </w:tc>
        <w:tc>
          <w:tcPr>
            <w:tcW w:w="4052" w:type="dxa"/>
            <w:noWrap w:val="0"/>
            <w:vAlign w:val="top"/>
          </w:tcPr>
          <w:p>
            <w:pPr>
              <w:pStyle w:val="100"/>
              <w:rPr>
                <w:rFonts w:cs="Arial"/>
                <w:szCs w:val="18"/>
              </w:rPr>
            </w:pPr>
            <w:r>
              <w:t>This data type is defined in the same way as the "EventsSubscReqData" data type, but with the OpenAPI "nullable: true" property.</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ExtendedProblemDetails</w:t>
            </w:r>
          </w:p>
        </w:tc>
        <w:tc>
          <w:tcPr>
            <w:tcW w:w="1578" w:type="dxa"/>
            <w:noWrap w:val="0"/>
            <w:vAlign w:val="top"/>
          </w:tcPr>
          <w:p>
            <w:pPr>
              <w:pStyle w:val="100"/>
            </w:pPr>
            <w:r>
              <w:t>5.6.2.29</w:t>
            </w:r>
          </w:p>
        </w:tc>
        <w:tc>
          <w:tcPr>
            <w:tcW w:w="4052" w:type="dxa"/>
            <w:noWrap w:val="0"/>
            <w:vAlign w:val="top"/>
          </w:tcPr>
          <w:p>
            <w:pPr>
              <w:pStyle w:val="100"/>
              <w:rPr>
                <w:rFonts w:cs="Arial"/>
                <w:szCs w:val="18"/>
              </w:rPr>
            </w:pPr>
            <w:r>
              <w:rPr>
                <w:rFonts w:cs="Arial"/>
                <w:szCs w:val="18"/>
              </w:rPr>
              <w:t>Data type that extends ProblemDetails.</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FlowDescription</w:t>
            </w:r>
          </w:p>
        </w:tc>
        <w:tc>
          <w:tcPr>
            <w:tcW w:w="1578" w:type="dxa"/>
            <w:noWrap w:val="0"/>
            <w:vAlign w:val="top"/>
          </w:tcPr>
          <w:p>
            <w:pPr>
              <w:pStyle w:val="100"/>
            </w:pPr>
            <w:r>
              <w:t>5.6.3.2</w:t>
            </w:r>
          </w:p>
        </w:tc>
        <w:tc>
          <w:tcPr>
            <w:tcW w:w="4052" w:type="dxa"/>
            <w:noWrap w:val="0"/>
            <w:vAlign w:val="top"/>
          </w:tcPr>
          <w:p>
            <w:pPr>
              <w:pStyle w:val="100"/>
              <w:rPr>
                <w:rFonts w:cs="Arial"/>
                <w:szCs w:val="18"/>
              </w:rPr>
            </w:pPr>
            <w:r>
              <w:rPr>
                <w:rFonts w:cs="Arial"/>
                <w:szCs w:val="18"/>
              </w:rPr>
              <w:t>Defines a packet filter for an IP flow.</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Flows</w:t>
            </w:r>
          </w:p>
        </w:tc>
        <w:tc>
          <w:tcPr>
            <w:tcW w:w="1578" w:type="dxa"/>
            <w:noWrap w:val="0"/>
            <w:vAlign w:val="top"/>
          </w:tcPr>
          <w:p>
            <w:pPr>
              <w:pStyle w:val="100"/>
            </w:pPr>
            <w:r>
              <w:t>5.6.2.21</w:t>
            </w:r>
          </w:p>
        </w:tc>
        <w:tc>
          <w:tcPr>
            <w:tcW w:w="4052" w:type="dxa"/>
            <w:noWrap w:val="0"/>
            <w:vAlign w:val="top"/>
          </w:tcPr>
          <w:p>
            <w:pPr>
              <w:pStyle w:val="100"/>
              <w:rPr>
                <w:rFonts w:cs="Arial"/>
                <w:szCs w:val="18"/>
              </w:rPr>
            </w:pPr>
            <w:r>
              <w:rPr>
                <w:rFonts w:cs="Arial"/>
                <w:szCs w:val="18"/>
              </w:rPr>
              <w:t>Identifies the flows related to a media component.</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rPr>
                <w:lang w:eastAsia="zh-CN"/>
              </w:rPr>
              <w:t>FlowStatus</w:t>
            </w:r>
          </w:p>
        </w:tc>
        <w:tc>
          <w:tcPr>
            <w:tcW w:w="1578" w:type="dxa"/>
            <w:noWrap w:val="0"/>
            <w:vAlign w:val="top"/>
          </w:tcPr>
          <w:p>
            <w:pPr>
              <w:pStyle w:val="100"/>
            </w:pPr>
            <w:r>
              <w:rPr>
                <w:lang w:eastAsia="zh-CN"/>
              </w:rPr>
              <w:t>5.6.3.12</w:t>
            </w:r>
          </w:p>
        </w:tc>
        <w:tc>
          <w:tcPr>
            <w:tcW w:w="4052" w:type="dxa"/>
            <w:noWrap w:val="0"/>
            <w:vAlign w:val="top"/>
          </w:tcPr>
          <w:p>
            <w:pPr>
              <w:pStyle w:val="100"/>
              <w:rPr>
                <w:rFonts w:cs="Arial"/>
                <w:szCs w:val="18"/>
              </w:rPr>
            </w:pPr>
            <w:r>
              <w:t>Describes whether the IP flow(s) are enabled or disabled.</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rPr>
                <w:lang w:eastAsia="zh-CN"/>
              </w:rPr>
            </w:pPr>
            <w:r>
              <w:t>FlowUsage</w:t>
            </w:r>
          </w:p>
        </w:tc>
        <w:tc>
          <w:tcPr>
            <w:tcW w:w="1578" w:type="dxa"/>
            <w:noWrap w:val="0"/>
            <w:vAlign w:val="top"/>
          </w:tcPr>
          <w:p>
            <w:pPr>
              <w:pStyle w:val="100"/>
              <w:rPr>
                <w:lang w:eastAsia="zh-CN"/>
              </w:rPr>
            </w:pPr>
            <w:r>
              <w:t>5.6.3.14</w:t>
            </w:r>
          </w:p>
        </w:tc>
        <w:tc>
          <w:tcPr>
            <w:tcW w:w="4052" w:type="dxa"/>
            <w:noWrap w:val="0"/>
            <w:vAlign w:val="top"/>
          </w:tcPr>
          <w:p>
            <w:pPr>
              <w:pStyle w:val="100"/>
            </w:pPr>
            <w:r>
              <w:rPr>
                <w:rFonts w:cs="Arial"/>
                <w:szCs w:val="18"/>
              </w:rPr>
              <w:t>Describes the flow usage of the flows described by a media subcomponent.</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MediaComponent</w:t>
            </w:r>
          </w:p>
        </w:tc>
        <w:tc>
          <w:tcPr>
            <w:tcW w:w="1578" w:type="dxa"/>
            <w:noWrap w:val="0"/>
            <w:vAlign w:val="top"/>
          </w:tcPr>
          <w:p>
            <w:pPr>
              <w:pStyle w:val="100"/>
            </w:pPr>
            <w:r>
              <w:t>5.6.2.7</w:t>
            </w:r>
          </w:p>
        </w:tc>
        <w:tc>
          <w:tcPr>
            <w:tcW w:w="4052" w:type="dxa"/>
            <w:noWrap w:val="0"/>
            <w:vAlign w:val="top"/>
          </w:tcPr>
          <w:p>
            <w:pPr>
              <w:pStyle w:val="100"/>
              <w:rPr>
                <w:rFonts w:cs="Arial"/>
                <w:szCs w:val="18"/>
              </w:rPr>
            </w:pPr>
            <w:r>
              <w:rPr>
                <w:rFonts w:cs="Arial"/>
                <w:szCs w:val="18"/>
              </w:rPr>
              <w:t>Contains service information for a media component of an AF session.</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MediaComponentRm</w:t>
            </w:r>
          </w:p>
        </w:tc>
        <w:tc>
          <w:tcPr>
            <w:tcW w:w="1578" w:type="dxa"/>
            <w:noWrap w:val="0"/>
            <w:vAlign w:val="top"/>
          </w:tcPr>
          <w:p>
            <w:pPr>
              <w:pStyle w:val="100"/>
            </w:pPr>
            <w:r>
              <w:t>5.6.2.26</w:t>
            </w:r>
          </w:p>
        </w:tc>
        <w:tc>
          <w:tcPr>
            <w:tcW w:w="4052" w:type="dxa"/>
            <w:noWrap w:val="0"/>
            <w:vAlign w:val="top"/>
          </w:tcPr>
          <w:p>
            <w:pPr>
              <w:pStyle w:val="100"/>
              <w:rPr>
                <w:rFonts w:cs="Arial"/>
                <w:szCs w:val="18"/>
              </w:rPr>
            </w:pPr>
            <w:r>
              <w:t>This data type is defined in the same way as the "MediaComponent" data type, but with the OpenAPI "nullable: true" property.</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MediaComponentResourcesStatus</w:t>
            </w:r>
          </w:p>
        </w:tc>
        <w:tc>
          <w:tcPr>
            <w:tcW w:w="1578" w:type="dxa"/>
            <w:noWrap w:val="0"/>
            <w:vAlign w:val="top"/>
          </w:tcPr>
          <w:p>
            <w:pPr>
              <w:pStyle w:val="100"/>
            </w:pPr>
            <w:r>
              <w:t>5.6.3.13</w:t>
            </w:r>
          </w:p>
        </w:tc>
        <w:tc>
          <w:tcPr>
            <w:tcW w:w="4052" w:type="dxa"/>
            <w:noWrap w:val="0"/>
            <w:vAlign w:val="top"/>
          </w:tcPr>
          <w:p>
            <w:pPr>
              <w:pStyle w:val="100"/>
              <w:rPr>
                <w:rFonts w:cs="Arial"/>
                <w:szCs w:val="18"/>
              </w:rPr>
            </w:pPr>
            <w:r>
              <w:rPr>
                <w:rFonts w:cs="Arial"/>
                <w:szCs w:val="18"/>
              </w:rPr>
              <w:t>Indicates whether the media component is active or inactive.</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MediaSubComponent</w:t>
            </w:r>
          </w:p>
        </w:tc>
        <w:tc>
          <w:tcPr>
            <w:tcW w:w="1578" w:type="dxa"/>
            <w:noWrap w:val="0"/>
            <w:vAlign w:val="top"/>
          </w:tcPr>
          <w:p>
            <w:pPr>
              <w:pStyle w:val="100"/>
            </w:pPr>
            <w:r>
              <w:t>5.6.2.8</w:t>
            </w:r>
          </w:p>
        </w:tc>
        <w:tc>
          <w:tcPr>
            <w:tcW w:w="4052" w:type="dxa"/>
            <w:noWrap w:val="0"/>
            <w:vAlign w:val="top"/>
          </w:tcPr>
          <w:p>
            <w:pPr>
              <w:pStyle w:val="100"/>
              <w:rPr>
                <w:rFonts w:cs="Arial"/>
                <w:szCs w:val="18"/>
              </w:rPr>
            </w:pPr>
            <w:r>
              <w:rPr>
                <w:rFonts w:cs="Arial"/>
                <w:szCs w:val="18"/>
              </w:rPr>
              <w:t>Contains the requested bitrate and filters for the set of IP flows identified by their common flow identifier.</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rPr>
                <w:color w:val="auto"/>
              </w:rPr>
            </w:pPr>
            <w:r>
              <w:rPr>
                <w:color w:val="auto"/>
              </w:rPr>
              <w:t>MediaSubComponentRm</w:t>
            </w:r>
          </w:p>
        </w:tc>
        <w:tc>
          <w:tcPr>
            <w:tcW w:w="1578" w:type="dxa"/>
            <w:noWrap w:val="0"/>
            <w:vAlign w:val="top"/>
          </w:tcPr>
          <w:p>
            <w:pPr>
              <w:pStyle w:val="100"/>
              <w:rPr>
                <w:color w:val="auto"/>
              </w:rPr>
            </w:pPr>
            <w:r>
              <w:rPr>
                <w:color w:val="auto"/>
              </w:rPr>
              <w:t>5.6.2.27</w:t>
            </w:r>
          </w:p>
        </w:tc>
        <w:tc>
          <w:tcPr>
            <w:tcW w:w="4052" w:type="dxa"/>
            <w:noWrap w:val="0"/>
            <w:vAlign w:val="top"/>
          </w:tcPr>
          <w:p>
            <w:pPr>
              <w:pStyle w:val="100"/>
              <w:rPr>
                <w:rFonts w:cs="Arial"/>
                <w:color w:val="auto"/>
                <w:szCs w:val="18"/>
              </w:rPr>
            </w:pPr>
            <w:r>
              <w:rPr>
                <w:color w:val="auto"/>
              </w:rPr>
              <w:t>This data type is defined in the same way as the "MediaSubComponent" data type, but with the OpenAPI "nullable: true" property.</w:t>
            </w:r>
          </w:p>
        </w:tc>
        <w:tc>
          <w:tcPr>
            <w:tcW w:w="1750" w:type="dxa"/>
            <w:noWrap w:val="0"/>
            <w:vAlign w:val="top"/>
          </w:tcPr>
          <w:p>
            <w:pPr>
              <w:pStyle w:val="100"/>
              <w:rPr>
                <w:rFonts w:cs="Arial"/>
                <w:color w:val="auto"/>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rPr>
                <w:color w:val="auto"/>
              </w:rPr>
            </w:pPr>
            <w:r>
              <w:rPr>
                <w:color w:val="auto"/>
              </w:rPr>
              <w:t>MediaType</w:t>
            </w:r>
          </w:p>
        </w:tc>
        <w:tc>
          <w:tcPr>
            <w:tcW w:w="1578" w:type="dxa"/>
            <w:noWrap w:val="0"/>
            <w:vAlign w:val="top"/>
          </w:tcPr>
          <w:p>
            <w:pPr>
              <w:pStyle w:val="100"/>
              <w:rPr>
                <w:color w:val="auto"/>
              </w:rPr>
            </w:pPr>
            <w:r>
              <w:rPr>
                <w:color w:val="auto"/>
              </w:rPr>
              <w:t>5.6.3.3</w:t>
            </w:r>
          </w:p>
        </w:tc>
        <w:tc>
          <w:tcPr>
            <w:tcW w:w="4052" w:type="dxa"/>
            <w:noWrap w:val="0"/>
            <w:vAlign w:val="top"/>
          </w:tcPr>
          <w:p>
            <w:pPr>
              <w:pStyle w:val="100"/>
              <w:rPr>
                <w:color w:val="auto"/>
              </w:rPr>
            </w:pPr>
            <w:r>
              <w:rPr>
                <w:color w:val="auto"/>
              </w:rPr>
              <w:t>Indicates the media type of a media component.</w:t>
            </w:r>
          </w:p>
        </w:tc>
        <w:tc>
          <w:tcPr>
            <w:tcW w:w="1750" w:type="dxa"/>
            <w:noWrap w:val="0"/>
            <w:vAlign w:val="top"/>
          </w:tcPr>
          <w:p>
            <w:pPr>
              <w:pStyle w:val="100"/>
              <w:rPr>
                <w:rFonts w:cs="Arial"/>
                <w:color w:val="auto"/>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rPr>
                <w:color w:val="auto"/>
              </w:rPr>
            </w:pPr>
            <w:r>
              <w:rPr>
                <w:color w:val="auto"/>
              </w:rPr>
              <w:t>MpsAction</w:t>
            </w:r>
          </w:p>
        </w:tc>
        <w:tc>
          <w:tcPr>
            <w:tcW w:w="1578" w:type="dxa"/>
            <w:noWrap w:val="0"/>
            <w:vAlign w:val="top"/>
          </w:tcPr>
          <w:p>
            <w:pPr>
              <w:pStyle w:val="100"/>
              <w:rPr>
                <w:color w:val="auto"/>
              </w:rPr>
            </w:pPr>
            <w:r>
              <w:rPr>
                <w:color w:val="auto"/>
              </w:rPr>
              <w:t>5.6.3.22</w:t>
            </w:r>
          </w:p>
        </w:tc>
        <w:tc>
          <w:tcPr>
            <w:tcW w:w="4052" w:type="dxa"/>
            <w:noWrap w:val="0"/>
            <w:vAlign w:val="top"/>
          </w:tcPr>
          <w:p>
            <w:pPr>
              <w:pStyle w:val="100"/>
              <w:rPr>
                <w:color w:val="auto"/>
              </w:rPr>
            </w:pPr>
            <w:r>
              <w:rPr>
                <w:color w:val="auto"/>
              </w:rPr>
              <w:t>Indicates whethe it is an invocation, a revocation or an invocation with authorization of the MPS for DTS service.</w:t>
            </w:r>
          </w:p>
        </w:tc>
        <w:tc>
          <w:tcPr>
            <w:tcW w:w="1750" w:type="dxa"/>
            <w:noWrap w:val="0"/>
            <w:vAlign w:val="top"/>
          </w:tcPr>
          <w:p>
            <w:pPr>
              <w:pStyle w:val="100"/>
              <w:rPr>
                <w:rFonts w:cs="Arial"/>
                <w:color w:val="auto"/>
                <w:szCs w:val="18"/>
              </w:rPr>
            </w:pPr>
            <w:r>
              <w:rPr>
                <w:rFonts w:cs="Arial"/>
                <w:color w:val="auto"/>
                <w:szCs w:val="18"/>
              </w:rPr>
              <w:t>MPSforDTS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rPr>
                <w:color w:val="auto"/>
              </w:rPr>
            </w:pPr>
            <w:r>
              <w:rPr>
                <w:color w:val="auto"/>
                <w:lang w:eastAsia="zh-CN"/>
              </w:rPr>
              <w:t>MultiModalId</w:t>
            </w:r>
          </w:p>
        </w:tc>
        <w:tc>
          <w:tcPr>
            <w:tcW w:w="1578" w:type="dxa"/>
            <w:noWrap w:val="0"/>
            <w:vAlign w:val="top"/>
          </w:tcPr>
          <w:p>
            <w:pPr>
              <w:pStyle w:val="100"/>
              <w:rPr>
                <w:color w:val="auto"/>
              </w:rPr>
            </w:pPr>
            <w:r>
              <w:rPr>
                <w:color w:val="auto"/>
              </w:rPr>
              <w:t>5.6.3.2</w:t>
            </w:r>
          </w:p>
        </w:tc>
        <w:tc>
          <w:tcPr>
            <w:tcW w:w="4052" w:type="dxa"/>
            <w:noWrap w:val="0"/>
            <w:vAlign w:val="top"/>
          </w:tcPr>
          <w:p>
            <w:pPr>
              <w:pStyle w:val="100"/>
              <w:rPr>
                <w:color w:val="auto"/>
              </w:rPr>
            </w:pPr>
            <w:r>
              <w:rPr>
                <w:color w:val="auto"/>
              </w:rPr>
              <w:t>Contains a multi-modal service identifier.</w:t>
            </w:r>
          </w:p>
        </w:tc>
        <w:tc>
          <w:tcPr>
            <w:tcW w:w="1750" w:type="dxa"/>
            <w:noWrap w:val="0"/>
            <w:vAlign w:val="top"/>
          </w:tcPr>
          <w:p>
            <w:pPr>
              <w:pStyle w:val="100"/>
              <w:rPr>
                <w:rFonts w:cs="Arial"/>
                <w:color w:val="auto"/>
                <w:szCs w:val="18"/>
              </w:rPr>
            </w:pPr>
            <w:r>
              <w:rPr>
                <w:rFonts w:cs="Arial"/>
                <w:color w:val="auto"/>
                <w:szCs w:val="18"/>
              </w:rPr>
              <w:t>XRM_5G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rPr>
                <w:color w:val="auto"/>
              </w:rPr>
            </w:pPr>
            <w:r>
              <w:rPr>
                <w:color w:val="auto"/>
              </w:rPr>
              <w:t>OutOfCreditInformation</w:t>
            </w:r>
          </w:p>
        </w:tc>
        <w:tc>
          <w:tcPr>
            <w:tcW w:w="1578" w:type="dxa"/>
            <w:noWrap w:val="0"/>
            <w:vAlign w:val="top"/>
          </w:tcPr>
          <w:p>
            <w:pPr>
              <w:pStyle w:val="100"/>
              <w:rPr>
                <w:color w:val="auto"/>
              </w:rPr>
            </w:pPr>
            <w:r>
              <w:rPr>
                <w:color w:val="auto"/>
              </w:rPr>
              <w:t>5.6.2.33</w:t>
            </w:r>
          </w:p>
        </w:tc>
        <w:tc>
          <w:tcPr>
            <w:tcW w:w="4052" w:type="dxa"/>
            <w:noWrap w:val="0"/>
            <w:vAlign w:val="top"/>
          </w:tcPr>
          <w:p>
            <w:pPr>
              <w:pStyle w:val="100"/>
              <w:rPr>
                <w:color w:val="auto"/>
              </w:rPr>
            </w:pPr>
            <w:r>
              <w:rPr>
                <w:rFonts w:cs="Arial"/>
                <w:color w:val="auto"/>
                <w:szCs w:val="18"/>
              </w:rPr>
              <w:t>Indicates the service data flows without available credit and the corresponding termination action.</w:t>
            </w:r>
          </w:p>
        </w:tc>
        <w:tc>
          <w:tcPr>
            <w:tcW w:w="1750" w:type="dxa"/>
            <w:noWrap w:val="0"/>
            <w:vAlign w:val="top"/>
          </w:tcPr>
          <w:p>
            <w:pPr>
              <w:pStyle w:val="100"/>
              <w:rPr>
                <w:rFonts w:cs="Arial"/>
                <w:color w:val="auto"/>
                <w:szCs w:val="18"/>
              </w:rPr>
            </w:pPr>
            <w:r>
              <w:rPr>
                <w:rFonts w:cs="Arial"/>
                <w:color w:val="auto"/>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rPr>
                <w:color w:val="auto"/>
              </w:rPr>
            </w:pPr>
            <w:r>
              <w:rPr>
                <w:color w:val="auto"/>
                <w:lang w:eastAsia="fr-FR"/>
              </w:rPr>
              <w:t>PcfAddressingInfo</w:t>
            </w:r>
          </w:p>
        </w:tc>
        <w:tc>
          <w:tcPr>
            <w:tcW w:w="1578" w:type="dxa"/>
            <w:noWrap w:val="0"/>
            <w:vAlign w:val="top"/>
          </w:tcPr>
          <w:p>
            <w:pPr>
              <w:pStyle w:val="100"/>
              <w:rPr>
                <w:color w:val="auto"/>
              </w:rPr>
            </w:pPr>
            <w:r>
              <w:rPr>
                <w:color w:val="auto"/>
                <w:lang w:eastAsia="fr-FR"/>
              </w:rPr>
              <w:t>5.6.2.46</w:t>
            </w:r>
          </w:p>
        </w:tc>
        <w:tc>
          <w:tcPr>
            <w:tcW w:w="4052" w:type="dxa"/>
            <w:noWrap w:val="0"/>
            <w:vAlign w:val="top"/>
          </w:tcPr>
          <w:p>
            <w:pPr>
              <w:pStyle w:val="100"/>
              <w:rPr>
                <w:rFonts w:cs="Arial"/>
                <w:color w:val="auto"/>
                <w:szCs w:val="18"/>
              </w:rPr>
            </w:pPr>
            <w:r>
              <w:rPr>
                <w:rFonts w:cs="Arial"/>
                <w:color w:val="auto"/>
                <w:szCs w:val="18"/>
                <w:lang w:eastAsia="fr-FR"/>
              </w:rPr>
              <w:t>Contains PCF address information.</w:t>
            </w:r>
          </w:p>
        </w:tc>
        <w:tc>
          <w:tcPr>
            <w:tcW w:w="1750" w:type="dxa"/>
            <w:noWrap w:val="0"/>
            <w:vAlign w:val="top"/>
          </w:tcPr>
          <w:p>
            <w:pPr>
              <w:pStyle w:val="100"/>
              <w:rPr>
                <w:rFonts w:cs="Arial"/>
                <w:color w:val="auto"/>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rPr>
                <w:color w:val="auto"/>
              </w:rPr>
            </w:pPr>
            <w:r>
              <w:rPr>
                <w:color w:val="auto"/>
              </w:rPr>
              <w:t>PcscfRestorationRequestData</w:t>
            </w:r>
          </w:p>
        </w:tc>
        <w:tc>
          <w:tcPr>
            <w:tcW w:w="1578" w:type="dxa"/>
            <w:noWrap w:val="0"/>
            <w:vAlign w:val="top"/>
          </w:tcPr>
          <w:p>
            <w:pPr>
              <w:pStyle w:val="100"/>
              <w:rPr>
                <w:color w:val="auto"/>
              </w:rPr>
            </w:pPr>
            <w:r>
              <w:rPr>
                <w:color w:val="auto"/>
              </w:rPr>
              <w:t>5.6.2.36</w:t>
            </w:r>
          </w:p>
        </w:tc>
        <w:tc>
          <w:tcPr>
            <w:tcW w:w="4052" w:type="dxa"/>
            <w:noWrap w:val="0"/>
            <w:vAlign w:val="top"/>
          </w:tcPr>
          <w:p>
            <w:pPr>
              <w:pStyle w:val="100"/>
              <w:rPr>
                <w:rFonts w:cs="Arial"/>
                <w:color w:val="auto"/>
                <w:szCs w:val="18"/>
              </w:rPr>
            </w:pPr>
            <w:r>
              <w:rPr>
                <w:rFonts w:cs="Arial"/>
                <w:color w:val="auto"/>
                <w:szCs w:val="18"/>
              </w:rPr>
              <w:t>Indicates P-CSCF restoration.</w:t>
            </w:r>
          </w:p>
        </w:tc>
        <w:tc>
          <w:tcPr>
            <w:tcW w:w="1750" w:type="dxa"/>
            <w:noWrap w:val="0"/>
            <w:vAlign w:val="top"/>
          </w:tcPr>
          <w:p>
            <w:pPr>
              <w:pStyle w:val="100"/>
              <w:rPr>
                <w:rFonts w:cs="Arial"/>
                <w:color w:val="auto"/>
                <w:szCs w:val="18"/>
              </w:rPr>
            </w:pPr>
            <w:r>
              <w:rPr>
                <w:color w:val="auto"/>
              </w:rPr>
              <w:t>PCSCF-Restoration-Enhancement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rPr>
                <w:lang w:eastAsia="fr-FR"/>
              </w:rPr>
              <w:t>PduSessionEventNotification</w:t>
            </w:r>
          </w:p>
        </w:tc>
        <w:tc>
          <w:tcPr>
            <w:tcW w:w="1578" w:type="dxa"/>
            <w:noWrap w:val="0"/>
            <w:vAlign w:val="top"/>
          </w:tcPr>
          <w:p>
            <w:pPr>
              <w:pStyle w:val="100"/>
            </w:pPr>
            <w:r>
              <w:rPr>
                <w:lang w:eastAsia="fr-FR"/>
              </w:rPr>
              <w:t>5.6.2.45</w:t>
            </w:r>
          </w:p>
        </w:tc>
        <w:tc>
          <w:tcPr>
            <w:tcW w:w="4052" w:type="dxa"/>
            <w:noWrap w:val="0"/>
            <w:vAlign w:val="top"/>
          </w:tcPr>
          <w:p>
            <w:pPr>
              <w:pStyle w:val="100"/>
              <w:rPr>
                <w:rFonts w:cs="Arial"/>
                <w:szCs w:val="18"/>
              </w:rPr>
            </w:pPr>
            <w:r>
              <w:rPr>
                <w:lang w:eastAsia="fr-FR"/>
              </w:rPr>
              <w:t>Indicates PDU session information for the established/terminated PDU session.</w:t>
            </w:r>
          </w:p>
        </w:tc>
        <w:tc>
          <w:tcPr>
            <w:tcW w:w="1750"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rPr>
                <w:lang w:eastAsia="fr-FR"/>
              </w:rPr>
              <w:t>PduSessionStatus</w:t>
            </w:r>
          </w:p>
        </w:tc>
        <w:tc>
          <w:tcPr>
            <w:tcW w:w="1578" w:type="dxa"/>
            <w:noWrap w:val="0"/>
            <w:vAlign w:val="top"/>
          </w:tcPr>
          <w:p>
            <w:pPr>
              <w:pStyle w:val="100"/>
            </w:pPr>
            <w:r>
              <w:rPr>
                <w:lang w:eastAsia="fr-FR"/>
              </w:rPr>
              <w:t>5.6.3.24</w:t>
            </w:r>
          </w:p>
        </w:tc>
        <w:tc>
          <w:tcPr>
            <w:tcW w:w="4052" w:type="dxa"/>
            <w:noWrap w:val="0"/>
            <w:vAlign w:val="top"/>
          </w:tcPr>
          <w:p>
            <w:pPr>
              <w:pStyle w:val="100"/>
              <w:rPr>
                <w:rFonts w:cs="Arial"/>
                <w:szCs w:val="18"/>
              </w:rPr>
            </w:pPr>
            <w:r>
              <w:rPr>
                <w:lang w:eastAsia="fr-FR"/>
              </w:rPr>
              <w:t>Indicates whether the PDU session is established or terminated.</w:t>
            </w:r>
          </w:p>
        </w:tc>
        <w:tc>
          <w:tcPr>
            <w:tcW w:w="1750"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PduSessionTsnBridge</w:t>
            </w:r>
          </w:p>
        </w:tc>
        <w:tc>
          <w:tcPr>
            <w:tcW w:w="1578" w:type="dxa"/>
            <w:noWrap w:val="0"/>
            <w:vAlign w:val="top"/>
          </w:tcPr>
          <w:p>
            <w:pPr>
              <w:pStyle w:val="100"/>
            </w:pPr>
            <w:r>
              <w:t>5.6.2.40</w:t>
            </w:r>
          </w:p>
        </w:tc>
        <w:tc>
          <w:tcPr>
            <w:tcW w:w="4052" w:type="dxa"/>
            <w:noWrap w:val="0"/>
            <w:vAlign w:val="top"/>
          </w:tcPr>
          <w:p>
            <w:pPr>
              <w:pStyle w:val="100"/>
              <w:rPr>
                <w:rFonts w:cs="Arial"/>
                <w:szCs w:val="18"/>
              </w:rPr>
            </w:pPr>
            <w:r>
              <w:t>Contains the TSC user plane node Information and DS-TT port and/or NW-TT ports management information of a new detected TSC user plane node in the context of a new PDU session.</w:t>
            </w:r>
          </w:p>
        </w:tc>
        <w:tc>
          <w:tcPr>
            <w:tcW w:w="1750" w:type="dxa"/>
            <w:noWrap w:val="0"/>
            <w:vAlign w:val="top"/>
          </w:tcPr>
          <w:p>
            <w:pPr>
              <w:pStyle w:val="100"/>
              <w:rPr>
                <w:rFonts w:cs="Arial"/>
                <w:szCs w:val="18"/>
              </w:rPr>
            </w:pPr>
            <w:r>
              <w:rPr>
                <w:rFonts w:cs="Arial"/>
                <w:szCs w:val="18"/>
              </w:rPr>
              <w:t>TimeSensitiveNetworking</w:t>
            </w:r>
          </w:p>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Periodicity</w:t>
            </w:r>
            <w:r>
              <w:rPr>
                <w:lang w:eastAsia="zh-CN"/>
              </w:rPr>
              <w:t>R</w:t>
            </w:r>
            <w:r>
              <w:rPr>
                <w:rFonts w:hint="eastAsia"/>
                <w:lang w:eastAsia="zh-CN"/>
              </w:rPr>
              <w:t>ange</w:t>
            </w:r>
          </w:p>
        </w:tc>
        <w:tc>
          <w:tcPr>
            <w:tcW w:w="1578" w:type="dxa"/>
            <w:noWrap w:val="0"/>
            <w:vAlign w:val="top"/>
          </w:tcPr>
          <w:p>
            <w:pPr>
              <w:pStyle w:val="100"/>
            </w:pPr>
            <w:r>
              <w:t>5.6.2.48</w:t>
            </w:r>
          </w:p>
        </w:tc>
        <w:tc>
          <w:tcPr>
            <w:tcW w:w="4052" w:type="dxa"/>
            <w:noWrap w:val="0"/>
            <w:vAlign w:val="top"/>
          </w:tcPr>
          <w:p>
            <w:pPr>
              <w:pStyle w:val="100"/>
            </w:pPr>
            <w:r>
              <w:t xml:space="preserve">Contains </w:t>
            </w:r>
            <w:r>
              <w:rPr>
                <w:lang w:eastAsia="zh-CN"/>
              </w:rPr>
              <w:t xml:space="preserve">the acceptable lower bound and upper bound of the periodicity of the start two bursts </w:t>
            </w:r>
            <w:r>
              <w:rPr>
                <w:rFonts w:cs="Arial"/>
                <w:szCs w:val="18"/>
              </w:rPr>
              <w:t>in reference to the external GM.</w:t>
            </w:r>
          </w:p>
        </w:tc>
        <w:tc>
          <w:tcPr>
            <w:tcW w:w="1750" w:type="dxa"/>
            <w:noWrap w:val="0"/>
            <w:vAlign w:val="top"/>
          </w:tcPr>
          <w:p>
            <w:pPr>
              <w:pStyle w:val="100"/>
              <w:rPr>
                <w:rFonts w:cs="Arial"/>
                <w:szCs w:val="18"/>
              </w:rPr>
            </w:pPr>
            <w:r>
              <w:t>EnTSCAC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PreemptionControlInformation</w:t>
            </w:r>
          </w:p>
        </w:tc>
        <w:tc>
          <w:tcPr>
            <w:tcW w:w="1578" w:type="dxa"/>
            <w:noWrap w:val="0"/>
            <w:vAlign w:val="top"/>
          </w:tcPr>
          <w:p>
            <w:pPr>
              <w:pStyle w:val="100"/>
            </w:pPr>
            <w:r>
              <w:t>5.6.3.19</w:t>
            </w:r>
          </w:p>
        </w:tc>
        <w:tc>
          <w:tcPr>
            <w:tcW w:w="4052" w:type="dxa"/>
            <w:noWrap w:val="0"/>
            <w:vAlign w:val="top"/>
          </w:tcPr>
          <w:p>
            <w:pPr>
              <w:pStyle w:val="100"/>
              <w:rPr>
                <w:rFonts w:cs="Arial"/>
                <w:szCs w:val="18"/>
              </w:rPr>
            </w:pPr>
            <w:r>
              <w:t>Pre-emption control information.</w:t>
            </w:r>
          </w:p>
        </w:tc>
        <w:tc>
          <w:tcPr>
            <w:tcW w:w="1750" w:type="dxa"/>
            <w:noWrap w:val="0"/>
            <w:vAlign w:val="top"/>
          </w:tcPr>
          <w:p>
            <w:pPr>
              <w:pStyle w:val="100"/>
              <w:rPr>
                <w:rFonts w:cs="Arial"/>
                <w:szCs w:val="18"/>
              </w:rPr>
            </w:pPr>
            <w:r>
              <w:rPr>
                <w:rFonts w:cs="Arial"/>
                <w:szCs w:val="18"/>
              </w:rPr>
              <w:t>MCPTT-Preemption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PreemptionControlInformationRm</w:t>
            </w:r>
          </w:p>
        </w:tc>
        <w:tc>
          <w:tcPr>
            <w:tcW w:w="1578" w:type="dxa"/>
            <w:noWrap w:val="0"/>
            <w:vAlign w:val="top"/>
          </w:tcPr>
          <w:p>
            <w:pPr>
              <w:pStyle w:val="100"/>
            </w:pPr>
            <w:r>
              <w:t>5.6.3.21</w:t>
            </w:r>
          </w:p>
        </w:tc>
        <w:tc>
          <w:tcPr>
            <w:tcW w:w="4052" w:type="dxa"/>
            <w:noWrap w:val="0"/>
            <w:vAlign w:val="top"/>
          </w:tcPr>
          <w:p>
            <w:pPr>
              <w:pStyle w:val="100"/>
              <w:rPr>
                <w:rFonts w:cs="Arial"/>
                <w:szCs w:val="18"/>
              </w:rPr>
            </w:pPr>
            <w:r>
              <w:t>This data type is defined in the same way as the "PreemptionControlInformation" data type, but with the OpenAPI "nullable: true" property.</w:t>
            </w:r>
          </w:p>
        </w:tc>
        <w:tc>
          <w:tcPr>
            <w:tcW w:w="1750" w:type="dxa"/>
            <w:noWrap w:val="0"/>
            <w:vAlign w:val="top"/>
          </w:tcPr>
          <w:p>
            <w:pPr>
              <w:pStyle w:val="100"/>
              <w:rPr>
                <w:rFonts w:cs="Arial"/>
                <w:szCs w:val="18"/>
              </w:rPr>
            </w:pPr>
            <w:r>
              <w:rPr>
                <w:rFonts w:cs="Arial"/>
                <w:szCs w:val="18"/>
              </w:rPr>
              <w:t>MCPTT-Preemption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284" w:hRule="atLeast"/>
          <w:jc w:val="center"/>
        </w:trPr>
        <w:tc>
          <w:tcPr>
            <w:tcW w:w="2239" w:type="dxa"/>
            <w:noWrap w:val="0"/>
            <w:vAlign w:val="top"/>
          </w:tcPr>
          <w:p>
            <w:pPr>
              <w:pStyle w:val="100"/>
            </w:pPr>
            <w:r>
              <w:t>PrioritySharingIndicator</w:t>
            </w:r>
          </w:p>
        </w:tc>
        <w:tc>
          <w:tcPr>
            <w:tcW w:w="1578" w:type="dxa"/>
            <w:noWrap w:val="0"/>
            <w:vAlign w:val="top"/>
          </w:tcPr>
          <w:p>
            <w:pPr>
              <w:pStyle w:val="100"/>
            </w:pPr>
            <w:r>
              <w:t>5.6.3.20</w:t>
            </w:r>
          </w:p>
        </w:tc>
        <w:tc>
          <w:tcPr>
            <w:tcW w:w="4052" w:type="dxa"/>
            <w:noWrap w:val="0"/>
            <w:vAlign w:val="top"/>
          </w:tcPr>
          <w:p>
            <w:pPr>
              <w:pStyle w:val="100"/>
              <w:rPr>
                <w:rFonts w:cs="Arial"/>
                <w:szCs w:val="18"/>
              </w:rPr>
            </w:pPr>
            <w:r>
              <w:t>Priority sharing indicator.</w:t>
            </w:r>
          </w:p>
        </w:tc>
        <w:tc>
          <w:tcPr>
            <w:tcW w:w="1750" w:type="dxa"/>
            <w:noWrap w:val="0"/>
            <w:vAlign w:val="top"/>
          </w:tcPr>
          <w:p>
            <w:pPr>
              <w:pStyle w:val="100"/>
              <w:rPr>
                <w:rFonts w:cs="Arial"/>
                <w:szCs w:val="18"/>
              </w:rPr>
            </w:pPr>
            <w:r>
              <w:rPr>
                <w:rFonts w:cs="Arial"/>
                <w:szCs w:val="18"/>
              </w:rPr>
              <w:t>PrioritySharing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QosMonitoringInformation</w:t>
            </w:r>
          </w:p>
        </w:tc>
        <w:tc>
          <w:tcPr>
            <w:tcW w:w="1578" w:type="dxa"/>
            <w:noWrap w:val="0"/>
            <w:vAlign w:val="top"/>
          </w:tcPr>
          <w:p>
            <w:pPr>
              <w:pStyle w:val="100"/>
            </w:pPr>
            <w:r>
              <w:t>5.6.2.34</w:t>
            </w:r>
          </w:p>
        </w:tc>
        <w:tc>
          <w:tcPr>
            <w:tcW w:w="4052" w:type="dxa"/>
            <w:noWrap w:val="0"/>
            <w:vAlign w:val="top"/>
          </w:tcPr>
          <w:p>
            <w:pPr>
              <w:pStyle w:val="100"/>
            </w:pPr>
            <w:r>
              <w:t>QoS monitoring information (e.g. UL, DL or round trip packet delay).</w:t>
            </w:r>
          </w:p>
        </w:tc>
        <w:tc>
          <w:tcPr>
            <w:tcW w:w="1750" w:type="dxa"/>
            <w:noWrap w:val="0"/>
            <w:vAlign w:val="top"/>
          </w:tcPr>
          <w:p>
            <w:pPr>
              <w:pStyle w:val="100"/>
              <w:rPr>
                <w:rFonts w:cs="Arial"/>
                <w:szCs w:val="18"/>
              </w:rPr>
            </w:pPr>
            <w:r>
              <w:rPr>
                <w:rFonts w:cs="Arial"/>
                <w:szCs w:val="18"/>
              </w:rPr>
              <w:t>QoSMonitoring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284" w:hRule="atLeast"/>
          <w:jc w:val="center"/>
        </w:trPr>
        <w:tc>
          <w:tcPr>
            <w:tcW w:w="2239" w:type="dxa"/>
            <w:noWrap w:val="0"/>
            <w:vAlign w:val="top"/>
          </w:tcPr>
          <w:p>
            <w:pPr>
              <w:pStyle w:val="100"/>
            </w:pPr>
            <w:r>
              <w:t>QosMonitoringInformationRm</w:t>
            </w:r>
          </w:p>
        </w:tc>
        <w:tc>
          <w:tcPr>
            <w:tcW w:w="1578" w:type="dxa"/>
            <w:noWrap w:val="0"/>
            <w:vAlign w:val="top"/>
          </w:tcPr>
          <w:p>
            <w:pPr>
              <w:pStyle w:val="100"/>
            </w:pPr>
            <w:r>
              <w:t>5.6.2.41</w:t>
            </w:r>
          </w:p>
        </w:tc>
        <w:tc>
          <w:tcPr>
            <w:tcW w:w="4052" w:type="dxa"/>
            <w:noWrap w:val="0"/>
            <w:vAlign w:val="top"/>
          </w:tcPr>
          <w:p>
            <w:pPr>
              <w:pStyle w:val="100"/>
            </w:pPr>
            <w:r>
              <w:t>This data type is defined in the same way as the "QosMonitoringInformation" data type, but with the OpenAPI "nullable: true" property.</w:t>
            </w:r>
          </w:p>
        </w:tc>
        <w:tc>
          <w:tcPr>
            <w:tcW w:w="1750" w:type="dxa"/>
            <w:noWrap w:val="0"/>
            <w:vAlign w:val="top"/>
          </w:tcPr>
          <w:p>
            <w:pPr>
              <w:pStyle w:val="100"/>
              <w:rPr>
                <w:rFonts w:cs="Arial"/>
                <w:szCs w:val="18"/>
              </w:rPr>
            </w:pPr>
            <w:r>
              <w:rPr>
                <w:rFonts w:cs="Arial"/>
                <w:szCs w:val="18"/>
              </w:rPr>
              <w:t>QoSMonitoring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QosMonitoringReport</w:t>
            </w:r>
          </w:p>
        </w:tc>
        <w:tc>
          <w:tcPr>
            <w:tcW w:w="1578" w:type="dxa"/>
            <w:noWrap w:val="0"/>
            <w:vAlign w:val="top"/>
          </w:tcPr>
          <w:p>
            <w:pPr>
              <w:pStyle w:val="100"/>
            </w:pPr>
            <w:r>
              <w:t>5.6.2.37</w:t>
            </w:r>
          </w:p>
        </w:tc>
        <w:tc>
          <w:tcPr>
            <w:tcW w:w="4052" w:type="dxa"/>
            <w:noWrap w:val="0"/>
            <w:vAlign w:val="top"/>
          </w:tcPr>
          <w:p>
            <w:pPr>
              <w:pStyle w:val="100"/>
            </w:pPr>
            <w:r>
              <w:t>Contains QoS monitoring reporting information.</w:t>
            </w:r>
          </w:p>
        </w:tc>
        <w:tc>
          <w:tcPr>
            <w:tcW w:w="1750" w:type="dxa"/>
            <w:noWrap w:val="0"/>
            <w:vAlign w:val="top"/>
          </w:tcPr>
          <w:p>
            <w:pPr>
              <w:pStyle w:val="100"/>
              <w:rPr>
                <w:rFonts w:cs="Arial"/>
                <w:szCs w:val="18"/>
              </w:rPr>
            </w:pPr>
            <w:r>
              <w:t>QoSMonitoring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QosNotificationControlInfo</w:t>
            </w:r>
          </w:p>
        </w:tc>
        <w:tc>
          <w:tcPr>
            <w:tcW w:w="1578" w:type="dxa"/>
            <w:noWrap w:val="0"/>
            <w:vAlign w:val="top"/>
          </w:tcPr>
          <w:p>
            <w:pPr>
              <w:pStyle w:val="100"/>
            </w:pPr>
            <w:r>
              <w:t>5.6.2.15</w:t>
            </w:r>
          </w:p>
        </w:tc>
        <w:tc>
          <w:tcPr>
            <w:tcW w:w="4052" w:type="dxa"/>
            <w:noWrap w:val="0"/>
            <w:vAlign w:val="top"/>
          </w:tcPr>
          <w:p>
            <w:pPr>
              <w:pStyle w:val="100"/>
              <w:rPr>
                <w:rFonts w:cs="Arial"/>
                <w:szCs w:val="18"/>
              </w:rPr>
            </w:pPr>
            <w:r>
              <w:rPr>
                <w:rFonts w:cs="Arial"/>
                <w:szCs w:val="18"/>
              </w:rPr>
              <w:t>Indicates whether the QoS targets related to certain media component are not guaranteed or are guaranteed again.</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QosNotifType</w:t>
            </w:r>
          </w:p>
        </w:tc>
        <w:tc>
          <w:tcPr>
            <w:tcW w:w="1578" w:type="dxa"/>
            <w:noWrap w:val="0"/>
            <w:vAlign w:val="top"/>
          </w:tcPr>
          <w:p>
            <w:pPr>
              <w:pStyle w:val="100"/>
            </w:pPr>
            <w:r>
              <w:t>5.6.3.9</w:t>
            </w:r>
          </w:p>
        </w:tc>
        <w:tc>
          <w:tcPr>
            <w:tcW w:w="4052" w:type="dxa"/>
            <w:noWrap w:val="0"/>
            <w:vAlign w:val="top"/>
          </w:tcPr>
          <w:p>
            <w:pPr>
              <w:pStyle w:val="100"/>
              <w:rPr>
                <w:rFonts w:cs="Arial"/>
                <w:szCs w:val="18"/>
              </w:rPr>
            </w:pPr>
            <w:r>
              <w:rPr>
                <w:rFonts w:cs="Arial"/>
                <w:szCs w:val="18"/>
              </w:rPr>
              <w:t>Indicates type of notification for QoS Notification Control.</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RequiredAccessInfo</w:t>
            </w:r>
          </w:p>
        </w:tc>
        <w:tc>
          <w:tcPr>
            <w:tcW w:w="1578" w:type="dxa"/>
            <w:noWrap w:val="0"/>
            <w:vAlign w:val="top"/>
          </w:tcPr>
          <w:p>
            <w:pPr>
              <w:pStyle w:val="100"/>
            </w:pPr>
            <w:r>
              <w:t>5.6.3.15</w:t>
            </w:r>
          </w:p>
        </w:tc>
        <w:tc>
          <w:tcPr>
            <w:tcW w:w="4052" w:type="dxa"/>
            <w:noWrap w:val="0"/>
            <w:vAlign w:val="top"/>
          </w:tcPr>
          <w:p>
            <w:pPr>
              <w:pStyle w:val="100"/>
              <w:rPr>
                <w:rFonts w:cs="Arial"/>
                <w:szCs w:val="18"/>
              </w:rPr>
            </w:pPr>
            <w:r>
              <w:rPr>
                <w:rFonts w:cs="Arial"/>
                <w:szCs w:val="18"/>
              </w:rPr>
              <w:t>Indicates the access network information required for an AF session.</w:t>
            </w:r>
          </w:p>
        </w:tc>
        <w:tc>
          <w:tcPr>
            <w:tcW w:w="1750" w:type="dxa"/>
            <w:noWrap w:val="0"/>
            <w:vAlign w:val="top"/>
          </w:tcPr>
          <w:p>
            <w:pPr>
              <w:pStyle w:val="100"/>
              <w:rPr>
                <w:rFonts w:cs="Arial"/>
                <w:szCs w:val="18"/>
              </w:rPr>
            </w:pPr>
            <w:r>
              <w:rPr>
                <w:rFonts w:cs="Arial"/>
                <w:szCs w:val="18"/>
              </w:rPr>
              <w:t>NetLoc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ReservPriority</w:t>
            </w:r>
          </w:p>
        </w:tc>
        <w:tc>
          <w:tcPr>
            <w:tcW w:w="1578" w:type="dxa"/>
            <w:noWrap w:val="0"/>
            <w:vAlign w:val="top"/>
          </w:tcPr>
          <w:p>
            <w:pPr>
              <w:pStyle w:val="100"/>
            </w:pPr>
            <w:r>
              <w:t>5.6.3.4</w:t>
            </w:r>
          </w:p>
        </w:tc>
        <w:tc>
          <w:tcPr>
            <w:tcW w:w="4052" w:type="dxa"/>
            <w:noWrap w:val="0"/>
            <w:vAlign w:val="top"/>
          </w:tcPr>
          <w:p>
            <w:pPr>
              <w:pStyle w:val="100"/>
              <w:rPr>
                <w:rFonts w:cs="Arial"/>
                <w:szCs w:val="18"/>
              </w:rPr>
            </w:pPr>
            <w:r>
              <w:t>Indicates the reservation priority.</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ResourcesAllocationInfo</w:t>
            </w:r>
          </w:p>
        </w:tc>
        <w:tc>
          <w:tcPr>
            <w:tcW w:w="1578" w:type="dxa"/>
            <w:noWrap w:val="0"/>
            <w:vAlign w:val="top"/>
          </w:tcPr>
          <w:p>
            <w:pPr>
              <w:pStyle w:val="100"/>
            </w:pPr>
            <w:r>
              <w:t>5.6.2.14</w:t>
            </w:r>
          </w:p>
        </w:tc>
        <w:tc>
          <w:tcPr>
            <w:tcW w:w="4052" w:type="dxa"/>
            <w:noWrap w:val="0"/>
            <w:vAlign w:val="top"/>
          </w:tcPr>
          <w:p>
            <w:pPr>
              <w:pStyle w:val="100"/>
              <w:rPr>
                <w:rFonts w:cs="Arial"/>
                <w:szCs w:val="18"/>
              </w:rPr>
            </w:pPr>
            <w:r>
              <w:rPr>
                <w:rFonts w:cs="Arial"/>
                <w:szCs w:val="18"/>
              </w:rPr>
              <w:t>Indicates the status of the PCC rule(s) related to certain media component.</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ServAuthInfo</w:t>
            </w:r>
          </w:p>
        </w:tc>
        <w:tc>
          <w:tcPr>
            <w:tcW w:w="1578" w:type="dxa"/>
            <w:noWrap w:val="0"/>
            <w:vAlign w:val="top"/>
          </w:tcPr>
          <w:p>
            <w:pPr>
              <w:pStyle w:val="100"/>
            </w:pPr>
            <w:r>
              <w:t>5.6.3.5</w:t>
            </w:r>
          </w:p>
        </w:tc>
        <w:tc>
          <w:tcPr>
            <w:tcW w:w="4052" w:type="dxa"/>
            <w:noWrap w:val="0"/>
            <w:vAlign w:val="top"/>
          </w:tcPr>
          <w:p>
            <w:pPr>
              <w:pStyle w:val="100"/>
              <w:rPr>
                <w:rFonts w:cs="Arial"/>
                <w:szCs w:val="18"/>
              </w:rPr>
            </w:pPr>
            <w:r>
              <w:t>Indicates the result of the Policy Authorization service request from the NF service consumer.</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ServiceInfoStatus</w:t>
            </w:r>
          </w:p>
        </w:tc>
        <w:tc>
          <w:tcPr>
            <w:tcW w:w="1578" w:type="dxa"/>
            <w:noWrap w:val="0"/>
            <w:vAlign w:val="top"/>
          </w:tcPr>
          <w:p>
            <w:pPr>
              <w:pStyle w:val="100"/>
            </w:pPr>
            <w:r>
              <w:t>5.6.3.16</w:t>
            </w:r>
          </w:p>
        </w:tc>
        <w:tc>
          <w:tcPr>
            <w:tcW w:w="4052" w:type="dxa"/>
            <w:noWrap w:val="0"/>
            <w:vAlign w:val="top"/>
          </w:tcPr>
          <w:p>
            <w:pPr>
              <w:pStyle w:val="100"/>
            </w:pPr>
            <w:r>
              <w:t>Preliminary or final service information status.</w:t>
            </w:r>
          </w:p>
        </w:tc>
        <w:tc>
          <w:tcPr>
            <w:tcW w:w="1750" w:type="dxa"/>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ServiceUrn</w:t>
            </w:r>
          </w:p>
        </w:tc>
        <w:tc>
          <w:tcPr>
            <w:tcW w:w="1578" w:type="dxa"/>
            <w:noWrap w:val="0"/>
            <w:vAlign w:val="top"/>
          </w:tcPr>
          <w:p>
            <w:pPr>
              <w:pStyle w:val="100"/>
            </w:pPr>
            <w:r>
              <w:t>5.6.3.2</w:t>
            </w:r>
          </w:p>
        </w:tc>
        <w:tc>
          <w:tcPr>
            <w:tcW w:w="4052" w:type="dxa"/>
            <w:noWrap w:val="0"/>
            <w:vAlign w:val="top"/>
          </w:tcPr>
          <w:p>
            <w:pPr>
              <w:pStyle w:val="100"/>
            </w:pPr>
            <w:r>
              <w:t>Service URN.</w:t>
            </w:r>
          </w:p>
        </w:tc>
        <w:tc>
          <w:tcPr>
            <w:tcW w:w="1750" w:type="dxa"/>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SipForkingIndication</w:t>
            </w:r>
          </w:p>
        </w:tc>
        <w:tc>
          <w:tcPr>
            <w:tcW w:w="1578" w:type="dxa"/>
            <w:noWrap w:val="0"/>
            <w:vAlign w:val="top"/>
          </w:tcPr>
          <w:p>
            <w:pPr>
              <w:pStyle w:val="100"/>
            </w:pPr>
            <w:r>
              <w:t>5.6.3.17</w:t>
            </w:r>
          </w:p>
        </w:tc>
        <w:tc>
          <w:tcPr>
            <w:tcW w:w="4052" w:type="dxa"/>
            <w:noWrap w:val="0"/>
            <w:vAlign w:val="top"/>
          </w:tcPr>
          <w:p>
            <w:pPr>
              <w:pStyle w:val="100"/>
            </w:pPr>
            <w:r>
              <w:rPr>
                <w:rFonts w:eastAsia="Batang"/>
              </w:rPr>
              <w:t>Describes if several SIP dialogues are related to an "Individual Application Session Context" resource.</w:t>
            </w:r>
          </w:p>
        </w:tc>
        <w:tc>
          <w:tcPr>
            <w:tcW w:w="1750" w:type="dxa"/>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SpatialValidity</w:t>
            </w:r>
          </w:p>
        </w:tc>
        <w:tc>
          <w:tcPr>
            <w:tcW w:w="1578" w:type="dxa"/>
            <w:noWrap w:val="0"/>
            <w:vAlign w:val="top"/>
          </w:tcPr>
          <w:p>
            <w:pPr>
              <w:pStyle w:val="100"/>
            </w:pPr>
            <w:r>
              <w:t>5.6.2.16</w:t>
            </w:r>
          </w:p>
        </w:tc>
        <w:tc>
          <w:tcPr>
            <w:tcW w:w="4052" w:type="dxa"/>
            <w:noWrap w:val="0"/>
            <w:vAlign w:val="top"/>
          </w:tcPr>
          <w:p>
            <w:pPr>
              <w:pStyle w:val="100"/>
            </w:pPr>
            <w:r>
              <w:t>Describes the spatial validity of an NF service consumer request for influencing traffic routing.</w:t>
            </w:r>
          </w:p>
        </w:tc>
        <w:tc>
          <w:tcPr>
            <w:tcW w:w="1750" w:type="dxa"/>
            <w:noWrap w:val="0"/>
            <w:vAlign w:val="top"/>
          </w:tcPr>
          <w:p>
            <w:pPr>
              <w:pStyle w:val="100"/>
              <w:rPr>
                <w:rFonts w:cs="Arial"/>
                <w:szCs w:val="18"/>
              </w:rPr>
            </w:pPr>
            <w:r>
              <w:rPr>
                <w:rFonts w:cs="Arial"/>
                <w:szCs w:val="18"/>
              </w:rPr>
              <w:t>InfluenceOnTrafficRouting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SpatialValidityRm</w:t>
            </w:r>
          </w:p>
        </w:tc>
        <w:tc>
          <w:tcPr>
            <w:tcW w:w="1578" w:type="dxa"/>
            <w:noWrap w:val="0"/>
            <w:vAlign w:val="top"/>
          </w:tcPr>
          <w:p>
            <w:pPr>
              <w:pStyle w:val="100"/>
            </w:pPr>
            <w:r>
              <w:t>5.6.2.28</w:t>
            </w:r>
          </w:p>
        </w:tc>
        <w:tc>
          <w:tcPr>
            <w:tcW w:w="4052" w:type="dxa"/>
            <w:noWrap w:val="0"/>
            <w:vAlign w:val="top"/>
          </w:tcPr>
          <w:p>
            <w:pPr>
              <w:pStyle w:val="100"/>
            </w:pPr>
            <w:r>
              <w:t>This data type is defined in the same way as the "SpatialValidity" data type, but with the OpenAPI "nullable: true" property.</w:t>
            </w:r>
          </w:p>
        </w:tc>
        <w:tc>
          <w:tcPr>
            <w:tcW w:w="1750" w:type="dxa"/>
            <w:noWrap w:val="0"/>
            <w:vAlign w:val="top"/>
          </w:tcPr>
          <w:p>
            <w:pPr>
              <w:pStyle w:val="100"/>
              <w:rPr>
                <w:rFonts w:cs="Arial"/>
                <w:szCs w:val="18"/>
              </w:rPr>
            </w:pPr>
            <w:r>
              <w:rPr>
                <w:rFonts w:cs="Arial"/>
                <w:szCs w:val="18"/>
              </w:rPr>
              <w:t>InfluenceOnTrafficRouting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SponId</w:t>
            </w:r>
          </w:p>
        </w:tc>
        <w:tc>
          <w:tcPr>
            <w:tcW w:w="1578" w:type="dxa"/>
            <w:noWrap w:val="0"/>
            <w:vAlign w:val="top"/>
          </w:tcPr>
          <w:p>
            <w:pPr>
              <w:pStyle w:val="100"/>
            </w:pPr>
            <w:r>
              <w:t>5.6.3.2</w:t>
            </w:r>
          </w:p>
        </w:tc>
        <w:tc>
          <w:tcPr>
            <w:tcW w:w="4052" w:type="dxa"/>
            <w:noWrap w:val="0"/>
            <w:vAlign w:val="top"/>
          </w:tcPr>
          <w:p>
            <w:pPr>
              <w:pStyle w:val="100"/>
            </w:pPr>
            <w:r>
              <w:t>Contains an Identity of a sponsor.</w:t>
            </w:r>
          </w:p>
        </w:tc>
        <w:tc>
          <w:tcPr>
            <w:tcW w:w="1750" w:type="dxa"/>
            <w:noWrap w:val="0"/>
            <w:vAlign w:val="top"/>
          </w:tcPr>
          <w:p>
            <w:pPr>
              <w:pStyle w:val="100"/>
              <w:rPr>
                <w:rFonts w:cs="Arial"/>
                <w:szCs w:val="18"/>
              </w:rPr>
            </w:pPr>
            <w:r>
              <w:rPr>
                <w:rFonts w:cs="Arial"/>
                <w:szCs w:val="18"/>
              </w:rPr>
              <w:t>SponsoredConnectivity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SponsoringStatus</w:t>
            </w:r>
          </w:p>
        </w:tc>
        <w:tc>
          <w:tcPr>
            <w:tcW w:w="1578" w:type="dxa"/>
            <w:noWrap w:val="0"/>
            <w:vAlign w:val="top"/>
          </w:tcPr>
          <w:p>
            <w:pPr>
              <w:pStyle w:val="100"/>
            </w:pPr>
            <w:r>
              <w:t>5.6.3.6</w:t>
            </w:r>
          </w:p>
        </w:tc>
        <w:tc>
          <w:tcPr>
            <w:tcW w:w="4052" w:type="dxa"/>
            <w:noWrap w:val="0"/>
            <w:vAlign w:val="top"/>
          </w:tcPr>
          <w:p>
            <w:pPr>
              <w:pStyle w:val="100"/>
            </w:pPr>
            <w:r>
              <w:t>Represents whether sponsored data connectivity is enabled or disabled/not enabled.</w:t>
            </w:r>
          </w:p>
        </w:tc>
        <w:tc>
          <w:tcPr>
            <w:tcW w:w="1750" w:type="dxa"/>
            <w:noWrap w:val="0"/>
            <w:vAlign w:val="top"/>
          </w:tcPr>
          <w:p>
            <w:pPr>
              <w:pStyle w:val="100"/>
              <w:rPr>
                <w:rFonts w:cs="Arial"/>
                <w:szCs w:val="18"/>
              </w:rPr>
            </w:pPr>
            <w:r>
              <w:rPr>
                <w:rFonts w:cs="Arial"/>
                <w:szCs w:val="18"/>
              </w:rPr>
              <w:t>SponsoredConnectivity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284" w:hRule="atLeast"/>
          <w:jc w:val="center"/>
        </w:trPr>
        <w:tc>
          <w:tcPr>
            <w:tcW w:w="2239" w:type="dxa"/>
            <w:noWrap w:val="0"/>
            <w:vAlign w:val="top"/>
          </w:tcPr>
          <w:p>
            <w:pPr>
              <w:pStyle w:val="100"/>
            </w:pPr>
            <w:r>
              <w:t>TemporalValidity</w:t>
            </w:r>
          </w:p>
        </w:tc>
        <w:tc>
          <w:tcPr>
            <w:tcW w:w="1578" w:type="dxa"/>
            <w:noWrap w:val="0"/>
            <w:vAlign w:val="top"/>
          </w:tcPr>
          <w:p>
            <w:pPr>
              <w:pStyle w:val="100"/>
            </w:pPr>
            <w:r>
              <w:t>5.6.2.22</w:t>
            </w:r>
          </w:p>
        </w:tc>
        <w:tc>
          <w:tcPr>
            <w:tcW w:w="4052" w:type="dxa"/>
            <w:noWrap w:val="0"/>
            <w:vAlign w:val="top"/>
          </w:tcPr>
          <w:p>
            <w:pPr>
              <w:pStyle w:val="100"/>
            </w:pPr>
            <w:r>
              <w:rPr>
                <w:rFonts w:cs="Arial"/>
                <w:szCs w:val="18"/>
              </w:rPr>
              <w:t xml:space="preserve">Indicates the time interval during which the </w:t>
            </w:r>
            <w:r>
              <w:t>NF service consumer</w:t>
            </w:r>
            <w:r>
              <w:rPr>
                <w:rFonts w:cs="Arial"/>
                <w:szCs w:val="18"/>
              </w:rPr>
              <w:t xml:space="preserve"> request is to be applied.</w:t>
            </w:r>
          </w:p>
        </w:tc>
        <w:tc>
          <w:tcPr>
            <w:tcW w:w="1750" w:type="dxa"/>
            <w:noWrap w:val="0"/>
            <w:vAlign w:val="top"/>
          </w:tcPr>
          <w:p>
            <w:pPr>
              <w:pStyle w:val="100"/>
              <w:rPr>
                <w:rFonts w:cs="Arial"/>
                <w:szCs w:val="18"/>
              </w:rPr>
            </w:pPr>
            <w:r>
              <w:rPr>
                <w:rFonts w:cs="Arial"/>
                <w:szCs w:val="18"/>
              </w:rPr>
              <w:t>InfluenceOnTrafficRouting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TerminationCause</w:t>
            </w:r>
          </w:p>
        </w:tc>
        <w:tc>
          <w:tcPr>
            <w:tcW w:w="1578" w:type="dxa"/>
            <w:noWrap w:val="0"/>
            <w:vAlign w:val="top"/>
          </w:tcPr>
          <w:p>
            <w:pPr>
              <w:pStyle w:val="100"/>
            </w:pPr>
            <w:r>
              <w:t>5.6.3.10</w:t>
            </w:r>
          </w:p>
        </w:tc>
        <w:tc>
          <w:tcPr>
            <w:tcW w:w="4052" w:type="dxa"/>
            <w:noWrap w:val="0"/>
            <w:vAlign w:val="top"/>
          </w:tcPr>
          <w:p>
            <w:pPr>
              <w:pStyle w:val="100"/>
            </w:pPr>
            <w:r>
              <w:t>Indicates the cause for requesting the deletion of the Individual Application Session Context resource.</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TerminationInfo</w:t>
            </w:r>
          </w:p>
        </w:tc>
        <w:tc>
          <w:tcPr>
            <w:tcW w:w="1578" w:type="dxa"/>
            <w:noWrap w:val="0"/>
            <w:vAlign w:val="top"/>
          </w:tcPr>
          <w:p>
            <w:pPr>
              <w:pStyle w:val="100"/>
            </w:pPr>
            <w:r>
              <w:t>5.6.2.12</w:t>
            </w:r>
          </w:p>
        </w:tc>
        <w:tc>
          <w:tcPr>
            <w:tcW w:w="4052" w:type="dxa"/>
            <w:noWrap w:val="0"/>
            <w:vAlign w:val="top"/>
          </w:tcPr>
          <w:p>
            <w:pPr>
              <w:pStyle w:val="100"/>
            </w:pPr>
            <w:r>
              <w:t>Includes information related to the termination of the Individual Application Session Context resource.</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TosTrafficClass</w:t>
            </w:r>
          </w:p>
        </w:tc>
        <w:tc>
          <w:tcPr>
            <w:tcW w:w="1578" w:type="dxa"/>
            <w:noWrap w:val="0"/>
            <w:vAlign w:val="top"/>
          </w:tcPr>
          <w:p>
            <w:pPr>
              <w:pStyle w:val="100"/>
            </w:pPr>
            <w:r>
              <w:t>5.6.3.2</w:t>
            </w:r>
          </w:p>
        </w:tc>
        <w:tc>
          <w:tcPr>
            <w:tcW w:w="4052" w:type="dxa"/>
            <w:noWrap w:val="0"/>
            <w:vAlign w:val="top"/>
          </w:tcPr>
          <w:p>
            <w:pPr>
              <w:pStyle w:val="100"/>
            </w:pPr>
            <w:r>
              <w:t>Contains the IPv4 Type-of-Service or the IPv6 Traffic-Class field and the ToS/Traffic Class mask field.</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TosTrafficClassRm</w:t>
            </w:r>
          </w:p>
        </w:tc>
        <w:tc>
          <w:tcPr>
            <w:tcW w:w="1578" w:type="dxa"/>
            <w:noWrap w:val="0"/>
            <w:vAlign w:val="top"/>
          </w:tcPr>
          <w:p>
            <w:pPr>
              <w:pStyle w:val="100"/>
            </w:pPr>
            <w:r>
              <w:t>5.6.3.2</w:t>
            </w:r>
          </w:p>
        </w:tc>
        <w:tc>
          <w:tcPr>
            <w:tcW w:w="4052" w:type="dxa"/>
            <w:noWrap w:val="0"/>
            <w:vAlign w:val="top"/>
          </w:tcPr>
          <w:p>
            <w:pPr>
              <w:pStyle w:val="100"/>
            </w:pPr>
            <w:r>
              <w:t>This data type is defined in the same way as the "TosTrafficClass" data type, but with the OpenAPI "nullable: true" property.</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rPr>
                <w:lang w:eastAsia="zh-CN"/>
              </w:rPr>
              <w:t>TscPriorityLevel</w:t>
            </w:r>
          </w:p>
        </w:tc>
        <w:tc>
          <w:tcPr>
            <w:tcW w:w="1578" w:type="dxa"/>
            <w:noWrap w:val="0"/>
            <w:vAlign w:val="top"/>
          </w:tcPr>
          <w:p>
            <w:pPr>
              <w:pStyle w:val="100"/>
            </w:pPr>
            <w:r>
              <w:t>5.6.3.2</w:t>
            </w:r>
          </w:p>
        </w:tc>
        <w:tc>
          <w:tcPr>
            <w:tcW w:w="4052" w:type="dxa"/>
            <w:noWrap w:val="0"/>
            <w:vAlign w:val="top"/>
          </w:tcPr>
          <w:p>
            <w:pPr>
              <w:pStyle w:val="100"/>
            </w:pPr>
            <w:r>
              <w:rPr>
                <w:rFonts w:cs="Arial"/>
                <w:szCs w:val="18"/>
              </w:rPr>
              <w:t>Priority of TSC Flows</w:t>
            </w:r>
          </w:p>
        </w:tc>
        <w:tc>
          <w:tcPr>
            <w:tcW w:w="1750" w:type="dxa"/>
            <w:noWrap w:val="0"/>
            <w:vAlign w:val="top"/>
          </w:tcPr>
          <w:p>
            <w:pPr>
              <w:pStyle w:val="100"/>
              <w:rPr>
                <w:rFonts w:cs="Arial"/>
                <w:szCs w:val="18"/>
              </w:rPr>
            </w:pPr>
            <w:r>
              <w:rPr>
                <w:rFonts w:cs="Arial"/>
                <w:szCs w:val="18"/>
              </w:rP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rPr>
                <w:lang w:eastAsia="zh-CN"/>
              </w:rPr>
              <w:t>TscPriorityLevelRm</w:t>
            </w:r>
          </w:p>
        </w:tc>
        <w:tc>
          <w:tcPr>
            <w:tcW w:w="1578" w:type="dxa"/>
            <w:noWrap w:val="0"/>
            <w:vAlign w:val="top"/>
          </w:tcPr>
          <w:p>
            <w:pPr>
              <w:pStyle w:val="100"/>
            </w:pPr>
            <w:r>
              <w:t>5.6.3.2</w:t>
            </w:r>
          </w:p>
        </w:tc>
        <w:tc>
          <w:tcPr>
            <w:tcW w:w="4052" w:type="dxa"/>
            <w:noWrap w:val="0"/>
            <w:vAlign w:val="top"/>
          </w:tcPr>
          <w:p>
            <w:pPr>
              <w:pStyle w:val="100"/>
            </w:pPr>
            <w:r>
              <w:t>This data type is defined in the same way as the "TscPriorityLevel" data type, but with the OpenAPI "nullable: true" property</w:t>
            </w:r>
          </w:p>
        </w:tc>
        <w:tc>
          <w:tcPr>
            <w:tcW w:w="1750" w:type="dxa"/>
            <w:noWrap w:val="0"/>
            <w:vAlign w:val="top"/>
          </w:tcPr>
          <w:p>
            <w:pPr>
              <w:pStyle w:val="100"/>
              <w:rPr>
                <w:rFonts w:cs="Arial"/>
                <w:szCs w:val="18"/>
              </w:rPr>
            </w:pPr>
            <w:r>
              <w:rPr>
                <w:rFonts w:cs="Arial"/>
                <w:szCs w:val="18"/>
              </w:rP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TscaiInputContainer</w:t>
            </w:r>
          </w:p>
        </w:tc>
        <w:tc>
          <w:tcPr>
            <w:tcW w:w="1578" w:type="dxa"/>
            <w:noWrap w:val="0"/>
            <w:vAlign w:val="top"/>
          </w:tcPr>
          <w:p>
            <w:pPr>
              <w:pStyle w:val="100"/>
            </w:pPr>
            <w:r>
              <w:t>5.6.2.39</w:t>
            </w:r>
          </w:p>
        </w:tc>
        <w:tc>
          <w:tcPr>
            <w:tcW w:w="4052" w:type="dxa"/>
            <w:noWrap w:val="0"/>
            <w:vAlign w:val="top"/>
          </w:tcPr>
          <w:p>
            <w:pPr>
              <w:pStyle w:val="100"/>
            </w:pPr>
            <w:r>
              <w:t>TSCAI Input information container.</w:t>
            </w:r>
          </w:p>
        </w:tc>
        <w:tc>
          <w:tcPr>
            <w:tcW w:w="1750" w:type="dxa"/>
            <w:noWrap w:val="0"/>
            <w:vAlign w:val="top"/>
          </w:tcPr>
          <w:p>
            <w:pPr>
              <w:pStyle w:val="100"/>
              <w:rPr>
                <w:rFonts w:cs="Arial"/>
                <w:szCs w:val="18"/>
              </w:rPr>
            </w:pPr>
            <w:r>
              <w:rPr>
                <w:rFonts w:cs="Arial"/>
                <w:szCs w:val="18"/>
              </w:rP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TsnQosContainer</w:t>
            </w:r>
          </w:p>
        </w:tc>
        <w:tc>
          <w:tcPr>
            <w:tcW w:w="1578" w:type="dxa"/>
            <w:noWrap w:val="0"/>
            <w:vAlign w:val="top"/>
          </w:tcPr>
          <w:p>
            <w:pPr>
              <w:pStyle w:val="100"/>
            </w:pPr>
            <w:r>
              <w:t>5.6.2.35</w:t>
            </w:r>
          </w:p>
        </w:tc>
        <w:tc>
          <w:tcPr>
            <w:tcW w:w="4052" w:type="dxa"/>
            <w:noWrap w:val="0"/>
            <w:vAlign w:val="top"/>
          </w:tcPr>
          <w:p>
            <w:pPr>
              <w:pStyle w:val="100"/>
            </w:pPr>
            <w:r>
              <w:rPr>
                <w:rFonts w:cs="Arial"/>
                <w:szCs w:val="18"/>
              </w:rPr>
              <w:t>TSC traffic QoS parameters.</w:t>
            </w:r>
          </w:p>
        </w:tc>
        <w:tc>
          <w:tcPr>
            <w:tcW w:w="1750" w:type="dxa"/>
            <w:noWrap w:val="0"/>
            <w:vAlign w:val="top"/>
          </w:tcPr>
          <w:p>
            <w:pPr>
              <w:pStyle w:val="100"/>
              <w:rPr>
                <w:rFonts w:cs="Arial"/>
                <w:szCs w:val="18"/>
              </w:rPr>
            </w:pPr>
            <w: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TsnQosContainerRm</w:t>
            </w:r>
          </w:p>
        </w:tc>
        <w:tc>
          <w:tcPr>
            <w:tcW w:w="1578" w:type="dxa"/>
            <w:noWrap w:val="0"/>
            <w:vAlign w:val="top"/>
          </w:tcPr>
          <w:p>
            <w:pPr>
              <w:pStyle w:val="100"/>
            </w:pPr>
            <w:r>
              <w:t>5.6.2.38</w:t>
            </w:r>
          </w:p>
        </w:tc>
        <w:tc>
          <w:tcPr>
            <w:tcW w:w="4052" w:type="dxa"/>
            <w:noWrap w:val="0"/>
            <w:vAlign w:val="top"/>
          </w:tcPr>
          <w:p>
            <w:pPr>
              <w:pStyle w:val="100"/>
              <w:rPr>
                <w:rFonts w:cs="Arial"/>
                <w:szCs w:val="18"/>
              </w:rPr>
            </w:pPr>
            <w:r>
              <w:t>This data type is defined in the same way as the "TsnQosContainer" data type, but with the OpenAPI "nullable: true" property.</w:t>
            </w:r>
          </w:p>
        </w:tc>
        <w:tc>
          <w:tcPr>
            <w:tcW w:w="1750" w:type="dxa"/>
            <w:noWrap w:val="0"/>
            <w:vAlign w:val="top"/>
          </w:tcPr>
          <w:p>
            <w:pPr>
              <w:pStyle w:val="100"/>
            </w:pPr>
            <w:r>
              <w:rPr>
                <w:rFonts w:cs="Arial"/>
                <w:szCs w:val="18"/>
              </w:rP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UeIdentityInfo</w:t>
            </w:r>
          </w:p>
        </w:tc>
        <w:tc>
          <w:tcPr>
            <w:tcW w:w="1578" w:type="dxa"/>
            <w:noWrap w:val="0"/>
            <w:vAlign w:val="top"/>
          </w:tcPr>
          <w:p>
            <w:pPr>
              <w:pStyle w:val="100"/>
            </w:pPr>
            <w:r>
              <w:t>5.6.2.31</w:t>
            </w:r>
          </w:p>
        </w:tc>
        <w:tc>
          <w:tcPr>
            <w:tcW w:w="4052" w:type="dxa"/>
            <w:noWrap w:val="0"/>
            <w:vAlign w:val="top"/>
          </w:tcPr>
          <w:p>
            <w:pPr>
              <w:pStyle w:val="100"/>
            </w:pPr>
            <w:r>
              <w:t>Represents 5GS-Level UE Identities.</w:t>
            </w:r>
          </w:p>
        </w:tc>
        <w:tc>
          <w:tcPr>
            <w:tcW w:w="1750" w:type="dxa"/>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ins w:id="315" w:author="CMCC" w:date="2023-04-10T00:18:50Z"/>
          <w:del w:id="316" w:author="CMCC2" w:date="2023-04-19T07:07:17Z"/>
        </w:trPr>
        <w:tc>
          <w:tcPr>
            <w:tcW w:w="2239" w:type="dxa"/>
            <w:noWrap w:val="0"/>
            <w:vAlign w:val="top"/>
          </w:tcPr>
          <w:p>
            <w:pPr>
              <w:pStyle w:val="100"/>
              <w:rPr>
                <w:ins w:id="317" w:author="CMCC" w:date="2023-04-10T00:18:50Z"/>
                <w:del w:id="318" w:author="CMCC2" w:date="2023-04-19T07:07:17Z"/>
              </w:rPr>
            </w:pPr>
            <w:ins w:id="319" w:author="CMCC" w:date="2023-04-10T01:17:26Z">
              <w:del w:id="320" w:author="CMCC2" w:date="2023-04-19T07:07:17Z">
                <w:r>
                  <w:rPr>
                    <w:rFonts w:hint="eastAsia" w:eastAsia="宋体"/>
                    <w:lang w:val="en-US" w:eastAsia="zh-CN"/>
                  </w:rPr>
                  <w:delText>PduSetQosContainer</w:delText>
                </w:r>
              </w:del>
            </w:ins>
          </w:p>
        </w:tc>
        <w:tc>
          <w:tcPr>
            <w:tcW w:w="1578" w:type="dxa"/>
            <w:noWrap w:val="0"/>
            <w:vAlign w:val="top"/>
          </w:tcPr>
          <w:p>
            <w:pPr>
              <w:pStyle w:val="100"/>
              <w:rPr>
                <w:ins w:id="321" w:author="CMCC" w:date="2023-04-10T00:18:50Z"/>
                <w:del w:id="322" w:author="CMCC2" w:date="2023-04-19T07:07:17Z"/>
                <w:rFonts w:hint="default" w:eastAsia="宋体"/>
                <w:lang w:val="en-US" w:eastAsia="zh-CN"/>
              </w:rPr>
            </w:pPr>
            <w:ins w:id="323" w:author="CMCC" w:date="2023-04-10T00:19:13Z">
              <w:del w:id="324" w:author="CMCC2" w:date="2023-04-19T07:07:17Z">
                <w:r>
                  <w:rPr/>
                  <w:delText>5.6.2.</w:delText>
                </w:r>
              </w:del>
            </w:ins>
            <w:ins w:id="325" w:author="CMCC" w:date="2023-04-10T00:20:39Z">
              <w:del w:id="326" w:author="CMCC2" w:date="2023-04-19T07:07:17Z">
                <w:r>
                  <w:rPr>
                    <w:rFonts w:hint="eastAsia" w:eastAsia="宋体"/>
                    <w:lang w:val="en-US" w:eastAsia="zh-CN"/>
                  </w:rPr>
                  <w:delText>X</w:delText>
                </w:r>
              </w:del>
            </w:ins>
            <w:ins w:id="327" w:author="CMCC" w:date="2023-04-10T00:20:51Z">
              <w:del w:id="328" w:author="CMCC2" w:date="2023-04-19T07:07:17Z">
                <w:r>
                  <w:rPr>
                    <w:rFonts w:hint="eastAsia" w:eastAsia="宋体"/>
                    <w:lang w:val="en-US" w:eastAsia="zh-CN"/>
                  </w:rPr>
                  <w:delText>1</w:delText>
                </w:r>
              </w:del>
            </w:ins>
          </w:p>
        </w:tc>
        <w:tc>
          <w:tcPr>
            <w:tcW w:w="4052" w:type="dxa"/>
            <w:noWrap w:val="0"/>
            <w:vAlign w:val="top"/>
          </w:tcPr>
          <w:p>
            <w:pPr>
              <w:pStyle w:val="100"/>
              <w:rPr>
                <w:ins w:id="329" w:author="CMCC" w:date="2023-04-10T00:18:50Z"/>
                <w:del w:id="330" w:author="CMCC2" w:date="2023-04-19T07:07:17Z"/>
              </w:rPr>
            </w:pPr>
            <w:ins w:id="331" w:author="CMCC" w:date="2023-04-10T00:19:17Z">
              <w:del w:id="332" w:author="CMCC2" w:date="2023-04-19T07:07:17Z">
                <w:r>
                  <w:rPr>
                    <w:rFonts w:hint="eastAsia" w:eastAsia="宋体" w:cs="Arial"/>
                    <w:szCs w:val="18"/>
                    <w:lang w:val="en-US" w:eastAsia="zh-CN"/>
                  </w:rPr>
                  <w:delText xml:space="preserve">PDU </w:delText>
                </w:r>
              </w:del>
            </w:ins>
            <w:ins w:id="333" w:author="CMCC" w:date="2023-04-10T00:19:32Z">
              <w:del w:id="334" w:author="CMCC2" w:date="2023-04-19T07:07:17Z">
                <w:r>
                  <w:rPr>
                    <w:rFonts w:hint="eastAsia" w:eastAsia="宋体" w:cs="Arial"/>
                    <w:szCs w:val="18"/>
                    <w:lang w:val="en-US" w:eastAsia="zh-CN"/>
                  </w:rPr>
                  <w:delText>S</w:delText>
                </w:r>
              </w:del>
            </w:ins>
            <w:ins w:id="335" w:author="CMCC" w:date="2023-04-10T00:19:17Z">
              <w:del w:id="336" w:author="CMCC2" w:date="2023-04-19T07:07:17Z">
                <w:r>
                  <w:rPr>
                    <w:rFonts w:hint="eastAsia" w:eastAsia="宋体" w:cs="Arial"/>
                    <w:szCs w:val="18"/>
                    <w:lang w:val="en-US" w:eastAsia="zh-CN"/>
                  </w:rPr>
                  <w:delText>et</w:delText>
                </w:r>
              </w:del>
            </w:ins>
            <w:ins w:id="337" w:author="CMCC" w:date="2023-04-10T00:19:15Z">
              <w:del w:id="338" w:author="CMCC2" w:date="2023-04-19T07:07:17Z">
                <w:r>
                  <w:rPr>
                    <w:rFonts w:cs="Arial"/>
                    <w:szCs w:val="18"/>
                  </w:rPr>
                  <w:delText xml:space="preserve"> QoS parameters.</w:delText>
                </w:r>
              </w:del>
            </w:ins>
          </w:p>
        </w:tc>
        <w:tc>
          <w:tcPr>
            <w:tcW w:w="1750" w:type="dxa"/>
            <w:noWrap w:val="0"/>
            <w:vAlign w:val="top"/>
          </w:tcPr>
          <w:p>
            <w:pPr>
              <w:pStyle w:val="100"/>
              <w:rPr>
                <w:ins w:id="339" w:author="CMCC" w:date="2023-04-10T00:18:50Z"/>
                <w:del w:id="340" w:author="CMCC2" w:date="2023-04-19T07:07:17Z"/>
                <w:rFonts w:hint="default" w:eastAsia="宋体" w:cs="Arial"/>
                <w:szCs w:val="18"/>
                <w:lang w:val="en-US" w:eastAsia="zh-CN"/>
              </w:rPr>
            </w:pPr>
            <w:ins w:id="341" w:author="CMCC" w:date="2023-04-10T18:39:10Z">
              <w:del w:id="342" w:author="CMCC2" w:date="2023-04-19T07:07:17Z">
                <w:r>
                  <w:rPr>
                    <w:rFonts w:hint="eastAsia" w:eastAsia="宋体" w:cs="Arial"/>
                    <w:szCs w:val="18"/>
                    <w:lang w:val="en-US" w:eastAsia="zh-CN"/>
                  </w:rPr>
                  <w:delText>X</w:delText>
                </w:r>
              </w:del>
            </w:ins>
            <w:ins w:id="343" w:author="CMCC" w:date="2023-04-10T18:39:11Z">
              <w:del w:id="344" w:author="CMCC2" w:date="2023-04-19T07:07:17Z">
                <w:r>
                  <w:rPr>
                    <w:rFonts w:hint="eastAsia" w:eastAsia="宋体" w:cs="Arial"/>
                    <w:szCs w:val="18"/>
                    <w:lang w:val="en-US" w:eastAsia="zh-CN"/>
                  </w:rPr>
                  <w:delText>RM_5</w:delText>
                </w:r>
              </w:del>
            </w:ins>
            <w:ins w:id="345" w:author="CMCC" w:date="2023-04-10T18:39:12Z">
              <w:del w:id="346" w:author="CMCC2" w:date="2023-04-19T07:07:17Z">
                <w:r>
                  <w:rPr>
                    <w:rFonts w:hint="eastAsia" w:eastAsia="宋体" w:cs="Arial"/>
                    <w:szCs w:val="18"/>
                    <w:lang w:val="en-US" w:eastAsia="zh-CN"/>
                  </w:rPr>
                  <w:delText>G</w:delText>
                </w:r>
              </w:del>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ins w:id="347" w:author="CMCC" w:date="2023-04-10T00:20:43Z"/>
          <w:del w:id="348" w:author="CMCC2" w:date="2023-04-19T07:07:17Z"/>
        </w:trPr>
        <w:tc>
          <w:tcPr>
            <w:tcW w:w="2239" w:type="dxa"/>
            <w:noWrap w:val="0"/>
            <w:vAlign w:val="top"/>
          </w:tcPr>
          <w:p>
            <w:pPr>
              <w:pStyle w:val="100"/>
              <w:rPr>
                <w:ins w:id="349" w:author="CMCC" w:date="2023-04-10T00:20:43Z"/>
                <w:del w:id="350" w:author="CMCC2" w:date="2023-04-19T07:07:17Z"/>
                <w:rFonts w:hint="default" w:eastAsia="宋体"/>
                <w:lang w:val="en-US" w:eastAsia="zh-CN"/>
              </w:rPr>
            </w:pPr>
            <w:ins w:id="351" w:author="CMCC" w:date="2023-04-10T01:17:45Z">
              <w:del w:id="352" w:author="CMCC2" w:date="2023-04-19T07:07:17Z">
                <w:r>
                  <w:rPr>
                    <w:rFonts w:hint="eastAsia" w:eastAsia="宋体"/>
                    <w:lang w:val="en-US" w:eastAsia="zh-CN"/>
                  </w:rPr>
                  <w:delText>PduSetQosContainerRm</w:delText>
                </w:r>
              </w:del>
            </w:ins>
          </w:p>
        </w:tc>
        <w:tc>
          <w:tcPr>
            <w:tcW w:w="1578" w:type="dxa"/>
            <w:noWrap w:val="0"/>
            <w:vAlign w:val="top"/>
          </w:tcPr>
          <w:p>
            <w:pPr>
              <w:pStyle w:val="100"/>
              <w:rPr>
                <w:ins w:id="353" w:author="CMCC" w:date="2023-04-10T00:20:43Z"/>
                <w:del w:id="354" w:author="CMCC2" w:date="2023-04-19T07:07:17Z"/>
                <w:rFonts w:hint="default"/>
                <w:lang w:val="en-US"/>
              </w:rPr>
            </w:pPr>
            <w:ins w:id="355" w:author="CMCC" w:date="2023-04-10T00:20:50Z">
              <w:del w:id="356" w:author="CMCC2" w:date="2023-04-19T07:07:17Z">
                <w:r>
                  <w:rPr/>
                  <w:delText>5.6.2.</w:delText>
                </w:r>
              </w:del>
            </w:ins>
            <w:ins w:id="357" w:author="CMCC" w:date="2023-04-10T00:20:50Z">
              <w:del w:id="358" w:author="CMCC2" w:date="2023-04-19T07:07:17Z">
                <w:r>
                  <w:rPr>
                    <w:rFonts w:hint="eastAsia" w:eastAsia="宋体"/>
                    <w:lang w:val="en-US" w:eastAsia="zh-CN"/>
                  </w:rPr>
                  <w:delText>X</w:delText>
                </w:r>
              </w:del>
            </w:ins>
            <w:ins w:id="359" w:author="CMCC" w:date="2023-04-10T00:20:51Z">
              <w:del w:id="360" w:author="CMCC2" w:date="2023-04-19T07:07:17Z">
                <w:r>
                  <w:rPr>
                    <w:rFonts w:hint="eastAsia" w:eastAsia="宋体"/>
                    <w:lang w:val="en-US" w:eastAsia="zh-CN"/>
                  </w:rPr>
                  <w:delText>2</w:delText>
                </w:r>
              </w:del>
            </w:ins>
          </w:p>
        </w:tc>
        <w:tc>
          <w:tcPr>
            <w:tcW w:w="4052" w:type="dxa"/>
            <w:noWrap w:val="0"/>
            <w:vAlign w:val="top"/>
          </w:tcPr>
          <w:p>
            <w:pPr>
              <w:pStyle w:val="100"/>
              <w:rPr>
                <w:ins w:id="361" w:author="CMCC" w:date="2023-04-10T00:20:43Z"/>
                <w:del w:id="362" w:author="CMCC2" w:date="2023-04-19T07:07:17Z"/>
                <w:rFonts w:hint="eastAsia" w:eastAsia="宋体" w:cs="Arial"/>
                <w:szCs w:val="18"/>
                <w:lang w:val="en-US" w:eastAsia="zh-CN"/>
              </w:rPr>
            </w:pPr>
            <w:ins w:id="363" w:author="CMCC" w:date="2023-04-10T00:21:02Z">
              <w:del w:id="364" w:author="CMCC2" w:date="2023-04-19T07:07:17Z">
                <w:r>
                  <w:rPr/>
                  <w:delText>This data type is defined in the same way as the "</w:delText>
                </w:r>
              </w:del>
            </w:ins>
            <w:ins w:id="365" w:author="CMCC" w:date="2023-04-10T01:17:26Z">
              <w:del w:id="366" w:author="CMCC2" w:date="2023-04-19T07:07:17Z">
                <w:r>
                  <w:rPr>
                    <w:rFonts w:hint="eastAsia" w:eastAsia="宋体"/>
                    <w:lang w:val="en-US" w:eastAsia="zh-CN"/>
                  </w:rPr>
                  <w:delText>PduSetQosContainer</w:delText>
                </w:r>
              </w:del>
            </w:ins>
            <w:ins w:id="367" w:author="CMCC" w:date="2023-04-10T00:21:02Z">
              <w:del w:id="368" w:author="CMCC2" w:date="2023-04-19T07:07:17Z">
                <w:r>
                  <w:rPr/>
                  <w:delText>" data type, but with the OpenAPI "nullable: true" property.</w:delText>
                </w:r>
              </w:del>
            </w:ins>
          </w:p>
        </w:tc>
        <w:tc>
          <w:tcPr>
            <w:tcW w:w="1750" w:type="dxa"/>
            <w:noWrap w:val="0"/>
            <w:vAlign w:val="top"/>
          </w:tcPr>
          <w:p>
            <w:pPr>
              <w:pStyle w:val="100"/>
              <w:rPr>
                <w:ins w:id="369" w:author="CMCC" w:date="2023-04-10T00:20:43Z"/>
                <w:del w:id="370" w:author="CMCC2" w:date="2023-04-19T07:07:17Z"/>
                <w:rFonts w:hint="eastAsia" w:eastAsia="宋体"/>
                <w:color w:val="auto"/>
                <w:highlight w:val="none"/>
                <w:u w:val="none"/>
                <w:lang w:val="en-US" w:eastAsia="zh-CN"/>
              </w:rPr>
            </w:pPr>
            <w:ins w:id="371" w:author="CMCC" w:date="2023-04-10T18:39:16Z">
              <w:del w:id="372" w:author="CMCC2" w:date="2023-04-19T07:07:17Z">
                <w:r>
                  <w:rPr>
                    <w:rFonts w:hint="eastAsia" w:eastAsia="宋体" w:cs="Arial"/>
                    <w:szCs w:val="18"/>
                    <w:lang w:val="en-US" w:eastAsia="zh-CN"/>
                  </w:rPr>
                  <w:delText>XRM_5G</w:delText>
                </w:r>
              </w:del>
            </w:ins>
          </w:p>
        </w:tc>
      </w:tr>
    </w:tbl>
    <w:p>
      <w:pPr>
        <w:rPr>
          <w:rFonts w:hint="eastAsia" w:eastAsia="宋体"/>
          <w:lang w:eastAsia="zh-CN"/>
        </w:rPr>
      </w:pPr>
    </w:p>
    <w:p>
      <w:r>
        <w:t>Table 5.6.1-2 specifies data types re-used by the Npcf_PolicyAuthorization service based interface protocol from other specifications, including a reference to their respective specifications and when needed, a short description of their use within the Npcf_PolicyAuthorization service based interface.</w:t>
      </w:r>
    </w:p>
    <w:p>
      <w:pPr>
        <w:pStyle w:val="102"/>
      </w:pPr>
      <w:r>
        <w:t>Table 5.6.1-2: Npcf_PolicyAuthorization re-used Data Types</w:t>
      </w:r>
    </w:p>
    <w:tbl>
      <w:tblPr>
        <w:tblStyle w:val="89"/>
        <w:tblW w:w="965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15" w:type="dxa"/>
        </w:tblCellMar>
      </w:tblPr>
      <w:tblGrid>
        <w:gridCol w:w="36"/>
        <w:gridCol w:w="1933"/>
        <w:gridCol w:w="36"/>
        <w:gridCol w:w="1944"/>
        <w:gridCol w:w="36"/>
        <w:gridCol w:w="3744"/>
        <w:gridCol w:w="36"/>
        <w:gridCol w:w="1854"/>
        <w:gridCol w:w="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tblHeader/>
          <w:jc w:val="center"/>
        </w:trPr>
        <w:tc>
          <w:tcPr>
            <w:tcW w:w="1969" w:type="dxa"/>
            <w:gridSpan w:val="2"/>
            <w:shd w:val="clear" w:color="auto" w:fill="C0C0C0"/>
            <w:noWrap w:val="0"/>
            <w:vAlign w:val="top"/>
          </w:tcPr>
          <w:p>
            <w:pPr>
              <w:pStyle w:val="98"/>
            </w:pPr>
            <w:r>
              <w:t>Data type</w:t>
            </w:r>
          </w:p>
        </w:tc>
        <w:tc>
          <w:tcPr>
            <w:tcW w:w="1980" w:type="dxa"/>
            <w:gridSpan w:val="2"/>
            <w:shd w:val="clear" w:color="auto" w:fill="C0C0C0"/>
            <w:noWrap w:val="0"/>
            <w:vAlign w:val="top"/>
          </w:tcPr>
          <w:p>
            <w:pPr>
              <w:pStyle w:val="98"/>
            </w:pPr>
            <w:r>
              <w:t>Reference</w:t>
            </w:r>
          </w:p>
        </w:tc>
        <w:tc>
          <w:tcPr>
            <w:tcW w:w="3780" w:type="dxa"/>
            <w:gridSpan w:val="2"/>
            <w:shd w:val="clear" w:color="auto" w:fill="C0C0C0"/>
            <w:noWrap w:val="0"/>
            <w:vAlign w:val="top"/>
          </w:tcPr>
          <w:p>
            <w:pPr>
              <w:pStyle w:val="98"/>
            </w:pPr>
            <w:r>
              <w:t>Comments</w:t>
            </w:r>
          </w:p>
        </w:tc>
        <w:tc>
          <w:tcPr>
            <w:tcW w:w="1890" w:type="dxa"/>
            <w:gridSpan w:val="2"/>
            <w:shd w:val="clear" w:color="auto" w:fill="C0C0C0"/>
            <w:noWrap w:val="0"/>
            <w:vAlign w:val="top"/>
          </w:tcPr>
          <w:p>
            <w:pPr>
              <w:pStyle w:val="98"/>
            </w:pPr>
            <w:r>
              <w:t>Applicability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bookmarkStart w:id="71" w:name="_Hlk530135456"/>
            <w:r>
              <w:rPr>
                <w:lang w:eastAsia="zh-CN"/>
              </w:rPr>
              <w:t>AccNetChargingAddress</w:t>
            </w:r>
            <w:bookmarkEnd w:id="71"/>
          </w:p>
        </w:tc>
        <w:tc>
          <w:tcPr>
            <w:tcW w:w="1980" w:type="dxa"/>
            <w:gridSpan w:val="2"/>
            <w:noWrap w:val="0"/>
            <w:vAlign w:val="top"/>
          </w:tcPr>
          <w:p>
            <w:pPr>
              <w:pStyle w:val="100"/>
            </w:pPr>
            <w:r>
              <w:t>3GPP TS 29.512 [8]</w:t>
            </w:r>
          </w:p>
        </w:tc>
        <w:tc>
          <w:tcPr>
            <w:tcW w:w="3780" w:type="dxa"/>
            <w:gridSpan w:val="2"/>
            <w:noWrap w:val="0"/>
            <w:vAlign w:val="top"/>
          </w:tcPr>
          <w:p>
            <w:pPr>
              <w:pStyle w:val="100"/>
            </w:pPr>
            <w:r>
              <w:rPr>
                <w:rFonts w:cs="Arial"/>
                <w:szCs w:val="18"/>
              </w:rPr>
              <w:t>Indicates the IP address of the network entity within the access network performing charging.</w:t>
            </w:r>
          </w:p>
        </w:tc>
        <w:tc>
          <w:tcPr>
            <w:tcW w:w="1890" w:type="dxa"/>
            <w:gridSpan w:val="2"/>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rPr>
                <w:lang w:eastAsia="zh-CN"/>
              </w:rPr>
            </w:pPr>
            <w:r>
              <w:t>AccessType</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t>The identification of the type of access network.</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rPr>
                <w:lang w:eastAsia="zh-CN"/>
              </w:rPr>
            </w:pPr>
            <w:r>
              <w:rPr>
                <w:lang w:eastAsia="zh-CN"/>
              </w:rPr>
              <w:t>AccumulatedUsage</w:t>
            </w:r>
          </w:p>
        </w:tc>
        <w:tc>
          <w:tcPr>
            <w:tcW w:w="1980" w:type="dxa"/>
            <w:gridSpan w:val="2"/>
            <w:noWrap w:val="0"/>
            <w:vAlign w:val="top"/>
          </w:tcPr>
          <w:p>
            <w:pPr>
              <w:pStyle w:val="100"/>
            </w:pPr>
            <w:r>
              <w:t>3GPP TS 29.122 [15]</w:t>
            </w:r>
          </w:p>
        </w:tc>
        <w:tc>
          <w:tcPr>
            <w:tcW w:w="3780" w:type="dxa"/>
            <w:gridSpan w:val="2"/>
            <w:noWrap w:val="0"/>
            <w:vAlign w:val="top"/>
          </w:tcPr>
          <w:p>
            <w:pPr>
              <w:pStyle w:val="100"/>
              <w:rPr>
                <w:rFonts w:cs="Arial"/>
                <w:szCs w:val="18"/>
              </w:rPr>
            </w:pPr>
            <w:r>
              <w:rPr>
                <w:rFonts w:cs="Arial"/>
                <w:szCs w:val="18"/>
              </w:rPr>
              <w:t>Accumulated Usage.</w:t>
            </w:r>
          </w:p>
        </w:tc>
        <w:tc>
          <w:tcPr>
            <w:tcW w:w="1890" w:type="dxa"/>
            <w:gridSpan w:val="2"/>
            <w:noWrap w:val="0"/>
            <w:vAlign w:val="top"/>
          </w:tcPr>
          <w:p>
            <w:pPr>
              <w:pStyle w:val="100"/>
              <w:rPr>
                <w:rFonts w:cs="Arial"/>
                <w:szCs w:val="18"/>
              </w:rPr>
            </w:pPr>
            <w:r>
              <w:rPr>
                <w:rFonts w:cs="Arial"/>
                <w:szCs w:val="18"/>
              </w:rPr>
              <w:t>SponsoredConnectivity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rPr>
                <w:lang w:eastAsia="zh-CN"/>
              </w:rPr>
            </w:pPr>
            <w:r>
              <w:t>AdditionalAccessInfo</w:t>
            </w:r>
          </w:p>
        </w:tc>
        <w:tc>
          <w:tcPr>
            <w:tcW w:w="1980" w:type="dxa"/>
            <w:gridSpan w:val="2"/>
            <w:noWrap w:val="0"/>
            <w:vAlign w:val="top"/>
          </w:tcPr>
          <w:p>
            <w:pPr>
              <w:pStyle w:val="100"/>
            </w:pPr>
            <w:r>
              <w:t>3GPP TS 29.512 [8]</w:t>
            </w:r>
          </w:p>
        </w:tc>
        <w:tc>
          <w:tcPr>
            <w:tcW w:w="3780" w:type="dxa"/>
            <w:gridSpan w:val="2"/>
            <w:noWrap w:val="0"/>
            <w:vAlign w:val="top"/>
          </w:tcPr>
          <w:p>
            <w:pPr>
              <w:pStyle w:val="100"/>
              <w:rPr>
                <w:rFonts w:cs="Arial"/>
                <w:szCs w:val="18"/>
              </w:rPr>
            </w:pPr>
            <w:r>
              <w:rPr>
                <w:rFonts w:hint="eastAsia"/>
                <w:lang w:eastAsia="zh-CN"/>
              </w:rPr>
              <w:t>Ind</w:t>
            </w:r>
            <w:r>
              <w:rPr>
                <w:lang w:eastAsia="zh-CN"/>
              </w:rPr>
              <w:t>icates the combination of additional A</w:t>
            </w:r>
            <w:r>
              <w:rPr>
                <w:rFonts w:hint="eastAsia"/>
                <w:lang w:eastAsia="zh-CN"/>
              </w:rPr>
              <w:t>ccess</w:t>
            </w:r>
            <w:r>
              <w:rPr>
                <w:lang w:eastAsia="zh-CN"/>
              </w:rPr>
              <w:t xml:space="preserve"> Type and RAT Type for MA PDU session</w:t>
            </w:r>
          </w:p>
        </w:tc>
        <w:tc>
          <w:tcPr>
            <w:tcW w:w="1890" w:type="dxa"/>
            <w:gridSpan w:val="2"/>
            <w:noWrap w:val="0"/>
            <w:vAlign w:val="top"/>
          </w:tcPr>
          <w:p>
            <w:pPr>
              <w:pStyle w:val="100"/>
              <w:rPr>
                <w:rFonts w:cs="Arial"/>
                <w:szCs w:val="18"/>
              </w:rPr>
            </w:pPr>
            <w:r>
              <w:rPr>
                <w:rFonts w:cs="Arial"/>
                <w:szCs w:val="18"/>
              </w:rPr>
              <w:t>ATSSS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rPr>
                <w:lang w:eastAsia="zh-CN"/>
              </w:rPr>
            </w:pPr>
            <w:r>
              <w:rPr>
                <w:lang w:eastAsia="zh-CN"/>
              </w:rPr>
              <w:t>AfSigProtocol</w:t>
            </w:r>
          </w:p>
        </w:tc>
        <w:tc>
          <w:tcPr>
            <w:tcW w:w="1980" w:type="dxa"/>
            <w:gridSpan w:val="2"/>
            <w:noWrap w:val="0"/>
            <w:vAlign w:val="top"/>
          </w:tcPr>
          <w:p>
            <w:pPr>
              <w:pStyle w:val="100"/>
            </w:pPr>
            <w:r>
              <w:t>3GPP TS 29.512 [8]</w:t>
            </w:r>
          </w:p>
        </w:tc>
        <w:tc>
          <w:tcPr>
            <w:tcW w:w="3780" w:type="dxa"/>
            <w:gridSpan w:val="2"/>
            <w:noWrap w:val="0"/>
            <w:vAlign w:val="top"/>
          </w:tcPr>
          <w:p>
            <w:pPr>
              <w:pStyle w:val="100"/>
              <w:rPr>
                <w:rFonts w:cs="Arial"/>
                <w:szCs w:val="18"/>
              </w:rPr>
            </w:pPr>
            <w:r>
              <w:t>Represents the protocol used for signalling between the UE and the NF service consumer.</w:t>
            </w:r>
          </w:p>
        </w:tc>
        <w:tc>
          <w:tcPr>
            <w:tcW w:w="1890" w:type="dxa"/>
            <w:gridSpan w:val="2"/>
            <w:noWrap w:val="0"/>
            <w:vAlign w:val="top"/>
          </w:tcPr>
          <w:p>
            <w:pPr>
              <w:pStyle w:val="100"/>
              <w:rPr>
                <w:rFonts w:cs="Arial"/>
                <w:szCs w:val="18"/>
              </w:rPr>
            </w:pPr>
            <w:r>
              <w:rPr>
                <w:rFonts w:cs="Arial"/>
                <w:szCs w:val="18"/>
              </w:rPr>
              <w:t>ProvAFsignalFlow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rPr>
                <w:lang w:eastAsia="zh-CN"/>
              </w:rPr>
            </w:pPr>
            <w:r>
              <w:t>ApplicationChargingId</w:t>
            </w:r>
          </w:p>
        </w:tc>
        <w:tc>
          <w:tcPr>
            <w:tcW w:w="1980" w:type="dxa"/>
            <w:gridSpan w:val="2"/>
            <w:noWrap w:val="0"/>
            <w:vAlign w:val="top"/>
          </w:tcPr>
          <w:p>
            <w:pPr>
              <w:pStyle w:val="100"/>
            </w:pPr>
            <w:r>
              <w:t>3GPP TS 29.571 [12]</w:t>
            </w:r>
          </w:p>
        </w:tc>
        <w:tc>
          <w:tcPr>
            <w:tcW w:w="3780" w:type="dxa"/>
            <w:gridSpan w:val="2"/>
            <w:noWrap w:val="0"/>
            <w:vAlign w:val="top"/>
          </w:tcPr>
          <w:p>
            <w:pPr>
              <w:pStyle w:val="100"/>
            </w:pPr>
            <w:r>
              <w:rPr>
                <w:lang w:bidi="ar-IQ"/>
              </w:rPr>
              <w:t>Application provided charging identifier allowing correlation of charging information.</w:t>
            </w:r>
          </w:p>
        </w:tc>
        <w:tc>
          <w:tcPr>
            <w:tcW w:w="1890" w:type="dxa"/>
            <w:gridSpan w:val="2"/>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rPr>
                <w:lang w:eastAsia="zh-CN"/>
              </w:rPr>
              <w:t>BdtReferenceId</w:t>
            </w:r>
          </w:p>
        </w:tc>
        <w:tc>
          <w:tcPr>
            <w:tcW w:w="1980" w:type="dxa"/>
            <w:gridSpan w:val="2"/>
            <w:noWrap w:val="0"/>
            <w:vAlign w:val="top"/>
          </w:tcPr>
          <w:p>
            <w:pPr>
              <w:pStyle w:val="100"/>
            </w:pPr>
            <w:r>
              <w:t>3GPP TS 29.122 [15]</w:t>
            </w:r>
          </w:p>
        </w:tc>
        <w:tc>
          <w:tcPr>
            <w:tcW w:w="3780" w:type="dxa"/>
            <w:gridSpan w:val="2"/>
            <w:noWrap w:val="0"/>
            <w:vAlign w:val="top"/>
          </w:tcPr>
          <w:p>
            <w:pPr>
              <w:pStyle w:val="100"/>
              <w:rPr>
                <w:rFonts w:cs="Arial"/>
                <w:szCs w:val="18"/>
              </w:rPr>
            </w:pPr>
            <w:r>
              <w:rPr>
                <w:rFonts w:cs="Arial"/>
                <w:szCs w:val="18"/>
              </w:rPr>
              <w:t>Identifies transfer policies.</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rPr>
                <w:rFonts w:eastAsia="Times New Roman" w:cs="Arial"/>
              </w:rPr>
              <w:t>BitRate</w:t>
            </w:r>
          </w:p>
        </w:tc>
        <w:tc>
          <w:tcPr>
            <w:tcW w:w="1980" w:type="dxa"/>
            <w:gridSpan w:val="2"/>
            <w:noWrap w:val="0"/>
            <w:vAlign w:val="top"/>
          </w:tcPr>
          <w:p>
            <w:pPr>
              <w:pStyle w:val="100"/>
            </w:pPr>
            <w:r>
              <w:rPr>
                <w:rFonts w:cs="Arial"/>
              </w:rPr>
              <w:t>3GPP TS 29.571 [12]</w:t>
            </w:r>
          </w:p>
        </w:tc>
        <w:tc>
          <w:tcPr>
            <w:tcW w:w="3780" w:type="dxa"/>
            <w:gridSpan w:val="2"/>
            <w:noWrap w:val="0"/>
            <w:vAlign w:val="top"/>
          </w:tcPr>
          <w:p>
            <w:pPr>
              <w:pStyle w:val="100"/>
              <w:rPr>
                <w:rFonts w:cs="Arial"/>
                <w:szCs w:val="18"/>
              </w:rPr>
            </w:pPr>
            <w:r>
              <w:rPr>
                <w:rFonts w:cs="Arial"/>
              </w:rPr>
              <w:t>Specifies bitrate in kbits per second.</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rPr>
                <w:rFonts w:eastAsia="Times New Roman" w:cs="Arial"/>
              </w:rPr>
            </w:pPr>
            <w:r>
              <w:rPr>
                <w:rFonts w:cs="Arial"/>
              </w:rPr>
              <w:t>BitRateRm</w:t>
            </w:r>
          </w:p>
        </w:tc>
        <w:tc>
          <w:tcPr>
            <w:tcW w:w="1980" w:type="dxa"/>
            <w:gridSpan w:val="2"/>
            <w:noWrap w:val="0"/>
            <w:vAlign w:val="top"/>
          </w:tcPr>
          <w:p>
            <w:pPr>
              <w:pStyle w:val="100"/>
              <w:rPr>
                <w:rFonts w:cs="Arial"/>
              </w:rPr>
            </w:pPr>
            <w:r>
              <w:rPr>
                <w:rFonts w:cs="Arial"/>
              </w:rPr>
              <w:t>3GPP TS 29.571 [12]</w:t>
            </w:r>
          </w:p>
        </w:tc>
        <w:tc>
          <w:tcPr>
            <w:tcW w:w="3780" w:type="dxa"/>
            <w:gridSpan w:val="2"/>
            <w:noWrap w:val="0"/>
            <w:vAlign w:val="top"/>
          </w:tcPr>
          <w:p>
            <w:pPr>
              <w:pStyle w:val="100"/>
              <w:rPr>
                <w:rFonts w:cs="Arial"/>
              </w:rPr>
            </w:pPr>
            <w:r>
              <w:t>This data type is defined in the same way as the "BitRate" data type, but with the OpenAPI "nullable: true" property.</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rPr>
                <w:rFonts w:cs="Arial"/>
              </w:rPr>
            </w:pPr>
            <w:r>
              <w:t>BridgeManagementContainer</w:t>
            </w:r>
          </w:p>
        </w:tc>
        <w:tc>
          <w:tcPr>
            <w:tcW w:w="1980" w:type="dxa"/>
            <w:gridSpan w:val="2"/>
            <w:noWrap w:val="0"/>
            <w:vAlign w:val="top"/>
          </w:tcPr>
          <w:p>
            <w:pPr>
              <w:pStyle w:val="100"/>
              <w:rPr>
                <w:rFonts w:cs="Arial"/>
              </w:rPr>
            </w:pPr>
            <w:r>
              <w:t>3GPP TS 29.512 [8]</w:t>
            </w:r>
          </w:p>
        </w:tc>
        <w:tc>
          <w:tcPr>
            <w:tcW w:w="3780" w:type="dxa"/>
            <w:gridSpan w:val="2"/>
            <w:noWrap w:val="0"/>
            <w:vAlign w:val="top"/>
          </w:tcPr>
          <w:p>
            <w:pPr>
              <w:pStyle w:val="100"/>
            </w:pPr>
            <w:r>
              <w:rPr>
                <w:rFonts w:cs="Arial"/>
                <w:szCs w:val="18"/>
              </w:rPr>
              <w:t>Contains TSC user plane node management information.</w:t>
            </w:r>
          </w:p>
        </w:tc>
        <w:tc>
          <w:tcPr>
            <w:tcW w:w="1890" w:type="dxa"/>
            <w:gridSpan w:val="2"/>
            <w:noWrap w:val="0"/>
            <w:vAlign w:val="top"/>
          </w:tcPr>
          <w:p>
            <w:pPr>
              <w:pStyle w:val="100"/>
              <w:rPr>
                <w:rFonts w:cs="Arial"/>
                <w:szCs w:val="18"/>
              </w:rPr>
            </w:pPr>
            <w:r>
              <w:rPr>
                <w:rFonts w:cs="Arial"/>
                <w:szCs w:val="18"/>
              </w:rP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rPr>
                <w:rFonts w:cs="Arial"/>
              </w:rPr>
            </w:pPr>
            <w:r>
              <w:t>Bytes</w:t>
            </w:r>
          </w:p>
        </w:tc>
        <w:tc>
          <w:tcPr>
            <w:tcW w:w="1980" w:type="dxa"/>
            <w:gridSpan w:val="2"/>
            <w:noWrap w:val="0"/>
            <w:vAlign w:val="top"/>
          </w:tcPr>
          <w:p>
            <w:pPr>
              <w:pStyle w:val="100"/>
              <w:rPr>
                <w:rFonts w:cs="Arial"/>
              </w:rPr>
            </w:pPr>
            <w:r>
              <w:t>3GPP TS 29.571 [12]</w:t>
            </w:r>
          </w:p>
        </w:tc>
        <w:tc>
          <w:tcPr>
            <w:tcW w:w="3780" w:type="dxa"/>
            <w:gridSpan w:val="2"/>
            <w:noWrap w:val="0"/>
            <w:vAlign w:val="top"/>
          </w:tcPr>
          <w:p>
            <w:pPr>
              <w:pStyle w:val="100"/>
            </w:pPr>
            <w:r>
              <w:t>String with format "byte".</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rPr>
                <w:rFonts w:cs="Arial"/>
              </w:rPr>
            </w:pPr>
            <w:r>
              <w:t>ChargingId</w:t>
            </w:r>
          </w:p>
        </w:tc>
        <w:tc>
          <w:tcPr>
            <w:tcW w:w="1980" w:type="dxa"/>
            <w:gridSpan w:val="2"/>
            <w:noWrap w:val="0"/>
            <w:vAlign w:val="top"/>
          </w:tcPr>
          <w:p>
            <w:pPr>
              <w:pStyle w:val="100"/>
              <w:rPr>
                <w:rFonts w:cs="Arial"/>
              </w:rPr>
            </w:pPr>
            <w:r>
              <w:rPr>
                <w:rFonts w:cs="Arial"/>
              </w:rPr>
              <w:t>3GPP TS 29.571 [12]</w:t>
            </w:r>
          </w:p>
        </w:tc>
        <w:tc>
          <w:tcPr>
            <w:tcW w:w="3780" w:type="dxa"/>
            <w:gridSpan w:val="2"/>
            <w:noWrap w:val="0"/>
            <w:vAlign w:val="top"/>
          </w:tcPr>
          <w:p>
            <w:pPr>
              <w:pStyle w:val="100"/>
            </w:pPr>
            <w:r>
              <w:rPr>
                <w:lang w:bidi="ar-IQ"/>
              </w:rPr>
              <w:t>Charging identifier allowing correlation of charging information.</w:t>
            </w:r>
          </w:p>
        </w:tc>
        <w:tc>
          <w:tcPr>
            <w:tcW w:w="1890" w:type="dxa"/>
            <w:gridSpan w:val="2"/>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rPr>
                <w:rFonts w:eastAsia="Times New Roman" w:cs="Arial"/>
              </w:rPr>
            </w:pPr>
            <w:r>
              <w:rPr>
                <w:rFonts w:eastAsia="Times New Roman" w:cs="Arial"/>
              </w:rPr>
              <w:t>DateTime</w:t>
            </w:r>
          </w:p>
        </w:tc>
        <w:tc>
          <w:tcPr>
            <w:tcW w:w="1980" w:type="dxa"/>
            <w:gridSpan w:val="2"/>
            <w:noWrap w:val="0"/>
            <w:vAlign w:val="top"/>
          </w:tcPr>
          <w:p>
            <w:pPr>
              <w:pStyle w:val="100"/>
              <w:rPr>
                <w:rFonts w:cs="Arial"/>
              </w:rPr>
            </w:pPr>
            <w:r>
              <w:rPr>
                <w:rFonts w:cs="Arial"/>
              </w:rPr>
              <w:t>3GPP TS 29.571 [12]</w:t>
            </w:r>
          </w:p>
        </w:tc>
        <w:tc>
          <w:tcPr>
            <w:tcW w:w="3780" w:type="dxa"/>
            <w:gridSpan w:val="2"/>
            <w:noWrap w:val="0"/>
            <w:vAlign w:val="top"/>
          </w:tcPr>
          <w:p>
            <w:pPr>
              <w:pStyle w:val="100"/>
              <w:rPr>
                <w:rFonts w:cs="Arial"/>
              </w:rPr>
            </w:pPr>
            <w:r>
              <w:t>String with format "date-time" as defined in OpenAPI Specification [11].</w:t>
            </w:r>
          </w:p>
        </w:tc>
        <w:tc>
          <w:tcPr>
            <w:tcW w:w="1890" w:type="dxa"/>
            <w:gridSpan w:val="2"/>
            <w:noWrap w:val="0"/>
            <w:vAlign w:val="top"/>
          </w:tcPr>
          <w:p>
            <w:pPr>
              <w:pStyle w:val="100"/>
              <w:rPr>
                <w:rFonts w:cs="Arial"/>
                <w:szCs w:val="18"/>
              </w:rPr>
            </w:pPr>
            <w:r>
              <w:rPr>
                <w:rFonts w:cs="Arial"/>
                <w:szCs w:val="18"/>
              </w:rPr>
              <w:t>InfluenceOnTrafficRouting, 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rPr>
                <w:lang w:eastAsia="zh-CN"/>
              </w:rPr>
            </w:pPr>
            <w:r>
              <w:t>Dnn</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rPr>
              <w:t>Data Network Name.</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DurationSec</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rPr>
              <w:t>Identifies a period of time in units of seconds.</w:t>
            </w:r>
          </w:p>
        </w:tc>
        <w:tc>
          <w:tcPr>
            <w:tcW w:w="1890" w:type="dxa"/>
            <w:gridSpan w:val="2"/>
            <w:noWrap w:val="0"/>
            <w:vAlign w:val="top"/>
          </w:tcPr>
          <w:p>
            <w:pPr>
              <w:pStyle w:val="100"/>
              <w:rPr>
                <w:rFonts w:cs="Arial"/>
                <w:szCs w:val="18"/>
              </w:rPr>
            </w:pPr>
            <w:r>
              <w:rPr>
                <w:rFonts w:cs="Arial"/>
                <w:szCs w:val="18"/>
              </w:rPr>
              <w:t>TimeSensitiveNetworking, EnhancedSubscriptionToNotification,</w:t>
            </w:r>
          </w:p>
          <w:p>
            <w:pPr>
              <w:pStyle w:val="100"/>
              <w:rPr>
                <w:rFonts w:cs="Arial"/>
                <w:szCs w:val="18"/>
              </w:rPr>
            </w:pPr>
            <w:r>
              <w:rPr>
                <w:rFonts w:cs="Arial"/>
                <w:szCs w:val="18"/>
              </w:rPr>
              <w:t xml:space="preserve">SimultConnectivity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DurationSecRm</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t>This data type is defined in the same way as the "DurationSec" data type, but with the OpenAPI "nullable: true" property.</w:t>
            </w:r>
          </w:p>
        </w:tc>
        <w:tc>
          <w:tcPr>
            <w:tcW w:w="1890" w:type="dxa"/>
            <w:gridSpan w:val="2"/>
            <w:noWrap w:val="0"/>
            <w:vAlign w:val="top"/>
          </w:tcPr>
          <w:p>
            <w:pPr>
              <w:pStyle w:val="100"/>
              <w:rPr>
                <w:rFonts w:cs="Arial"/>
                <w:szCs w:val="18"/>
              </w:rPr>
            </w:pPr>
            <w:r>
              <w:rPr>
                <w:rFonts w:cs="Arial"/>
                <w:szCs w:val="18"/>
              </w:rPr>
              <w:t xml:space="preserve">SimultConnectivity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EasIpReplacementInfo</w:t>
            </w:r>
          </w:p>
        </w:tc>
        <w:tc>
          <w:tcPr>
            <w:tcW w:w="1980" w:type="dxa"/>
            <w:gridSpan w:val="2"/>
            <w:noWrap w:val="0"/>
            <w:vAlign w:val="top"/>
          </w:tcPr>
          <w:p>
            <w:pPr>
              <w:pStyle w:val="100"/>
            </w:pPr>
            <w:r>
              <w:t>3GPP TS 29.571 [12]</w:t>
            </w:r>
          </w:p>
        </w:tc>
        <w:tc>
          <w:tcPr>
            <w:tcW w:w="3780" w:type="dxa"/>
            <w:gridSpan w:val="2"/>
            <w:noWrap w:val="0"/>
            <w:vAlign w:val="top"/>
          </w:tcPr>
          <w:p>
            <w:pPr>
              <w:pStyle w:val="100"/>
            </w:pPr>
            <w:r>
              <w:rPr>
                <w:rFonts w:cs="Arial"/>
                <w:szCs w:val="18"/>
                <w:lang w:eastAsia="zh-CN"/>
              </w:rPr>
              <w:t>Contains EAS IP replacement information for a Source and a Target EAS.</w:t>
            </w:r>
          </w:p>
        </w:tc>
        <w:tc>
          <w:tcPr>
            <w:tcW w:w="1890" w:type="dxa"/>
            <w:gridSpan w:val="2"/>
            <w:noWrap w:val="0"/>
            <w:vAlign w:val="top"/>
          </w:tcPr>
          <w:p>
            <w:pPr>
              <w:pStyle w:val="100"/>
              <w:rPr>
                <w:rFonts w:cs="Arial"/>
                <w:szCs w:val="18"/>
              </w:rPr>
            </w:pPr>
            <w:r>
              <w:rPr>
                <w:rFonts w:cs="Arial"/>
                <w:szCs w:val="18"/>
              </w:rPr>
              <w:t>EASIPreplacement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FinalUnitAction</w:t>
            </w:r>
          </w:p>
        </w:tc>
        <w:tc>
          <w:tcPr>
            <w:tcW w:w="1980" w:type="dxa"/>
            <w:gridSpan w:val="2"/>
            <w:noWrap w:val="0"/>
            <w:vAlign w:val="top"/>
          </w:tcPr>
          <w:p>
            <w:pPr>
              <w:pStyle w:val="100"/>
            </w:pPr>
            <w:r>
              <w:t>3GPP TS 32.291 [22]</w:t>
            </w:r>
          </w:p>
        </w:tc>
        <w:tc>
          <w:tcPr>
            <w:tcW w:w="3780" w:type="dxa"/>
            <w:gridSpan w:val="2"/>
            <w:noWrap w:val="0"/>
            <w:vAlign w:val="top"/>
          </w:tcPr>
          <w:p>
            <w:pPr>
              <w:pStyle w:val="100"/>
              <w:rPr>
                <w:rFonts w:cs="Arial"/>
                <w:szCs w:val="18"/>
              </w:rPr>
            </w:pPr>
            <w:r>
              <w:rPr>
                <w:lang w:eastAsia="zh-CN"/>
              </w:rPr>
              <w:t>Indicates the action to be taken when the user's account cannot cover the service cost.</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Float</w:t>
            </w:r>
          </w:p>
        </w:tc>
        <w:tc>
          <w:tcPr>
            <w:tcW w:w="1980" w:type="dxa"/>
            <w:gridSpan w:val="2"/>
            <w:noWrap w:val="0"/>
            <w:vAlign w:val="top"/>
          </w:tcPr>
          <w:p>
            <w:pPr>
              <w:pStyle w:val="100"/>
            </w:pPr>
            <w:r>
              <w:rPr>
                <w:rFonts w:cs="Arial"/>
              </w:rPr>
              <w:t>3GPP TS 29.571 [12]</w:t>
            </w:r>
          </w:p>
        </w:tc>
        <w:tc>
          <w:tcPr>
            <w:tcW w:w="3780" w:type="dxa"/>
            <w:gridSpan w:val="2"/>
            <w:noWrap w:val="0"/>
            <w:vAlign w:val="top"/>
          </w:tcPr>
          <w:p>
            <w:pPr>
              <w:pStyle w:val="100"/>
              <w:rPr>
                <w:rFonts w:cs="Arial"/>
                <w:szCs w:val="18"/>
              </w:rPr>
            </w:pPr>
            <w:r>
              <w:t>Number with format "float" as defined in OpenAPI Specification [11].</w:t>
            </w:r>
          </w:p>
        </w:tc>
        <w:tc>
          <w:tcPr>
            <w:tcW w:w="1890" w:type="dxa"/>
            <w:gridSpan w:val="2"/>
            <w:noWrap w:val="0"/>
            <w:vAlign w:val="top"/>
          </w:tcPr>
          <w:p>
            <w:pPr>
              <w:pStyle w:val="100"/>
              <w:rPr>
                <w:rFonts w:cs="Arial"/>
                <w:szCs w:val="18"/>
              </w:rPr>
            </w:pPr>
            <w:r>
              <w:rPr>
                <w:rFonts w:cs="Arial"/>
                <w:szCs w:val="18"/>
              </w:rPr>
              <w:t>FLUS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FloatRm</w:t>
            </w:r>
          </w:p>
        </w:tc>
        <w:tc>
          <w:tcPr>
            <w:tcW w:w="1980" w:type="dxa"/>
            <w:gridSpan w:val="2"/>
            <w:noWrap w:val="0"/>
            <w:vAlign w:val="top"/>
          </w:tcPr>
          <w:p>
            <w:pPr>
              <w:pStyle w:val="100"/>
            </w:pPr>
            <w:r>
              <w:rPr>
                <w:rFonts w:cs="Arial"/>
              </w:rPr>
              <w:t>3GPP TS 29.571 [12]</w:t>
            </w:r>
          </w:p>
        </w:tc>
        <w:tc>
          <w:tcPr>
            <w:tcW w:w="3780" w:type="dxa"/>
            <w:gridSpan w:val="2"/>
            <w:noWrap w:val="0"/>
            <w:vAlign w:val="top"/>
          </w:tcPr>
          <w:p>
            <w:pPr>
              <w:pStyle w:val="100"/>
              <w:rPr>
                <w:rFonts w:cs="Arial"/>
                <w:szCs w:val="18"/>
              </w:rPr>
            </w:pPr>
            <w:r>
              <w:t>This data type is defined in the same way as the "Float" data type, but with the OpenAPI "nullable: true" property.</w:t>
            </w:r>
          </w:p>
        </w:tc>
        <w:tc>
          <w:tcPr>
            <w:tcW w:w="1890" w:type="dxa"/>
            <w:gridSpan w:val="2"/>
            <w:noWrap w:val="0"/>
            <w:vAlign w:val="top"/>
          </w:tcPr>
          <w:p>
            <w:pPr>
              <w:pStyle w:val="100"/>
              <w:rPr>
                <w:rFonts w:cs="Arial"/>
                <w:szCs w:val="18"/>
              </w:rPr>
            </w:pPr>
            <w:r>
              <w:rPr>
                <w:rFonts w:cs="Arial"/>
                <w:szCs w:val="18"/>
              </w:rPr>
              <w:t>FLUS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FlowDirection</w:t>
            </w:r>
          </w:p>
        </w:tc>
        <w:tc>
          <w:tcPr>
            <w:tcW w:w="1980" w:type="dxa"/>
            <w:gridSpan w:val="2"/>
            <w:noWrap w:val="0"/>
            <w:vAlign w:val="top"/>
          </w:tcPr>
          <w:p>
            <w:pPr>
              <w:pStyle w:val="100"/>
            </w:pPr>
            <w:r>
              <w:t>3GPP TS 29.512 [8]</w:t>
            </w:r>
          </w:p>
        </w:tc>
        <w:tc>
          <w:tcPr>
            <w:tcW w:w="3780" w:type="dxa"/>
            <w:gridSpan w:val="2"/>
            <w:noWrap w:val="0"/>
            <w:vAlign w:val="top"/>
          </w:tcPr>
          <w:p>
            <w:pPr>
              <w:pStyle w:val="100"/>
              <w:rPr>
                <w:rFonts w:cs="Arial"/>
                <w:szCs w:val="18"/>
              </w:rPr>
            </w:pPr>
            <w:r>
              <w:rPr>
                <w:rFonts w:cs="Arial"/>
                <w:szCs w:val="18"/>
              </w:rPr>
              <w:t>Flow Direction.</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rPr>
                <w:lang w:eastAsia="fr-FR"/>
              </w:rPr>
              <w:t>Fqdn</w:t>
            </w:r>
          </w:p>
        </w:tc>
        <w:tc>
          <w:tcPr>
            <w:tcW w:w="1980" w:type="dxa"/>
            <w:gridSpan w:val="2"/>
            <w:noWrap w:val="0"/>
            <w:vAlign w:val="top"/>
          </w:tcPr>
          <w:p>
            <w:pPr>
              <w:pStyle w:val="100"/>
            </w:pPr>
            <w:r>
              <w:rPr>
                <w:rFonts w:cs="Arial"/>
              </w:rPr>
              <w:t>3GPP TS 29.571 [12]</w:t>
            </w:r>
          </w:p>
        </w:tc>
        <w:tc>
          <w:tcPr>
            <w:tcW w:w="3780" w:type="dxa"/>
            <w:gridSpan w:val="2"/>
            <w:noWrap w:val="0"/>
            <w:vAlign w:val="top"/>
          </w:tcPr>
          <w:p>
            <w:pPr>
              <w:pStyle w:val="100"/>
              <w:rPr>
                <w:rFonts w:cs="Arial"/>
                <w:szCs w:val="18"/>
              </w:rPr>
            </w:pPr>
            <w:r>
              <w:rPr>
                <w:rFonts w:cs="Arial"/>
                <w:szCs w:val="18"/>
                <w:lang w:eastAsia="fr-FR"/>
              </w:rPr>
              <w:t>Contains a FQDN</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ExtMaxDataBurstVol</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rPr>
              <w:t>Maximum Burst Size.</w:t>
            </w:r>
          </w:p>
        </w:tc>
        <w:tc>
          <w:tcPr>
            <w:tcW w:w="1890" w:type="dxa"/>
            <w:gridSpan w:val="2"/>
            <w:noWrap w:val="0"/>
            <w:vAlign w:val="top"/>
          </w:tcPr>
          <w:p>
            <w:pPr>
              <w:pStyle w:val="100"/>
              <w:rPr>
                <w:rFonts w:cs="Arial"/>
                <w:szCs w:val="18"/>
              </w:rPr>
            </w:pPr>
            <w:r>
              <w:rPr>
                <w:rFonts w:cs="Arial"/>
                <w:szCs w:val="18"/>
              </w:rP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ExtMaxDataBurstVolRm</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t>This data type is defined in the same way as the "ExtMaxDataBurstVol" data type, but with the OpenAPI "nullable: true" property</w:t>
            </w:r>
          </w:p>
        </w:tc>
        <w:tc>
          <w:tcPr>
            <w:tcW w:w="1890" w:type="dxa"/>
            <w:gridSpan w:val="2"/>
            <w:noWrap w:val="0"/>
            <w:vAlign w:val="top"/>
          </w:tcPr>
          <w:p>
            <w:pPr>
              <w:pStyle w:val="100"/>
              <w:rPr>
                <w:rFonts w:cs="Arial"/>
                <w:szCs w:val="18"/>
              </w:rPr>
            </w:pPr>
            <w:r>
              <w:rPr>
                <w:rFonts w:cs="Arial"/>
                <w:szCs w:val="18"/>
              </w:rP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Gpsi</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lang w:eastAsia="zh-CN"/>
              </w:rPr>
              <w:t>Identifies the GPSI.</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rPr>
                <w:lang w:eastAsia="zh-CN"/>
              </w:rPr>
            </w:pPr>
            <w:r>
              <w:t>Ipv4Addr</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rPr>
              <w:t>Identifies an IPv4 address.</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Ipvd4AddrMask</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rPr>
              <w:t>IPv4 address mask</w:t>
            </w:r>
          </w:p>
        </w:tc>
        <w:tc>
          <w:tcPr>
            <w:tcW w:w="1890" w:type="dxa"/>
            <w:gridSpan w:val="2"/>
            <w:noWrap w:val="0"/>
            <w:vAlign w:val="top"/>
          </w:tcPr>
          <w:p>
            <w:pPr>
              <w:pStyle w:val="100"/>
              <w:rPr>
                <w:rFonts w:cs="Arial"/>
                <w:szCs w:val="18"/>
              </w:rPr>
            </w:pPr>
            <w:r>
              <w:t>ExtraUEaddrReport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rPr>
                <w:lang w:eastAsia="zh-CN"/>
              </w:rPr>
            </w:pPr>
            <w:r>
              <w:t>Ipv6Addr</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rPr>
              <w:t>Identifies an IPv6 address.</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rPr>
                <w:lang w:eastAsia="fr-FR"/>
              </w:rPr>
              <w:t>IpEndPoint</w:t>
            </w:r>
          </w:p>
        </w:tc>
        <w:tc>
          <w:tcPr>
            <w:tcW w:w="1980" w:type="dxa"/>
            <w:gridSpan w:val="2"/>
            <w:noWrap w:val="0"/>
            <w:vAlign w:val="top"/>
          </w:tcPr>
          <w:p>
            <w:pPr>
              <w:pStyle w:val="100"/>
            </w:pPr>
            <w:r>
              <w:rPr>
                <w:lang w:eastAsia="fr-FR"/>
              </w:rPr>
              <w:t>3GPP TS 29.510 [27]</w:t>
            </w:r>
          </w:p>
        </w:tc>
        <w:tc>
          <w:tcPr>
            <w:tcW w:w="3780" w:type="dxa"/>
            <w:gridSpan w:val="2"/>
            <w:noWrap w:val="0"/>
            <w:vAlign w:val="top"/>
          </w:tcPr>
          <w:p>
            <w:pPr>
              <w:pStyle w:val="100"/>
              <w:rPr>
                <w:rFonts w:cs="Arial"/>
                <w:szCs w:val="18"/>
              </w:rPr>
            </w:pPr>
            <w:r>
              <w:rPr>
                <w:rFonts w:cs="Arial"/>
                <w:szCs w:val="18"/>
                <w:lang w:eastAsia="fr-FR"/>
              </w:rPr>
              <w:t>Contains a NF IPv4 and/or IPv6 end points.</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MacAddr48</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rPr>
              <w:t>MAC Address.</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Metadata</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t>This datatype contains opaque information for the service functions in the N6-LAN that is provided by AF and transparently sent to UPF.</w:t>
            </w:r>
          </w:p>
        </w:tc>
        <w:tc>
          <w:tcPr>
            <w:tcW w:w="1890" w:type="dxa"/>
            <w:gridSpan w:val="2"/>
            <w:noWrap w:val="0"/>
            <w:vAlign w:val="top"/>
          </w:tcPr>
          <w:p>
            <w:pPr>
              <w:pStyle w:val="100"/>
              <w:rPr>
                <w:rFonts w:cs="Arial"/>
                <w:szCs w:val="18"/>
              </w:rPr>
            </w:pPr>
            <w:r>
              <w:t>SFC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NetLocAccessSupport</w:t>
            </w:r>
          </w:p>
        </w:tc>
        <w:tc>
          <w:tcPr>
            <w:tcW w:w="1980" w:type="dxa"/>
            <w:gridSpan w:val="2"/>
            <w:noWrap w:val="0"/>
            <w:vAlign w:val="top"/>
          </w:tcPr>
          <w:p>
            <w:pPr>
              <w:pStyle w:val="100"/>
            </w:pPr>
            <w:r>
              <w:t>3GPP TS 29.512 [8]</w:t>
            </w:r>
          </w:p>
        </w:tc>
        <w:tc>
          <w:tcPr>
            <w:tcW w:w="3780" w:type="dxa"/>
            <w:gridSpan w:val="2"/>
            <w:noWrap w:val="0"/>
            <w:vAlign w:val="top"/>
          </w:tcPr>
          <w:p>
            <w:pPr>
              <w:pStyle w:val="100"/>
              <w:rPr>
                <w:rFonts w:cs="Arial"/>
                <w:szCs w:val="18"/>
              </w:rPr>
            </w:pPr>
            <w:r>
              <w:rPr>
                <w:rFonts w:cs="Arial"/>
                <w:szCs w:val="18"/>
              </w:rPr>
              <w:t>Indicates the access network does not support the report of the requested access network information.</w:t>
            </w:r>
          </w:p>
        </w:tc>
        <w:tc>
          <w:tcPr>
            <w:tcW w:w="1890" w:type="dxa"/>
            <w:gridSpan w:val="2"/>
            <w:noWrap w:val="0"/>
            <w:vAlign w:val="top"/>
          </w:tcPr>
          <w:p>
            <w:pPr>
              <w:pStyle w:val="100"/>
              <w:rPr>
                <w:rFonts w:cs="Arial"/>
                <w:szCs w:val="18"/>
              </w:rPr>
            </w:pPr>
            <w:r>
              <w:rPr>
                <w:rFonts w:cs="Arial"/>
                <w:szCs w:val="18"/>
              </w:rPr>
              <w:t>NetLoc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rPr>
                <w:lang w:eastAsia="zh-CN"/>
              </w:rPr>
              <w:t>NullValue</w:t>
            </w:r>
          </w:p>
        </w:tc>
        <w:tc>
          <w:tcPr>
            <w:tcW w:w="1980" w:type="dxa"/>
            <w:gridSpan w:val="2"/>
            <w:noWrap w:val="0"/>
            <w:vAlign w:val="top"/>
          </w:tcPr>
          <w:p>
            <w:pPr>
              <w:pStyle w:val="100"/>
            </w:pPr>
            <w:r>
              <w:rPr>
                <w:rFonts w:cs="Arial"/>
                <w:szCs w:val="18"/>
              </w:rPr>
              <w:t>3GPP TS 29.571 [12]</w:t>
            </w:r>
          </w:p>
        </w:tc>
        <w:tc>
          <w:tcPr>
            <w:tcW w:w="3780" w:type="dxa"/>
            <w:gridSpan w:val="2"/>
            <w:noWrap w:val="0"/>
            <w:vAlign w:val="top"/>
          </w:tcPr>
          <w:p>
            <w:pPr>
              <w:pStyle w:val="100"/>
              <w:rPr>
                <w:rFonts w:cs="Arial"/>
                <w:szCs w:val="18"/>
              </w:rPr>
            </w:pPr>
            <w:r>
              <w:rPr>
                <w:lang w:eastAsia="zh-CN"/>
              </w:rPr>
              <w:t xml:space="preserve">JSON's null value, used </w:t>
            </w:r>
            <w:r>
              <w:t>as an explicit value of an enumeration.</w:t>
            </w:r>
          </w:p>
        </w:tc>
        <w:tc>
          <w:tcPr>
            <w:tcW w:w="1890" w:type="dxa"/>
            <w:gridSpan w:val="2"/>
            <w:noWrap w:val="0"/>
            <w:vAlign w:val="top"/>
          </w:tcPr>
          <w:p>
            <w:pPr>
              <w:pStyle w:val="100"/>
              <w:rPr>
                <w:rFonts w:cs="Arial"/>
                <w:szCs w:val="18"/>
              </w:rPr>
            </w:pPr>
            <w:r>
              <w:rPr>
                <w:rFonts w:cs="Arial"/>
                <w:szCs w:val="18"/>
              </w:rPr>
              <w:t>MCPTT-Preemption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PacketDelBudget</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rPr>
              <w:t>Packet Delay Budget.</w:t>
            </w:r>
          </w:p>
        </w:tc>
        <w:tc>
          <w:tcPr>
            <w:tcW w:w="1890" w:type="dxa"/>
            <w:gridSpan w:val="2"/>
            <w:noWrap w:val="0"/>
            <w:vAlign w:val="top"/>
          </w:tcPr>
          <w:p>
            <w:pPr>
              <w:pStyle w:val="100"/>
              <w:rPr>
                <w:rFonts w:cs="Arial"/>
                <w:szCs w:val="18"/>
              </w:rPr>
            </w:pPr>
            <w:r>
              <w:rPr>
                <w:rFonts w:cs="Arial"/>
                <w:szCs w:val="18"/>
              </w:rP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PacketDelBudgetRm</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t>This data type is defined in the same way as the "PacketDelBudget" data type, but with the OpenAPI "nullable: true" property</w:t>
            </w:r>
          </w:p>
        </w:tc>
        <w:tc>
          <w:tcPr>
            <w:tcW w:w="1890" w:type="dxa"/>
            <w:gridSpan w:val="2"/>
            <w:noWrap w:val="0"/>
            <w:vAlign w:val="top"/>
          </w:tcPr>
          <w:p>
            <w:pPr>
              <w:pStyle w:val="100"/>
              <w:rPr>
                <w:rFonts w:cs="Arial"/>
                <w:szCs w:val="18"/>
              </w:rPr>
            </w:pPr>
            <w:r>
              <w:rPr>
                <w:rFonts w:cs="Arial"/>
                <w:szCs w:val="18"/>
              </w:rP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PacketErrRate</w:t>
            </w:r>
          </w:p>
        </w:tc>
        <w:tc>
          <w:tcPr>
            <w:tcW w:w="1980" w:type="dxa"/>
            <w:gridSpan w:val="2"/>
            <w:noWrap w:val="0"/>
            <w:vAlign w:val="top"/>
          </w:tcPr>
          <w:p>
            <w:pPr>
              <w:pStyle w:val="100"/>
            </w:pPr>
            <w:r>
              <w:t>3GPP TS 29.571 [12]</w:t>
            </w:r>
          </w:p>
        </w:tc>
        <w:tc>
          <w:tcPr>
            <w:tcW w:w="3780" w:type="dxa"/>
            <w:gridSpan w:val="2"/>
            <w:noWrap w:val="0"/>
            <w:vAlign w:val="top"/>
          </w:tcPr>
          <w:p>
            <w:pPr>
              <w:pStyle w:val="100"/>
            </w:pPr>
            <w:r>
              <w:rPr>
                <w:lang w:eastAsia="zh-CN"/>
              </w:rPr>
              <w:t xml:space="preserve">String representing Packet Error Rate </w:t>
            </w:r>
            <w:r>
              <w:t xml:space="preserve">(see clauses 5.7.3.5 and 5.7.4 of 3GPP TS 23.501 [8]), </w:t>
            </w:r>
            <w:r>
              <w:rPr>
                <w:rFonts w:cs="Arial"/>
                <w:szCs w:val="18"/>
              </w:rPr>
              <w:t xml:space="preserve">expressed as </w:t>
            </w:r>
            <w:r>
              <w:rPr>
                <w:szCs w:val="22"/>
              </w:rPr>
              <w:t>a "</w:t>
            </w:r>
            <w:r>
              <w:rPr>
                <w:i/>
                <w:szCs w:val="22"/>
              </w:rPr>
              <w:t>scalar</w:t>
            </w:r>
            <w:r>
              <w:rPr>
                <w:szCs w:val="22"/>
              </w:rPr>
              <w:t xml:space="preserve"> x 10-k" where the scalar and the </w:t>
            </w:r>
            <w:r>
              <w:rPr>
                <w:i/>
                <w:szCs w:val="22"/>
              </w:rPr>
              <w:t>exponent k are each encoded as one decimal digit</w:t>
            </w:r>
            <w:r>
              <w:t>.</w:t>
            </w:r>
          </w:p>
          <w:p>
            <w:pPr>
              <w:pStyle w:val="100"/>
            </w:pPr>
            <w:r>
              <w:t>Pattern: '^([0-9]E-[0-9])$'</w:t>
            </w:r>
          </w:p>
          <w:p>
            <w:pPr>
              <w:pStyle w:val="100"/>
            </w:pPr>
          </w:p>
          <w:p>
            <w:pPr>
              <w:pStyle w:val="100"/>
              <w:rPr>
                <w:lang w:eastAsia="zh-CN"/>
              </w:rPr>
            </w:pPr>
            <w:r>
              <w:rPr>
                <w:lang w:eastAsia="zh-CN"/>
              </w:rPr>
              <w:t>Examples:</w:t>
            </w:r>
          </w:p>
          <w:p>
            <w:pPr>
              <w:pStyle w:val="100"/>
              <w:rPr>
                <w:lang w:eastAsia="zh-CN"/>
              </w:rPr>
            </w:pPr>
            <w:r>
              <w:rPr>
                <w:lang w:eastAsia="zh-CN"/>
              </w:rPr>
              <w:t>Packer Error Rate 4x10</w:t>
            </w:r>
            <w:r>
              <w:rPr>
                <w:vertAlign w:val="superscript"/>
                <w:lang w:eastAsia="zh-CN"/>
              </w:rPr>
              <w:t xml:space="preserve">-6 </w:t>
            </w:r>
            <w:r>
              <w:rPr>
                <w:lang w:eastAsia="zh-CN"/>
              </w:rPr>
              <w:t>shall be encoded as "4E-6".</w:t>
            </w:r>
          </w:p>
          <w:p>
            <w:pPr>
              <w:pStyle w:val="100"/>
            </w:pPr>
            <w:r>
              <w:rPr>
                <w:lang w:eastAsia="zh-CN"/>
              </w:rPr>
              <w:t>Packer Error Rate 10</w:t>
            </w:r>
            <w:r>
              <w:rPr>
                <w:vertAlign w:val="superscript"/>
                <w:lang w:eastAsia="zh-CN"/>
              </w:rPr>
              <w:t xml:space="preserve">-2 </w:t>
            </w:r>
            <w:r>
              <w:rPr>
                <w:lang w:eastAsia="zh-CN"/>
              </w:rPr>
              <w:t>shall be encoded as "1E-2".</w:t>
            </w:r>
          </w:p>
        </w:tc>
        <w:tc>
          <w:tcPr>
            <w:tcW w:w="1890" w:type="dxa"/>
            <w:gridSpan w:val="2"/>
            <w:noWrap w:val="0"/>
            <w:vAlign w:val="top"/>
          </w:tcPr>
          <w:p>
            <w:pPr>
              <w:pStyle w:val="100"/>
              <w:rPr>
                <w:rFonts w:cs="Arial"/>
                <w:szCs w:val="18"/>
              </w:rPr>
            </w:pPr>
            <w:r>
              <w:t>ExtQoS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PacketErrRateRm</w:t>
            </w:r>
          </w:p>
        </w:tc>
        <w:tc>
          <w:tcPr>
            <w:tcW w:w="1980" w:type="dxa"/>
            <w:gridSpan w:val="2"/>
            <w:noWrap w:val="0"/>
            <w:vAlign w:val="top"/>
          </w:tcPr>
          <w:p>
            <w:pPr>
              <w:pStyle w:val="100"/>
            </w:pPr>
            <w:r>
              <w:t>3GPP TS 29.571 [12]</w:t>
            </w:r>
          </w:p>
        </w:tc>
        <w:tc>
          <w:tcPr>
            <w:tcW w:w="3780" w:type="dxa"/>
            <w:gridSpan w:val="2"/>
            <w:noWrap w:val="0"/>
            <w:vAlign w:val="top"/>
          </w:tcPr>
          <w:p>
            <w:pPr>
              <w:pStyle w:val="100"/>
            </w:pPr>
            <w:r>
              <w:t>This data type is defined in the same way as the "PacketErrRate" data type, but with the OpenAPI "nullable: true" property.</w:t>
            </w:r>
          </w:p>
        </w:tc>
        <w:tc>
          <w:tcPr>
            <w:tcW w:w="1890" w:type="dxa"/>
            <w:gridSpan w:val="2"/>
            <w:noWrap w:val="0"/>
            <w:vAlign w:val="top"/>
          </w:tcPr>
          <w:p>
            <w:pPr>
              <w:pStyle w:val="100"/>
              <w:rPr>
                <w:rFonts w:cs="Arial"/>
                <w:szCs w:val="18"/>
              </w:rPr>
            </w:pPr>
            <w:r>
              <w:t>ExtQoS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rPr>
                <w:rFonts w:cs="Arial"/>
                <w:szCs w:val="18"/>
              </w:rPr>
              <w:t>PacketLossRateRm</w:t>
            </w:r>
          </w:p>
        </w:tc>
        <w:tc>
          <w:tcPr>
            <w:tcW w:w="1980" w:type="dxa"/>
            <w:gridSpan w:val="2"/>
            <w:noWrap w:val="0"/>
            <w:vAlign w:val="top"/>
          </w:tcPr>
          <w:p>
            <w:pPr>
              <w:pStyle w:val="100"/>
            </w:pPr>
            <w:r>
              <w:rPr>
                <w:rFonts w:cs="Arial"/>
                <w:szCs w:val="18"/>
              </w:rPr>
              <w:t>3GPP TS 29.571 [12]</w:t>
            </w:r>
          </w:p>
        </w:tc>
        <w:tc>
          <w:tcPr>
            <w:tcW w:w="3780" w:type="dxa"/>
            <w:gridSpan w:val="2"/>
            <w:noWrap w:val="0"/>
            <w:vAlign w:val="top"/>
          </w:tcPr>
          <w:p>
            <w:pPr>
              <w:pStyle w:val="100"/>
              <w:rPr>
                <w:rFonts w:cs="Arial"/>
                <w:szCs w:val="18"/>
              </w:rPr>
            </w:pPr>
            <w:r>
              <w:rPr>
                <w:rFonts w:cs="Arial"/>
                <w:szCs w:val="18"/>
              </w:rPr>
              <w:t>This data type is defined in the same way as the "PacketLossRate" data type, but with the OpenAPI "nullable: true" property.</w:t>
            </w:r>
          </w:p>
        </w:tc>
        <w:tc>
          <w:tcPr>
            <w:tcW w:w="1890" w:type="dxa"/>
            <w:gridSpan w:val="2"/>
            <w:noWrap w:val="0"/>
            <w:vAlign w:val="top"/>
          </w:tcPr>
          <w:p>
            <w:pPr>
              <w:pStyle w:val="100"/>
              <w:rPr>
                <w:rFonts w:cs="Arial"/>
                <w:szCs w:val="18"/>
              </w:rPr>
            </w:pPr>
            <w:r>
              <w:rPr>
                <w:rFonts w:cs="Arial"/>
                <w:szCs w:val="18"/>
              </w:rPr>
              <w:t>CHEM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ins w:id="373" w:author="CMCC2" w:date="2023-04-19T07:25:08Z"/>
        </w:trPr>
        <w:tc>
          <w:tcPr>
            <w:tcW w:w="1969" w:type="dxa"/>
            <w:gridSpan w:val="2"/>
            <w:noWrap w:val="0"/>
            <w:vAlign w:val="top"/>
          </w:tcPr>
          <w:p>
            <w:pPr>
              <w:pStyle w:val="100"/>
              <w:rPr>
                <w:ins w:id="374" w:author="CMCC2" w:date="2023-04-19T07:25:08Z"/>
                <w:rFonts w:hint="eastAsia"/>
                <w:lang w:eastAsia="zh-CN"/>
              </w:rPr>
            </w:pPr>
            <w:ins w:id="375" w:author="CMCC2" w:date="2023-04-19T07:26:06Z">
              <w:r>
                <w:rPr>
                  <w:rFonts w:hint="eastAsia"/>
                  <w:lang w:eastAsia="zh-CN"/>
                </w:rPr>
                <w:t>P</w:t>
              </w:r>
            </w:ins>
            <w:ins w:id="376" w:author="CMCC2" w:date="2023-04-19T07:26:06Z">
              <w:r>
                <w:rPr>
                  <w:lang w:eastAsia="zh-CN"/>
                </w:rPr>
                <w:t>duSetQosPara</w:t>
              </w:r>
            </w:ins>
          </w:p>
        </w:tc>
        <w:tc>
          <w:tcPr>
            <w:tcW w:w="1980" w:type="dxa"/>
            <w:gridSpan w:val="2"/>
            <w:noWrap w:val="0"/>
            <w:vAlign w:val="top"/>
          </w:tcPr>
          <w:p>
            <w:pPr>
              <w:pStyle w:val="100"/>
              <w:rPr>
                <w:ins w:id="377" w:author="CMCC2" w:date="2023-04-19T07:25:08Z"/>
              </w:rPr>
            </w:pPr>
            <w:ins w:id="378" w:author="CMCC2" w:date="2023-04-19T07:26:08Z">
              <w:r>
                <w:rPr/>
                <w:t>3GPP TS 29.571 [12]</w:t>
              </w:r>
            </w:ins>
          </w:p>
        </w:tc>
        <w:tc>
          <w:tcPr>
            <w:tcW w:w="3780" w:type="dxa"/>
            <w:gridSpan w:val="2"/>
            <w:noWrap w:val="0"/>
            <w:vAlign w:val="top"/>
          </w:tcPr>
          <w:p>
            <w:pPr>
              <w:pStyle w:val="100"/>
              <w:rPr>
                <w:ins w:id="379" w:author="CMCC2" w:date="2023-04-19T07:25:08Z"/>
              </w:rPr>
            </w:pPr>
            <w:ins w:id="380" w:author="CMCC2" w:date="2023-04-19T07:27:46Z">
              <w:r>
                <w:rPr>
                  <w:rFonts w:cs="Arial"/>
                  <w:szCs w:val="18"/>
                </w:rPr>
                <w:t>PDU Set related QoS parameters.</w:t>
              </w:r>
            </w:ins>
          </w:p>
        </w:tc>
        <w:tc>
          <w:tcPr>
            <w:tcW w:w="1890" w:type="dxa"/>
            <w:gridSpan w:val="2"/>
            <w:noWrap w:val="0"/>
            <w:vAlign w:val="top"/>
          </w:tcPr>
          <w:p>
            <w:pPr>
              <w:pStyle w:val="100"/>
              <w:rPr>
                <w:ins w:id="381" w:author="CMCC2" w:date="2023-04-19T07:25:08Z"/>
                <w:rFonts w:hint="eastAsia" w:eastAsia="宋体" w:cs="Arial"/>
                <w:szCs w:val="18"/>
                <w:lang w:val="en-US" w:eastAsia="zh-CN"/>
              </w:rPr>
            </w:pPr>
            <w:ins w:id="382" w:author="CMCC2" w:date="2023-04-19T07:27:59Z">
              <w:r>
                <w:rPr>
                  <w:rFonts w:hint="eastAsia" w:eastAsia="宋体" w:cs="Arial"/>
                  <w:szCs w:val="18"/>
                  <w:lang w:val="en-US" w:eastAsia="zh-CN"/>
                </w:rPr>
                <w:t>XRM_5G</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ins w:id="383" w:author="CMCC2" w:date="2023-04-19T07:07:50Z"/>
        </w:trPr>
        <w:tc>
          <w:tcPr>
            <w:tcW w:w="1969" w:type="dxa"/>
            <w:gridSpan w:val="2"/>
            <w:noWrap w:val="0"/>
            <w:vAlign w:val="top"/>
          </w:tcPr>
          <w:p>
            <w:pPr>
              <w:pStyle w:val="100"/>
              <w:rPr>
                <w:ins w:id="384" w:author="CMCC2" w:date="2023-04-19T07:07:50Z"/>
                <w:rFonts w:cs="Arial"/>
                <w:szCs w:val="18"/>
              </w:rPr>
            </w:pPr>
            <w:ins w:id="385" w:author="CMCC2" w:date="2023-04-19T07:08:12Z">
              <w:r>
                <w:rPr>
                  <w:rFonts w:hint="eastAsia"/>
                  <w:lang w:eastAsia="zh-CN"/>
                </w:rPr>
                <w:t>P</w:t>
              </w:r>
            </w:ins>
            <w:ins w:id="386" w:author="CMCC2" w:date="2023-04-19T07:08:12Z">
              <w:r>
                <w:rPr>
                  <w:lang w:eastAsia="zh-CN"/>
                </w:rPr>
                <w:t>duSetQosParaRm</w:t>
              </w:r>
            </w:ins>
          </w:p>
        </w:tc>
        <w:tc>
          <w:tcPr>
            <w:tcW w:w="1980" w:type="dxa"/>
            <w:gridSpan w:val="2"/>
            <w:noWrap w:val="0"/>
            <w:vAlign w:val="top"/>
          </w:tcPr>
          <w:p>
            <w:pPr>
              <w:pStyle w:val="100"/>
              <w:rPr>
                <w:ins w:id="387" w:author="CMCC2" w:date="2023-04-19T07:07:50Z"/>
                <w:rFonts w:cs="Arial"/>
                <w:szCs w:val="18"/>
              </w:rPr>
            </w:pPr>
            <w:ins w:id="388" w:author="CMCC2" w:date="2023-04-19T07:11:35Z">
              <w:r>
                <w:rPr/>
                <w:t>3GPP TS 29.571 [12]</w:t>
              </w:r>
            </w:ins>
          </w:p>
        </w:tc>
        <w:tc>
          <w:tcPr>
            <w:tcW w:w="3780" w:type="dxa"/>
            <w:gridSpan w:val="2"/>
            <w:noWrap w:val="0"/>
            <w:vAlign w:val="top"/>
          </w:tcPr>
          <w:p>
            <w:pPr>
              <w:pStyle w:val="100"/>
              <w:rPr>
                <w:ins w:id="389" w:author="CMCC2" w:date="2023-04-19T07:07:50Z"/>
                <w:rFonts w:cs="Arial"/>
                <w:szCs w:val="18"/>
              </w:rPr>
            </w:pPr>
            <w:ins w:id="390" w:author="CMCC2" w:date="2023-04-19T07:28:11Z">
              <w:r>
                <w:rPr/>
                <w:t>This data type is defined in the same way as the "</w:t>
              </w:r>
            </w:ins>
            <w:ins w:id="391" w:author="CMCC2" w:date="2023-04-19T07:28:15Z">
              <w:r>
                <w:rPr>
                  <w:rFonts w:hint="eastAsia"/>
                  <w:lang w:eastAsia="zh-CN"/>
                </w:rPr>
                <w:t>P</w:t>
              </w:r>
            </w:ins>
            <w:ins w:id="392" w:author="CMCC2" w:date="2023-04-19T07:28:15Z">
              <w:r>
                <w:rPr>
                  <w:lang w:eastAsia="zh-CN"/>
                </w:rPr>
                <w:t>duSetQosPara</w:t>
              </w:r>
            </w:ins>
            <w:ins w:id="393" w:author="CMCC2" w:date="2023-04-19T07:28:11Z">
              <w:r>
                <w:rPr/>
                <w:t>" data type, but with the OpenAPI "nullable: true" property.</w:t>
              </w:r>
            </w:ins>
          </w:p>
        </w:tc>
        <w:tc>
          <w:tcPr>
            <w:tcW w:w="1890" w:type="dxa"/>
            <w:gridSpan w:val="2"/>
            <w:noWrap w:val="0"/>
            <w:vAlign w:val="top"/>
          </w:tcPr>
          <w:p>
            <w:pPr>
              <w:pStyle w:val="100"/>
              <w:rPr>
                <w:ins w:id="394" w:author="CMCC2" w:date="2023-04-19T07:07:50Z"/>
                <w:rFonts w:hint="default" w:eastAsia="宋体" w:cs="Arial"/>
                <w:szCs w:val="18"/>
                <w:lang w:val="en-US" w:eastAsia="zh-CN"/>
              </w:rPr>
            </w:pPr>
            <w:ins w:id="395" w:author="CMCC2" w:date="2023-04-19T07:12:49Z">
              <w:r>
                <w:rPr>
                  <w:rFonts w:hint="eastAsia" w:eastAsia="宋体" w:cs="Arial"/>
                  <w:szCs w:val="18"/>
                  <w:lang w:val="en-US" w:eastAsia="zh-CN"/>
                </w:rPr>
                <w:t>X</w:t>
              </w:r>
            </w:ins>
            <w:ins w:id="396" w:author="CMCC2" w:date="2023-04-19T07:12:50Z">
              <w:r>
                <w:rPr>
                  <w:rFonts w:hint="eastAsia" w:eastAsia="宋体" w:cs="Arial"/>
                  <w:szCs w:val="18"/>
                  <w:lang w:val="en-US" w:eastAsia="zh-CN"/>
                </w:rPr>
                <w:t>RM</w:t>
              </w:r>
            </w:ins>
            <w:ins w:id="397" w:author="CMCC2" w:date="2023-04-19T07:12:53Z">
              <w:r>
                <w:rPr>
                  <w:rFonts w:hint="eastAsia" w:eastAsia="宋体" w:cs="Arial"/>
                  <w:szCs w:val="18"/>
                  <w:lang w:val="en-US" w:eastAsia="zh-CN"/>
                </w:rPr>
                <w:t>_5</w:t>
              </w:r>
            </w:ins>
            <w:ins w:id="398" w:author="CMCC2" w:date="2023-04-19T07:12:57Z">
              <w:r>
                <w:rPr>
                  <w:rFonts w:hint="eastAsia" w:eastAsia="宋体" w:cs="Arial"/>
                  <w:szCs w:val="18"/>
                  <w:lang w:val="en-US" w:eastAsia="zh-CN"/>
                </w:rPr>
                <w:t>G</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Pei</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rPr>
              <w:t>Identifies the PEI.</w:t>
            </w:r>
          </w:p>
        </w:tc>
        <w:tc>
          <w:tcPr>
            <w:tcW w:w="1890" w:type="dxa"/>
            <w:gridSpan w:val="2"/>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PlmnIdNid</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rPr>
              <w:t xml:space="preserve">Identifies the network: the PLMN Identifier (the mobile country code and the mobile network code) or the SNPN Identifier </w:t>
            </w:r>
            <w:r>
              <w:t>(the PLMN Identifier and the NID).</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PreemptionCapability</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rPr>
              <w:t>Pre-emption capability.</w:t>
            </w:r>
          </w:p>
        </w:tc>
        <w:tc>
          <w:tcPr>
            <w:tcW w:w="1890" w:type="dxa"/>
            <w:gridSpan w:val="2"/>
            <w:noWrap w:val="0"/>
            <w:vAlign w:val="top"/>
          </w:tcPr>
          <w:p>
            <w:pPr>
              <w:pStyle w:val="100"/>
              <w:rPr>
                <w:rFonts w:cs="Arial"/>
                <w:szCs w:val="18"/>
              </w:rPr>
            </w:pPr>
            <w:r>
              <w:rPr>
                <w:rFonts w:cs="Arial"/>
                <w:szCs w:val="18"/>
              </w:rPr>
              <w:t>MCPTT-Preemption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PreemptionVulnerability</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rPr>
              <w:t>Pre-emption vulnerability.</w:t>
            </w:r>
          </w:p>
        </w:tc>
        <w:tc>
          <w:tcPr>
            <w:tcW w:w="1890" w:type="dxa"/>
            <w:gridSpan w:val="2"/>
            <w:noWrap w:val="0"/>
            <w:vAlign w:val="top"/>
          </w:tcPr>
          <w:p>
            <w:pPr>
              <w:pStyle w:val="100"/>
              <w:rPr>
                <w:rFonts w:cs="Arial"/>
                <w:szCs w:val="18"/>
              </w:rPr>
            </w:pPr>
            <w:r>
              <w:rPr>
                <w:rFonts w:cs="Arial"/>
                <w:szCs w:val="18"/>
              </w:rPr>
              <w:t>MCPTT-Preemption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PreemptionCapabilityRm</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t>It is defined in the same way as the "PreemptionCapability" data type, but with the OpenAPI "nullable: true" property.</w:t>
            </w:r>
          </w:p>
        </w:tc>
        <w:tc>
          <w:tcPr>
            <w:tcW w:w="1890" w:type="dxa"/>
            <w:gridSpan w:val="2"/>
            <w:noWrap w:val="0"/>
            <w:vAlign w:val="top"/>
          </w:tcPr>
          <w:p>
            <w:pPr>
              <w:pStyle w:val="100"/>
              <w:rPr>
                <w:rFonts w:cs="Arial"/>
                <w:szCs w:val="18"/>
              </w:rPr>
            </w:pPr>
            <w:r>
              <w:rPr>
                <w:rFonts w:cs="Arial"/>
                <w:szCs w:val="18"/>
              </w:rPr>
              <w:t>MCPTT-Preemption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PreemptionVulnerabilityRm</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t>It is defined in the same way as the "PreemptionVulnerability" data type, but with the OpenAPI "nullable: true" property.</w:t>
            </w:r>
          </w:p>
        </w:tc>
        <w:tc>
          <w:tcPr>
            <w:tcW w:w="1890" w:type="dxa"/>
            <w:gridSpan w:val="2"/>
            <w:noWrap w:val="0"/>
            <w:vAlign w:val="top"/>
          </w:tcPr>
          <w:p>
            <w:pPr>
              <w:pStyle w:val="100"/>
              <w:rPr>
                <w:rFonts w:cs="Arial"/>
                <w:szCs w:val="18"/>
              </w:rPr>
            </w:pPr>
            <w:r>
              <w:rPr>
                <w:rFonts w:cs="Arial"/>
                <w:szCs w:val="18"/>
              </w:rPr>
              <w:t>MCPTT-Preemption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PresenceInfo</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rPr>
              <w:t>Represents an area of interest, e.g. a Presence Reporting Area.</w:t>
            </w:r>
          </w:p>
        </w:tc>
        <w:tc>
          <w:tcPr>
            <w:tcW w:w="1890" w:type="dxa"/>
            <w:gridSpan w:val="2"/>
            <w:noWrap w:val="0"/>
            <w:vAlign w:val="top"/>
          </w:tcPr>
          <w:p>
            <w:pPr>
              <w:pStyle w:val="100"/>
              <w:rPr>
                <w:rFonts w:cs="Arial"/>
                <w:szCs w:val="18"/>
              </w:rPr>
            </w:pPr>
            <w:r>
              <w:rPr>
                <w:rFonts w:cs="Arial"/>
                <w:szCs w:val="18"/>
              </w:rPr>
              <w:t>InfluenceOnTrafficRouting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PortManagementContainer</w:t>
            </w:r>
          </w:p>
        </w:tc>
        <w:tc>
          <w:tcPr>
            <w:tcW w:w="1980" w:type="dxa"/>
            <w:gridSpan w:val="2"/>
            <w:noWrap w:val="0"/>
            <w:vAlign w:val="top"/>
          </w:tcPr>
          <w:p>
            <w:pPr>
              <w:pStyle w:val="100"/>
            </w:pPr>
            <w:r>
              <w:t>3GPP TS 29.512 [8]</w:t>
            </w:r>
          </w:p>
        </w:tc>
        <w:tc>
          <w:tcPr>
            <w:tcW w:w="3780" w:type="dxa"/>
            <w:gridSpan w:val="2"/>
            <w:noWrap w:val="0"/>
            <w:vAlign w:val="top"/>
          </w:tcPr>
          <w:p>
            <w:pPr>
              <w:pStyle w:val="100"/>
              <w:rPr>
                <w:rFonts w:cs="Arial"/>
                <w:szCs w:val="18"/>
              </w:rPr>
            </w:pPr>
            <w:r>
              <w:rPr>
                <w:rFonts w:cs="Arial"/>
                <w:szCs w:val="18"/>
              </w:rPr>
              <w:t>Contains port management information for a related port.</w:t>
            </w:r>
          </w:p>
        </w:tc>
        <w:tc>
          <w:tcPr>
            <w:tcW w:w="1890" w:type="dxa"/>
            <w:gridSpan w:val="2"/>
            <w:noWrap w:val="0"/>
            <w:vAlign w:val="top"/>
          </w:tcPr>
          <w:p>
            <w:pPr>
              <w:pStyle w:val="100"/>
              <w:rPr>
                <w:rFonts w:cs="Arial"/>
                <w:szCs w:val="18"/>
              </w:rPr>
            </w:pPr>
            <w:r>
              <w:rPr>
                <w:rFonts w:cs="Arial"/>
                <w:szCs w:val="18"/>
              </w:rP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rPr>
                <w:lang w:eastAsia="zh-CN"/>
              </w:rPr>
              <w:t>ProblemDetails</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t>Contains</w:t>
            </w:r>
            <w:r>
              <w:rPr>
                <w:rFonts w:cs="Arial"/>
                <w:szCs w:val="18"/>
                <w:lang w:eastAsia="zh-CN"/>
              </w:rPr>
              <w:t xml:space="preserve"> a detailed information about an error.</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rPr>
                <w:lang w:eastAsia="zh-CN"/>
              </w:rPr>
              <w:t>RanNasRelCause</w:t>
            </w:r>
          </w:p>
        </w:tc>
        <w:tc>
          <w:tcPr>
            <w:tcW w:w="1980" w:type="dxa"/>
            <w:gridSpan w:val="2"/>
            <w:noWrap w:val="0"/>
            <w:vAlign w:val="top"/>
          </w:tcPr>
          <w:p>
            <w:pPr>
              <w:pStyle w:val="100"/>
            </w:pPr>
            <w:r>
              <w:t>3GPP TS 29.512 [8]</w:t>
            </w:r>
          </w:p>
        </w:tc>
        <w:tc>
          <w:tcPr>
            <w:tcW w:w="3780" w:type="dxa"/>
            <w:gridSpan w:val="2"/>
            <w:noWrap w:val="0"/>
            <w:vAlign w:val="top"/>
          </w:tcPr>
          <w:p>
            <w:pPr>
              <w:pStyle w:val="100"/>
              <w:rPr>
                <w:rFonts w:cs="Arial"/>
                <w:szCs w:val="18"/>
              </w:rPr>
            </w:pPr>
            <w:r>
              <w:rPr>
                <w:rFonts w:cs="Arial"/>
                <w:szCs w:val="18"/>
                <w:lang w:bidi="ta-IN"/>
              </w:rPr>
              <w:t>Indicates RAN and/or NAS release cause code information.</w:t>
            </w:r>
          </w:p>
        </w:tc>
        <w:tc>
          <w:tcPr>
            <w:tcW w:w="1890" w:type="dxa"/>
            <w:gridSpan w:val="2"/>
            <w:noWrap w:val="0"/>
            <w:vAlign w:val="top"/>
          </w:tcPr>
          <w:p>
            <w:pPr>
              <w:pStyle w:val="100"/>
              <w:rPr>
                <w:rFonts w:cs="Arial"/>
                <w:szCs w:val="18"/>
              </w:rPr>
            </w:pPr>
            <w:r>
              <w:rPr>
                <w:rFonts w:cs="Arial"/>
                <w:szCs w:val="18"/>
              </w:rPr>
              <w:t>RAN-NAS-Cause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rPr>
                <w:lang w:eastAsia="zh-CN"/>
              </w:rPr>
            </w:pPr>
            <w:r>
              <w:t>RedirectResponse</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lang w:bidi="ta-IN"/>
              </w:rPr>
            </w:pPr>
            <w:r>
              <w:t>Contains</w:t>
            </w:r>
            <w:r>
              <w:rPr>
                <w:rFonts w:cs="Arial"/>
                <w:szCs w:val="18"/>
                <w:lang w:eastAsia="zh-CN"/>
              </w:rPr>
              <w:t xml:space="preserve"> redirection related information.</w:t>
            </w:r>
          </w:p>
        </w:tc>
        <w:tc>
          <w:tcPr>
            <w:tcW w:w="1890" w:type="dxa"/>
            <w:gridSpan w:val="2"/>
            <w:noWrap w:val="0"/>
            <w:vAlign w:val="top"/>
          </w:tcPr>
          <w:p>
            <w:pPr>
              <w:pStyle w:val="100"/>
              <w:rPr>
                <w:rFonts w:cs="Arial"/>
                <w:szCs w:val="18"/>
              </w:rPr>
            </w:pPr>
            <w:r>
              <w:t>ES3XX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rPr>
                <w:lang w:eastAsia="zh-CN"/>
              </w:rPr>
            </w:pPr>
            <w:r>
              <w:rPr>
                <w:lang w:eastAsia="zh-CN"/>
              </w:rPr>
              <w:t>RequestedQosMonitoringParameter</w:t>
            </w:r>
          </w:p>
        </w:tc>
        <w:tc>
          <w:tcPr>
            <w:tcW w:w="1980" w:type="dxa"/>
            <w:gridSpan w:val="2"/>
            <w:noWrap w:val="0"/>
            <w:vAlign w:val="top"/>
          </w:tcPr>
          <w:p>
            <w:pPr>
              <w:pStyle w:val="100"/>
            </w:pPr>
            <w:r>
              <w:t>3GPP TS 29.512 [8]</w:t>
            </w:r>
          </w:p>
        </w:tc>
        <w:tc>
          <w:tcPr>
            <w:tcW w:w="3780" w:type="dxa"/>
            <w:gridSpan w:val="2"/>
            <w:noWrap w:val="0"/>
            <w:vAlign w:val="top"/>
          </w:tcPr>
          <w:p>
            <w:pPr>
              <w:pStyle w:val="100"/>
              <w:rPr>
                <w:rFonts w:cs="Arial"/>
                <w:szCs w:val="18"/>
                <w:lang w:bidi="ta-IN"/>
              </w:rPr>
            </w:pPr>
            <w:r>
              <w:rPr>
                <w:rFonts w:cs="Arial"/>
                <w:szCs w:val="18"/>
                <w:lang w:eastAsia="zh-CN"/>
              </w:rPr>
              <w:t xml:space="preserve">Indicate </w:t>
            </w:r>
            <w:r>
              <w:t>the QoS information to be monitored, e.g. UL packet delay, DL packet delay or round trip packet delay between the UE and the UPF is to be monitored when the QoS Monitoring for packet delay is enabled for the service data flow</w:t>
            </w:r>
            <w:r>
              <w:rPr>
                <w:rFonts w:cs="Arial"/>
                <w:szCs w:val="18"/>
                <w:lang w:eastAsia="zh-CN"/>
              </w:rPr>
              <w:t>.</w:t>
            </w:r>
          </w:p>
        </w:tc>
        <w:tc>
          <w:tcPr>
            <w:tcW w:w="1890" w:type="dxa"/>
            <w:gridSpan w:val="2"/>
            <w:noWrap w:val="0"/>
            <w:vAlign w:val="top"/>
          </w:tcPr>
          <w:p>
            <w:pPr>
              <w:pStyle w:val="100"/>
              <w:rPr>
                <w:rFonts w:cs="Arial"/>
                <w:szCs w:val="18"/>
              </w:rPr>
            </w:pPr>
            <w:r>
              <w:t>QoSMonitoring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RatType</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rPr>
              <w:t>RAT Type.</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RouteToLocation</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rPr>
              <w:t xml:space="preserve">Identifies </w:t>
            </w:r>
            <w:r>
              <w:t>routes to locations of applications.</w:t>
            </w:r>
          </w:p>
        </w:tc>
        <w:tc>
          <w:tcPr>
            <w:tcW w:w="1890" w:type="dxa"/>
            <w:gridSpan w:val="2"/>
            <w:noWrap w:val="0"/>
            <w:vAlign w:val="top"/>
          </w:tcPr>
          <w:p>
            <w:pPr>
              <w:pStyle w:val="100"/>
              <w:rPr>
                <w:rFonts w:cs="Arial"/>
                <w:szCs w:val="18"/>
              </w:rPr>
            </w:pPr>
            <w:r>
              <w:rPr>
                <w:rFonts w:cs="Arial"/>
                <w:szCs w:val="18"/>
              </w:rPr>
              <w:t>InfluenceOnTrafficRouting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rPr>
                <w:color w:val="000000"/>
              </w:rPr>
            </w:pPr>
            <w:r>
              <w:rPr>
                <w:color w:val="000000"/>
              </w:rPr>
              <w:t>SatelliteBackhaulCategory</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rPr>
              <w:t>Indicates the satellite or non-satellite backhaul category</w:t>
            </w:r>
          </w:p>
        </w:tc>
        <w:tc>
          <w:tcPr>
            <w:tcW w:w="1890" w:type="dxa"/>
            <w:gridSpan w:val="2"/>
            <w:noWrap w:val="0"/>
            <w:vAlign w:val="top"/>
          </w:tcPr>
          <w:p>
            <w:pPr>
              <w:pStyle w:val="100"/>
              <w:rPr>
                <w:rFonts w:cs="Arial"/>
                <w:szCs w:val="18"/>
              </w:rPr>
            </w:pPr>
            <w:r>
              <w:rPr>
                <w:rFonts w:cs="Arial"/>
                <w:szCs w:val="18"/>
              </w:rPr>
              <w:t>SatelliteBackhaul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Snssai</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rPr>
              <w:t>Identifies the S-NSSAI.</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rPr>
                <w:lang w:eastAsia="zh-CN"/>
              </w:rPr>
            </w:pPr>
            <w:r>
              <w:t>Supi</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rPr>
              <w:t>Identifies the SUPI.</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rPr>
                <w:lang w:eastAsia="zh-CN"/>
              </w:rPr>
              <w:t>SupportedFeatures</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rPr>
              <w:t xml:space="preserve">Used to negotiate the applicability of the optional features defined in </w:t>
            </w:r>
            <w:r>
              <w:t>table 5.8-1.</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rPr>
                <w:lang w:eastAsia="zh-CN"/>
              </w:rPr>
            </w:pPr>
            <w:r>
              <w:rPr>
                <w:rFonts w:eastAsia="Times New Roman"/>
              </w:rPr>
              <w:t>TimeWindow</w:t>
            </w:r>
          </w:p>
        </w:tc>
        <w:tc>
          <w:tcPr>
            <w:tcW w:w="1980" w:type="dxa"/>
            <w:gridSpan w:val="2"/>
            <w:noWrap w:val="0"/>
            <w:vAlign w:val="top"/>
          </w:tcPr>
          <w:p>
            <w:pPr>
              <w:pStyle w:val="100"/>
            </w:pPr>
            <w:r>
              <w:t>3GPP TS 29.122 [15]</w:t>
            </w:r>
          </w:p>
        </w:tc>
        <w:tc>
          <w:tcPr>
            <w:tcW w:w="3780" w:type="dxa"/>
            <w:gridSpan w:val="2"/>
            <w:noWrap w:val="0"/>
            <w:vAlign w:val="top"/>
          </w:tcPr>
          <w:p>
            <w:pPr>
              <w:pStyle w:val="100"/>
              <w:rPr>
                <w:rFonts w:cs="Arial"/>
                <w:szCs w:val="18"/>
              </w:rPr>
            </w:pPr>
            <w:r>
              <w:t>Time window identified by a start time and a stop time.</w:t>
            </w:r>
          </w:p>
        </w:tc>
        <w:tc>
          <w:tcPr>
            <w:tcW w:w="1890" w:type="dxa"/>
            <w:gridSpan w:val="2"/>
            <w:noWrap w:val="0"/>
            <w:vAlign w:val="top"/>
          </w:tcPr>
          <w:p>
            <w:pPr>
              <w:pStyle w:val="100"/>
              <w:rPr>
                <w:rFonts w:cs="Arial"/>
                <w:szCs w:val="18"/>
              </w:rPr>
            </w:pPr>
            <w:r>
              <w:rPr>
                <w:lang w:val="en-US"/>
              </w:rPr>
              <w:t>EnTSCAC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Before w:val="1"/>
          <w:wBefore w:w="36" w:type="dxa"/>
          <w:cantSplit/>
          <w:trHeight w:val="284" w:hRule="atLeast"/>
          <w:jc w:val="center"/>
        </w:trPr>
        <w:tc>
          <w:tcPr>
            <w:tcW w:w="1969" w:type="dxa"/>
            <w:gridSpan w:val="2"/>
            <w:noWrap w:val="0"/>
            <w:vAlign w:val="center"/>
          </w:tcPr>
          <w:p>
            <w:pPr>
              <w:pStyle w:val="100"/>
              <w:rPr>
                <w:lang w:eastAsia="zh-CN"/>
              </w:rPr>
            </w:pPr>
            <w:r>
              <w:t>TrafficCorrelationInfo</w:t>
            </w:r>
          </w:p>
        </w:tc>
        <w:tc>
          <w:tcPr>
            <w:tcW w:w="1980" w:type="dxa"/>
            <w:gridSpan w:val="2"/>
            <w:noWrap w:val="0"/>
            <w:vAlign w:val="top"/>
          </w:tcPr>
          <w:p>
            <w:pPr>
              <w:pStyle w:val="100"/>
            </w:pPr>
            <w:r>
              <w:t>3GPP TS 29.522 [55]</w:t>
            </w:r>
          </w:p>
        </w:tc>
        <w:tc>
          <w:tcPr>
            <w:tcW w:w="3780" w:type="dxa"/>
            <w:gridSpan w:val="2"/>
            <w:noWrap w:val="0"/>
            <w:vAlign w:val="top"/>
          </w:tcPr>
          <w:p>
            <w:pPr>
              <w:pStyle w:val="100"/>
              <w:rPr>
                <w:rFonts w:cs="Arial"/>
                <w:szCs w:val="18"/>
              </w:rPr>
            </w:pPr>
            <w:r>
              <w:rPr>
                <w:rFonts w:hint="eastAsia" w:cs="Arial"/>
                <w:szCs w:val="18"/>
                <w:lang w:eastAsia="zh-CN"/>
              </w:rPr>
              <w:t>C</w:t>
            </w:r>
            <w:r>
              <w:rPr>
                <w:rFonts w:cs="Arial"/>
                <w:szCs w:val="18"/>
                <w:lang w:eastAsia="zh-CN"/>
              </w:rPr>
              <w:t>ontains the information for traffic correlation.</w:t>
            </w:r>
          </w:p>
        </w:tc>
        <w:tc>
          <w:tcPr>
            <w:tcW w:w="1890" w:type="dxa"/>
            <w:gridSpan w:val="2"/>
            <w:noWrap w:val="0"/>
            <w:vAlign w:val="top"/>
          </w:tcPr>
          <w:p>
            <w:pPr>
              <w:pStyle w:val="100"/>
              <w:rPr>
                <w:rFonts w:cs="Arial"/>
                <w:szCs w:val="18"/>
              </w:rPr>
            </w:pPr>
            <w:r>
              <w:rPr>
                <w:rFonts w:cs="Arial"/>
                <w:szCs w:val="18"/>
                <w:lang w:eastAsia="zh-CN"/>
              </w:rPr>
              <w:t>CommonEASDNAI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rPr>
                <w:lang w:eastAsia="zh-CN"/>
              </w:rPr>
            </w:pPr>
            <w:r>
              <w:rPr>
                <w:lang w:eastAsia="zh-CN"/>
              </w:rPr>
              <w:t>TimeZone</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rPr>
              <w:t>Time Zone.</w:t>
            </w:r>
          </w:p>
        </w:tc>
        <w:tc>
          <w:tcPr>
            <w:tcW w:w="1890" w:type="dxa"/>
            <w:gridSpan w:val="2"/>
            <w:noWrap w:val="0"/>
            <w:vAlign w:val="top"/>
          </w:tcPr>
          <w:p>
            <w:pPr>
              <w:pStyle w:val="100"/>
              <w:rPr>
                <w:rFonts w:cs="Arial"/>
                <w:szCs w:val="18"/>
              </w:rPr>
            </w:pPr>
            <w:r>
              <w:rPr>
                <w:rFonts w:cs="Arial"/>
                <w:szCs w:val="18"/>
              </w:rPr>
              <w:t>NetLoc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rPr>
                <w:lang w:eastAsia="zh-CN"/>
              </w:rPr>
            </w:pPr>
            <w:r>
              <w:t>TsnBridgeInfo</w:t>
            </w:r>
          </w:p>
        </w:tc>
        <w:tc>
          <w:tcPr>
            <w:tcW w:w="1980" w:type="dxa"/>
            <w:gridSpan w:val="2"/>
            <w:noWrap w:val="0"/>
            <w:vAlign w:val="top"/>
          </w:tcPr>
          <w:p>
            <w:pPr>
              <w:pStyle w:val="100"/>
            </w:pPr>
            <w:r>
              <w:t>3GPP TS 29.512 [8]</w:t>
            </w:r>
          </w:p>
        </w:tc>
        <w:tc>
          <w:tcPr>
            <w:tcW w:w="3780" w:type="dxa"/>
            <w:gridSpan w:val="2"/>
            <w:noWrap w:val="0"/>
            <w:vAlign w:val="top"/>
          </w:tcPr>
          <w:p>
            <w:pPr>
              <w:pStyle w:val="100"/>
              <w:rPr>
                <w:rFonts w:cs="Arial"/>
                <w:szCs w:val="18"/>
              </w:rPr>
            </w:pPr>
            <w:r>
              <w:rPr>
                <w:rFonts w:cs="Arial"/>
                <w:szCs w:val="18"/>
              </w:rPr>
              <w:t>TSC user plane node information.</w:t>
            </w:r>
          </w:p>
        </w:tc>
        <w:tc>
          <w:tcPr>
            <w:tcW w:w="1890" w:type="dxa"/>
            <w:gridSpan w:val="2"/>
            <w:noWrap w:val="0"/>
            <w:vAlign w:val="top"/>
          </w:tcPr>
          <w:p>
            <w:pPr>
              <w:pStyle w:val="100"/>
              <w:rPr>
                <w:rFonts w:cs="Arial"/>
                <w:szCs w:val="18"/>
              </w:rPr>
            </w:pPr>
            <w:r>
              <w:rPr>
                <w:rFonts w:cs="Arial"/>
                <w:szCs w:val="18"/>
              </w:rP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Uint32</w:t>
            </w:r>
          </w:p>
        </w:tc>
        <w:tc>
          <w:tcPr>
            <w:tcW w:w="1980" w:type="dxa"/>
            <w:gridSpan w:val="2"/>
            <w:noWrap w:val="0"/>
            <w:vAlign w:val="top"/>
          </w:tcPr>
          <w:p>
            <w:pPr>
              <w:pStyle w:val="100"/>
            </w:pPr>
            <w:r>
              <w:t>3GPP TS 29.571 [12]</w:t>
            </w:r>
          </w:p>
        </w:tc>
        <w:tc>
          <w:tcPr>
            <w:tcW w:w="3780" w:type="dxa"/>
            <w:gridSpan w:val="2"/>
            <w:noWrap w:val="0"/>
            <w:vAlign w:val="top"/>
          </w:tcPr>
          <w:p>
            <w:pPr>
              <w:pStyle w:val="100"/>
            </w:pPr>
            <w:r>
              <w:t>Unsigned 32-bit integers, i.e. only value 0 and 32-bit integers above 0 are permissible.</w:t>
            </w:r>
          </w:p>
        </w:tc>
        <w:tc>
          <w:tcPr>
            <w:tcW w:w="1890" w:type="dxa"/>
            <w:gridSpan w:val="2"/>
            <w:noWrap w:val="0"/>
            <w:vAlign w:val="top"/>
          </w:tcPr>
          <w:p>
            <w:pPr>
              <w:pStyle w:val="100"/>
              <w:rPr>
                <w:rFonts w:cs="Arial"/>
                <w:szCs w:val="18"/>
              </w:rPr>
            </w:pPr>
            <w:r>
              <w:rPr>
                <w:rFonts w:cs="Arial"/>
                <w:szCs w:val="18"/>
              </w:rPr>
              <w:t>ResourceSharing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Uint32Rm</w:t>
            </w:r>
          </w:p>
        </w:tc>
        <w:tc>
          <w:tcPr>
            <w:tcW w:w="1980" w:type="dxa"/>
            <w:gridSpan w:val="2"/>
            <w:noWrap w:val="0"/>
            <w:vAlign w:val="top"/>
          </w:tcPr>
          <w:p>
            <w:pPr>
              <w:pStyle w:val="100"/>
            </w:pPr>
            <w:r>
              <w:t>3GPP TS 29.571 [12]</w:t>
            </w:r>
          </w:p>
        </w:tc>
        <w:tc>
          <w:tcPr>
            <w:tcW w:w="3780" w:type="dxa"/>
            <w:gridSpan w:val="2"/>
            <w:noWrap w:val="0"/>
            <w:vAlign w:val="top"/>
          </w:tcPr>
          <w:p>
            <w:pPr>
              <w:pStyle w:val="100"/>
            </w:pPr>
            <w:r>
              <w:t>This data type is defined in the same way as the "Uint32" data type, but with the OpenAPI "nullable: true" property.</w:t>
            </w:r>
          </w:p>
        </w:tc>
        <w:tc>
          <w:tcPr>
            <w:tcW w:w="1890" w:type="dxa"/>
            <w:gridSpan w:val="2"/>
            <w:noWrap w:val="0"/>
            <w:vAlign w:val="top"/>
          </w:tcPr>
          <w:p>
            <w:pPr>
              <w:pStyle w:val="100"/>
              <w:rPr>
                <w:rFonts w:cs="Arial"/>
                <w:szCs w:val="18"/>
              </w:rPr>
            </w:pPr>
            <w:r>
              <w:rPr>
                <w:rFonts w:cs="Arial"/>
                <w:szCs w:val="18"/>
              </w:rPr>
              <w:t>ResourceSharing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rPr>
                <w:rFonts w:hint="eastAsia"/>
                <w:lang w:eastAsia="zh-CN"/>
              </w:rPr>
            </w:pPr>
            <w:r>
              <w:rPr>
                <w:rFonts w:hint="eastAsia"/>
                <w:lang w:eastAsia="zh-CN"/>
              </w:rPr>
              <w:t>U</w:t>
            </w:r>
            <w:r>
              <w:rPr>
                <w:lang w:eastAsia="zh-CN"/>
              </w:rPr>
              <w:t>integer</w:t>
            </w:r>
          </w:p>
        </w:tc>
        <w:tc>
          <w:tcPr>
            <w:tcW w:w="1980" w:type="dxa"/>
            <w:gridSpan w:val="2"/>
            <w:noWrap w:val="0"/>
            <w:vAlign w:val="top"/>
          </w:tcPr>
          <w:p>
            <w:pPr>
              <w:pStyle w:val="100"/>
            </w:pPr>
            <w:r>
              <w:t>3GPP TS 29.571 [12]</w:t>
            </w:r>
          </w:p>
        </w:tc>
        <w:tc>
          <w:tcPr>
            <w:tcW w:w="3780" w:type="dxa"/>
            <w:gridSpan w:val="2"/>
            <w:noWrap w:val="0"/>
            <w:vAlign w:val="top"/>
          </w:tcPr>
          <w:p>
            <w:pPr>
              <w:pStyle w:val="100"/>
            </w:pPr>
            <w:r>
              <w:t>Unsigned Integer, i.e. only value 0 and integers above 0 are permissible.</w:t>
            </w:r>
          </w:p>
          <w:p>
            <w:pPr>
              <w:pStyle w:val="100"/>
            </w:pPr>
            <w:r>
              <w:t>Minimum = 0.</w:t>
            </w:r>
          </w:p>
        </w:tc>
        <w:tc>
          <w:tcPr>
            <w:tcW w:w="1890" w:type="dxa"/>
            <w:gridSpan w:val="2"/>
            <w:noWrap w:val="0"/>
            <w:vAlign w:val="top"/>
          </w:tcPr>
          <w:p>
            <w:pPr>
              <w:pStyle w:val="100"/>
              <w:rPr>
                <w:lang w:eastAsia="zh-CN"/>
              </w:rPr>
            </w:pPr>
            <w:r>
              <w:rPr>
                <w:rFonts w:cs="Arial"/>
                <w:szCs w:val="18"/>
              </w:rP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UpPathChgEvent</w:t>
            </w:r>
          </w:p>
        </w:tc>
        <w:tc>
          <w:tcPr>
            <w:tcW w:w="1980" w:type="dxa"/>
            <w:gridSpan w:val="2"/>
            <w:noWrap w:val="0"/>
            <w:vAlign w:val="top"/>
          </w:tcPr>
          <w:p>
            <w:pPr>
              <w:pStyle w:val="100"/>
            </w:pPr>
            <w:r>
              <w:t>3GPP TS 29.512 [8]</w:t>
            </w:r>
          </w:p>
        </w:tc>
        <w:tc>
          <w:tcPr>
            <w:tcW w:w="3780" w:type="dxa"/>
            <w:gridSpan w:val="2"/>
            <w:noWrap w:val="0"/>
            <w:vAlign w:val="top"/>
          </w:tcPr>
          <w:p>
            <w:pPr>
              <w:pStyle w:val="100"/>
            </w:pPr>
            <w:r>
              <w:t>Contains the subscription information to be delivered to SMF for the UP path management events.</w:t>
            </w:r>
          </w:p>
        </w:tc>
        <w:tc>
          <w:tcPr>
            <w:tcW w:w="1890" w:type="dxa"/>
            <w:gridSpan w:val="2"/>
            <w:noWrap w:val="0"/>
            <w:vAlign w:val="top"/>
          </w:tcPr>
          <w:p>
            <w:pPr>
              <w:pStyle w:val="100"/>
              <w:rPr>
                <w:rFonts w:cs="Arial"/>
                <w:szCs w:val="18"/>
              </w:rPr>
            </w:pPr>
            <w:r>
              <w:rPr>
                <w:rFonts w:cs="Arial"/>
                <w:szCs w:val="18"/>
              </w:rPr>
              <w:t>InfluenceOnTrafficRouting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Uri</w:t>
            </w:r>
          </w:p>
        </w:tc>
        <w:tc>
          <w:tcPr>
            <w:tcW w:w="1980" w:type="dxa"/>
            <w:gridSpan w:val="2"/>
            <w:noWrap w:val="0"/>
            <w:vAlign w:val="top"/>
          </w:tcPr>
          <w:p>
            <w:pPr>
              <w:pStyle w:val="100"/>
            </w:pPr>
            <w:r>
              <w:t>3GPP TS 29.571 [12]</w:t>
            </w:r>
          </w:p>
        </w:tc>
        <w:tc>
          <w:tcPr>
            <w:tcW w:w="3780" w:type="dxa"/>
            <w:gridSpan w:val="2"/>
            <w:noWrap w:val="0"/>
            <w:vAlign w:val="top"/>
          </w:tcPr>
          <w:p>
            <w:pPr>
              <w:pStyle w:val="100"/>
            </w:pPr>
            <w:r>
              <w:rPr>
                <w:lang w:eastAsia="zh-CN"/>
              </w:rPr>
              <w:t>String providing an URI.</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rPr>
                <w:lang w:eastAsia="zh-CN"/>
              </w:rPr>
              <w:t>UsageThreshold</w:t>
            </w:r>
          </w:p>
        </w:tc>
        <w:tc>
          <w:tcPr>
            <w:tcW w:w="1980" w:type="dxa"/>
            <w:gridSpan w:val="2"/>
            <w:noWrap w:val="0"/>
            <w:vAlign w:val="top"/>
          </w:tcPr>
          <w:p>
            <w:pPr>
              <w:pStyle w:val="100"/>
            </w:pPr>
            <w:r>
              <w:t>3GPP TS 29.122 [15]</w:t>
            </w:r>
          </w:p>
        </w:tc>
        <w:tc>
          <w:tcPr>
            <w:tcW w:w="3780" w:type="dxa"/>
            <w:gridSpan w:val="2"/>
            <w:noWrap w:val="0"/>
            <w:vAlign w:val="top"/>
          </w:tcPr>
          <w:p>
            <w:pPr>
              <w:pStyle w:val="100"/>
            </w:pPr>
            <w:r>
              <w:rPr>
                <w:rFonts w:cs="Arial"/>
                <w:szCs w:val="18"/>
              </w:rPr>
              <w:t>Usage Thresholds.</w:t>
            </w:r>
          </w:p>
        </w:tc>
        <w:tc>
          <w:tcPr>
            <w:tcW w:w="1890" w:type="dxa"/>
            <w:gridSpan w:val="2"/>
            <w:noWrap w:val="0"/>
            <w:vAlign w:val="top"/>
          </w:tcPr>
          <w:p>
            <w:pPr>
              <w:pStyle w:val="100"/>
              <w:rPr>
                <w:rFonts w:cs="Arial"/>
                <w:szCs w:val="18"/>
              </w:rPr>
            </w:pPr>
            <w:r>
              <w:rPr>
                <w:rFonts w:cs="Arial"/>
                <w:szCs w:val="18"/>
              </w:rPr>
              <w:t>SponsoredConnectivity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rPr>
                <w:lang w:eastAsia="zh-CN"/>
              </w:rPr>
            </w:pPr>
            <w:r>
              <w:rPr>
                <w:lang w:eastAsia="zh-CN"/>
              </w:rPr>
              <w:t>UsageThresholdRm</w:t>
            </w:r>
          </w:p>
        </w:tc>
        <w:tc>
          <w:tcPr>
            <w:tcW w:w="1980" w:type="dxa"/>
            <w:gridSpan w:val="2"/>
            <w:noWrap w:val="0"/>
            <w:vAlign w:val="top"/>
          </w:tcPr>
          <w:p>
            <w:pPr>
              <w:pStyle w:val="100"/>
            </w:pPr>
            <w:r>
              <w:t>3GPP TS 29.122 [15]</w:t>
            </w:r>
          </w:p>
        </w:tc>
        <w:tc>
          <w:tcPr>
            <w:tcW w:w="3780" w:type="dxa"/>
            <w:gridSpan w:val="2"/>
            <w:noWrap w:val="0"/>
            <w:vAlign w:val="top"/>
          </w:tcPr>
          <w:p>
            <w:pPr>
              <w:pStyle w:val="100"/>
              <w:rPr>
                <w:rFonts w:cs="Arial"/>
                <w:szCs w:val="18"/>
              </w:rPr>
            </w:pPr>
            <w:r>
              <w:t>This data type is defined in the same way as the "UsageThreshold" data type, but with the OpenAPI "nullable: true" property.</w:t>
            </w:r>
          </w:p>
        </w:tc>
        <w:tc>
          <w:tcPr>
            <w:tcW w:w="1890" w:type="dxa"/>
            <w:gridSpan w:val="2"/>
            <w:noWrap w:val="0"/>
            <w:vAlign w:val="top"/>
          </w:tcPr>
          <w:p>
            <w:pPr>
              <w:pStyle w:val="100"/>
              <w:rPr>
                <w:rFonts w:cs="Arial"/>
                <w:szCs w:val="18"/>
              </w:rPr>
            </w:pPr>
            <w:r>
              <w:rPr>
                <w:rFonts w:cs="Arial"/>
                <w:szCs w:val="18"/>
              </w:rPr>
              <w:t>SponsoredConnectivity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rPr>
                <w:lang w:eastAsia="zh-CN"/>
              </w:rPr>
            </w:pPr>
            <w:r>
              <w:rPr>
                <w:lang w:eastAsia="zh-CN"/>
              </w:rPr>
              <w:t>UserLocation</w:t>
            </w:r>
          </w:p>
        </w:tc>
        <w:tc>
          <w:tcPr>
            <w:tcW w:w="1980" w:type="dxa"/>
            <w:gridSpan w:val="2"/>
            <w:noWrap w:val="0"/>
            <w:vAlign w:val="top"/>
          </w:tcPr>
          <w:p>
            <w:pPr>
              <w:pStyle w:val="100"/>
            </w:pPr>
            <w:r>
              <w:t>3GPP TS 29.571 [12]</w:t>
            </w:r>
          </w:p>
        </w:tc>
        <w:tc>
          <w:tcPr>
            <w:tcW w:w="3780" w:type="dxa"/>
            <w:gridSpan w:val="2"/>
            <w:noWrap w:val="0"/>
            <w:vAlign w:val="top"/>
          </w:tcPr>
          <w:p>
            <w:pPr>
              <w:pStyle w:val="100"/>
            </w:pPr>
            <w:r>
              <w:rPr>
                <w:rFonts w:cs="Arial"/>
                <w:szCs w:val="18"/>
              </w:rPr>
              <w:t>User Location(s).</w:t>
            </w:r>
          </w:p>
        </w:tc>
        <w:tc>
          <w:tcPr>
            <w:tcW w:w="1890" w:type="dxa"/>
            <w:gridSpan w:val="2"/>
            <w:noWrap w:val="0"/>
            <w:vAlign w:val="top"/>
          </w:tcPr>
          <w:p>
            <w:pPr>
              <w:pStyle w:val="100"/>
              <w:rPr>
                <w:rFonts w:cs="Arial"/>
                <w:szCs w:val="18"/>
              </w:rPr>
            </w:pPr>
            <w:r>
              <w:rPr>
                <w:rFonts w:cs="Arial"/>
                <w:szCs w:val="18"/>
              </w:rPr>
              <w:t>NetLoc</w:t>
            </w:r>
          </w:p>
        </w:tc>
      </w:tr>
    </w:tbl>
    <w:p>
      <w:pPr>
        <w:pStyle w:val="123"/>
        <w:ind w:left="0" w:firstLine="0"/>
      </w:pPr>
    </w:p>
    <w:p>
      <w:pPr>
        <w:pStyle w:val="123"/>
        <w:ind w:left="0" w:firstLine="0"/>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72" w:name="_Toc28012461"/>
      <w:bookmarkStart w:id="73" w:name="_Toc45133689"/>
      <w:bookmarkStart w:id="74" w:name="_Toc130291804"/>
      <w:bookmarkStart w:id="75" w:name="_Toc36038419"/>
      <w:bookmarkStart w:id="76" w:name="_Toc59017015"/>
      <w:bookmarkStart w:id="77" w:name="_Toc129338935"/>
      <w:bookmarkStart w:id="78" w:name="_Toc51762443"/>
      <w:r>
        <w:t>5.6.2.7</w:t>
      </w:r>
      <w:r>
        <w:tab/>
      </w:r>
      <w:r>
        <w:t>Type MediaComponent</w:t>
      </w:r>
      <w:bookmarkEnd w:id="72"/>
      <w:bookmarkEnd w:id="73"/>
      <w:bookmarkEnd w:id="74"/>
      <w:bookmarkEnd w:id="75"/>
      <w:bookmarkEnd w:id="76"/>
      <w:bookmarkEnd w:id="77"/>
      <w:bookmarkEnd w:id="78"/>
    </w:p>
    <w:p>
      <w:pPr>
        <w:pStyle w:val="102"/>
      </w:pPr>
      <w:r>
        <w:t>Table 5.6.2.7-1: Definition of type MediaComponent</w:t>
      </w:r>
    </w:p>
    <w:tbl>
      <w:tblPr>
        <w:tblStyle w:val="89"/>
        <w:tblW w:w="961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08" w:type="dxa"/>
        </w:tblCellMar>
      </w:tblPr>
      <w:tblGrid>
        <w:gridCol w:w="1609"/>
        <w:gridCol w:w="1800"/>
        <w:gridCol w:w="361"/>
        <w:gridCol w:w="1170"/>
        <w:gridCol w:w="3271"/>
        <w:gridCol w:w="14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tblHeader/>
          <w:jc w:val="center"/>
        </w:trPr>
        <w:tc>
          <w:tcPr>
            <w:tcW w:w="1609" w:type="dxa"/>
            <w:shd w:val="clear" w:color="auto" w:fill="C0C0C0"/>
            <w:noWrap w:val="0"/>
            <w:vAlign w:val="top"/>
          </w:tcPr>
          <w:p>
            <w:pPr>
              <w:pStyle w:val="98"/>
            </w:pPr>
            <w:r>
              <w:t>Attribute name</w:t>
            </w:r>
          </w:p>
        </w:tc>
        <w:tc>
          <w:tcPr>
            <w:tcW w:w="1800" w:type="dxa"/>
            <w:shd w:val="clear" w:color="auto" w:fill="C0C0C0"/>
            <w:noWrap w:val="0"/>
            <w:vAlign w:val="top"/>
          </w:tcPr>
          <w:p>
            <w:pPr>
              <w:pStyle w:val="98"/>
            </w:pPr>
            <w:r>
              <w:t>Data type</w:t>
            </w:r>
          </w:p>
        </w:tc>
        <w:tc>
          <w:tcPr>
            <w:tcW w:w="361" w:type="dxa"/>
            <w:shd w:val="clear" w:color="auto" w:fill="C0C0C0"/>
            <w:noWrap w:val="0"/>
            <w:vAlign w:val="top"/>
          </w:tcPr>
          <w:p>
            <w:pPr>
              <w:pStyle w:val="98"/>
            </w:pPr>
            <w:r>
              <w:t>P</w:t>
            </w:r>
          </w:p>
        </w:tc>
        <w:tc>
          <w:tcPr>
            <w:tcW w:w="1170" w:type="dxa"/>
            <w:shd w:val="clear" w:color="auto" w:fill="C0C0C0"/>
            <w:noWrap w:val="0"/>
            <w:vAlign w:val="top"/>
          </w:tcPr>
          <w:p>
            <w:pPr>
              <w:pStyle w:val="98"/>
            </w:pPr>
            <w:r>
              <w:t>Cardinality</w:t>
            </w:r>
          </w:p>
        </w:tc>
        <w:tc>
          <w:tcPr>
            <w:tcW w:w="3271" w:type="dxa"/>
            <w:shd w:val="clear" w:color="auto" w:fill="C0C0C0"/>
            <w:noWrap w:val="0"/>
            <w:vAlign w:val="top"/>
          </w:tcPr>
          <w:p>
            <w:pPr>
              <w:pStyle w:val="98"/>
            </w:pPr>
            <w:r>
              <w:t>Description</w:t>
            </w:r>
          </w:p>
        </w:tc>
        <w:tc>
          <w:tcPr>
            <w:tcW w:w="1408" w:type="dxa"/>
            <w:shd w:val="clear" w:color="auto" w:fill="C0C0C0"/>
            <w:noWrap w:val="0"/>
            <w:vAlign w:val="top"/>
          </w:tcPr>
          <w:p>
            <w:pPr>
              <w:pStyle w:val="98"/>
            </w:pPr>
            <w:r>
              <w:t>Applicability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afAppId</w:t>
            </w:r>
          </w:p>
        </w:tc>
        <w:tc>
          <w:tcPr>
            <w:tcW w:w="1800" w:type="dxa"/>
            <w:noWrap w:val="0"/>
            <w:vAlign w:val="top"/>
          </w:tcPr>
          <w:p>
            <w:pPr>
              <w:pStyle w:val="100"/>
            </w:pPr>
            <w:r>
              <w:t>AfAppId</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Contains information that identifies the particular service the AF session</w:t>
            </w:r>
            <w:r>
              <w:t xml:space="preserve"> belongs to.</w:t>
            </w:r>
          </w:p>
        </w:tc>
        <w:tc>
          <w:tcPr>
            <w:tcW w:w="1408"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afRoutReq</w:t>
            </w:r>
          </w:p>
        </w:tc>
        <w:tc>
          <w:tcPr>
            <w:tcW w:w="1800" w:type="dxa"/>
            <w:noWrap w:val="0"/>
            <w:vAlign w:val="top"/>
          </w:tcPr>
          <w:p>
            <w:pPr>
              <w:pStyle w:val="100"/>
            </w:pPr>
            <w:r>
              <w:t>AfRoutingRequirement</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Indicates the AF traffic routing requirements.</w:t>
            </w:r>
          </w:p>
        </w:tc>
        <w:tc>
          <w:tcPr>
            <w:tcW w:w="1408" w:type="dxa"/>
            <w:noWrap w:val="0"/>
            <w:vAlign w:val="top"/>
          </w:tcPr>
          <w:p>
            <w:pPr>
              <w:pStyle w:val="100"/>
              <w:rPr>
                <w:rFonts w:cs="Arial"/>
                <w:szCs w:val="18"/>
              </w:rPr>
            </w:pPr>
            <w:r>
              <w:rPr>
                <w:rFonts w:cs="Arial"/>
                <w:szCs w:val="18"/>
              </w:rPr>
              <w:t>InfluenceOnTrafficRouting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afSfcReq</w:t>
            </w:r>
          </w:p>
        </w:tc>
        <w:tc>
          <w:tcPr>
            <w:tcW w:w="1800" w:type="dxa"/>
            <w:noWrap w:val="0"/>
            <w:vAlign w:val="top"/>
          </w:tcPr>
          <w:p>
            <w:pPr>
              <w:pStyle w:val="100"/>
            </w:pPr>
            <w:r>
              <w:t>AfSfcRequirement</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 xml:space="preserve">Indicates the AF requirements on steering traffic to </w:t>
            </w:r>
            <w:r>
              <w:t>a pre-configured chain of service functions on N6-LAN.</w:t>
            </w:r>
          </w:p>
        </w:tc>
        <w:tc>
          <w:tcPr>
            <w:tcW w:w="1408" w:type="dxa"/>
            <w:noWrap w:val="0"/>
            <w:vAlign w:val="top"/>
          </w:tcPr>
          <w:p>
            <w:pPr>
              <w:pStyle w:val="100"/>
              <w:rPr>
                <w:rFonts w:cs="Arial"/>
                <w:szCs w:val="18"/>
              </w:rPr>
            </w:pPr>
            <w:r>
              <w:rPr>
                <w:rFonts w:cs="Arial"/>
                <w:szCs w:val="18"/>
              </w:rPr>
              <w:t>SFC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rPr>
                <w:highlight w:val="none"/>
              </w:rPr>
            </w:pPr>
            <w:r>
              <w:rPr>
                <w:highlight w:val="none"/>
                <w:lang w:eastAsia="zh-CN"/>
              </w:rPr>
              <w:t>qosReference</w:t>
            </w:r>
          </w:p>
        </w:tc>
        <w:tc>
          <w:tcPr>
            <w:tcW w:w="1800" w:type="dxa"/>
            <w:noWrap w:val="0"/>
            <w:vAlign w:val="top"/>
          </w:tcPr>
          <w:p>
            <w:pPr>
              <w:pStyle w:val="100"/>
            </w:pPr>
            <w:r>
              <w:rPr>
                <w:lang w:eastAsia="zh-CN"/>
              </w:rPr>
              <w:t>string</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lang w:eastAsia="zh-CN"/>
              </w:rPr>
              <w:t>Identifies a pre-defined QoS information</w:t>
            </w:r>
            <w:r>
              <w:t>.</w:t>
            </w:r>
          </w:p>
        </w:tc>
        <w:tc>
          <w:tcPr>
            <w:tcW w:w="1408" w:type="dxa"/>
            <w:noWrap w:val="0"/>
            <w:vAlign w:val="top"/>
          </w:tcPr>
          <w:p>
            <w:pPr>
              <w:pStyle w:val="100"/>
              <w:rPr>
                <w:rFonts w:cs="Arial"/>
                <w:szCs w:val="18"/>
              </w:rPr>
            </w:pPr>
            <w:r>
              <w:t>AuthorizationWithRequiredQoS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rPr>
                <w:highlight w:val="none"/>
              </w:rPr>
            </w:pPr>
            <w:r>
              <w:rPr>
                <w:highlight w:val="none"/>
                <w:lang w:eastAsia="zh-CN"/>
              </w:rPr>
              <w:t>altSerReqs</w:t>
            </w:r>
          </w:p>
        </w:tc>
        <w:tc>
          <w:tcPr>
            <w:tcW w:w="1800" w:type="dxa"/>
            <w:noWrap w:val="0"/>
            <w:vAlign w:val="top"/>
          </w:tcPr>
          <w:p>
            <w:pPr>
              <w:pStyle w:val="100"/>
            </w:pPr>
            <w:r>
              <w:t>array(string)</w:t>
            </w:r>
          </w:p>
        </w:tc>
        <w:tc>
          <w:tcPr>
            <w:tcW w:w="361" w:type="dxa"/>
            <w:noWrap w:val="0"/>
            <w:vAlign w:val="top"/>
          </w:tcPr>
          <w:p>
            <w:pPr>
              <w:pStyle w:val="99"/>
            </w:pPr>
            <w:r>
              <w:rPr>
                <w:lang w:eastAsia="zh-CN"/>
              </w:rPr>
              <w:t>O</w:t>
            </w:r>
          </w:p>
        </w:tc>
        <w:tc>
          <w:tcPr>
            <w:tcW w:w="1170" w:type="dxa"/>
            <w:noWrap w:val="0"/>
            <w:vAlign w:val="top"/>
          </w:tcPr>
          <w:p>
            <w:pPr>
              <w:pStyle w:val="99"/>
            </w:pPr>
            <w:r>
              <w:t>1..N</w:t>
            </w:r>
          </w:p>
        </w:tc>
        <w:tc>
          <w:tcPr>
            <w:tcW w:w="3271" w:type="dxa"/>
            <w:noWrap w:val="0"/>
            <w:vAlign w:val="top"/>
          </w:tcPr>
          <w:p>
            <w:pPr>
              <w:pStyle w:val="100"/>
              <w:rPr>
                <w:rFonts w:cs="Arial"/>
                <w:szCs w:val="18"/>
              </w:rPr>
            </w:pPr>
            <w:r>
              <w:t xml:space="preserve">Ordered list of alternative service requirements </w:t>
            </w:r>
            <w:r>
              <w:rPr>
                <w:rFonts w:eastAsia="Times New Roman"/>
                <w:lang w:val="en-US"/>
              </w:rPr>
              <w:t>that include a set of QoS references</w:t>
            </w:r>
            <w:r>
              <w:t>. The lower the index of the array for a given entry, the higher the priority.(NOTE 1)</w:t>
            </w:r>
          </w:p>
        </w:tc>
        <w:tc>
          <w:tcPr>
            <w:tcW w:w="1408" w:type="dxa"/>
            <w:noWrap w:val="0"/>
            <w:vAlign w:val="top"/>
          </w:tcPr>
          <w:p>
            <w:pPr>
              <w:pStyle w:val="100"/>
              <w:rPr>
                <w:rFonts w:cs="Arial"/>
                <w:szCs w:val="18"/>
              </w:rPr>
            </w:pPr>
            <w:r>
              <w:t>AuthorizationWithRequiredQoS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rPr>
                <w:highlight w:val="none"/>
                <w:lang w:eastAsia="zh-CN"/>
              </w:rPr>
            </w:pPr>
            <w:r>
              <w:rPr>
                <w:highlight w:val="none"/>
                <w:lang w:eastAsia="zh-CN"/>
              </w:rPr>
              <w:t>altSerReqsData</w:t>
            </w:r>
          </w:p>
        </w:tc>
        <w:tc>
          <w:tcPr>
            <w:tcW w:w="1800" w:type="dxa"/>
            <w:noWrap w:val="0"/>
            <w:vAlign w:val="top"/>
          </w:tcPr>
          <w:p>
            <w:pPr>
              <w:pStyle w:val="100"/>
            </w:pPr>
            <w:r>
              <w:t>array(AlternativeServiceRequirementsData)</w:t>
            </w:r>
          </w:p>
        </w:tc>
        <w:tc>
          <w:tcPr>
            <w:tcW w:w="361" w:type="dxa"/>
            <w:noWrap w:val="0"/>
            <w:vAlign w:val="top"/>
          </w:tcPr>
          <w:p>
            <w:pPr>
              <w:pStyle w:val="99"/>
              <w:rPr>
                <w:lang w:eastAsia="zh-CN"/>
              </w:rPr>
            </w:pPr>
            <w:r>
              <w:rPr>
                <w:lang w:eastAsia="zh-CN"/>
              </w:rPr>
              <w:t>O</w:t>
            </w:r>
          </w:p>
        </w:tc>
        <w:tc>
          <w:tcPr>
            <w:tcW w:w="1170" w:type="dxa"/>
            <w:noWrap w:val="0"/>
            <w:vAlign w:val="top"/>
          </w:tcPr>
          <w:p>
            <w:pPr>
              <w:pStyle w:val="99"/>
            </w:pPr>
            <w:r>
              <w:t>1..N</w:t>
            </w:r>
          </w:p>
        </w:tc>
        <w:tc>
          <w:tcPr>
            <w:tcW w:w="3271" w:type="dxa"/>
            <w:noWrap w:val="0"/>
            <w:vAlign w:val="top"/>
          </w:tcPr>
          <w:p>
            <w:pPr>
              <w:pStyle w:val="100"/>
            </w:pPr>
            <w:r>
              <w:rPr>
                <w:rFonts w:eastAsia="Times New Roman"/>
                <w:lang w:val="en-US"/>
              </w:rPr>
              <w:t>Ordered list of alternative service requirements that include individual QoS parameter sets.</w:t>
            </w:r>
            <w:r>
              <w:t xml:space="preserve"> The lower the index of the array for a given entry, the higher the priority. (NOTE 1)</w:t>
            </w:r>
          </w:p>
        </w:tc>
        <w:tc>
          <w:tcPr>
            <w:tcW w:w="1408" w:type="dxa"/>
            <w:noWrap w:val="0"/>
            <w:vAlign w:val="top"/>
          </w:tcPr>
          <w:p>
            <w:pPr>
              <w:pStyle w:val="100"/>
            </w:pPr>
            <w:r>
              <w:rPr>
                <w:rFonts w:eastAsia="Times New Roman"/>
                <w:lang w:val="en-US"/>
              </w:rPr>
              <w:t>AltSerReqsWithIndQoS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rPr>
                <w:lang w:eastAsia="zh-CN"/>
              </w:rPr>
            </w:pPr>
            <w:r>
              <w:rPr>
                <w:rFonts w:hint="eastAsia"/>
                <w:lang w:eastAsia="zh-CN"/>
              </w:rPr>
              <w:t>d</w:t>
            </w:r>
            <w:r>
              <w:rPr>
                <w:lang w:eastAsia="zh-CN"/>
              </w:rPr>
              <w:t>isUeNotif</w:t>
            </w:r>
          </w:p>
        </w:tc>
        <w:tc>
          <w:tcPr>
            <w:tcW w:w="1800" w:type="dxa"/>
            <w:noWrap w:val="0"/>
            <w:vAlign w:val="top"/>
          </w:tcPr>
          <w:p>
            <w:pPr>
              <w:pStyle w:val="100"/>
            </w:pPr>
            <w:r>
              <w:rPr>
                <w:rFonts w:hint="eastAsia"/>
                <w:lang w:eastAsia="zh-CN"/>
              </w:rPr>
              <w:t>b</w:t>
            </w:r>
            <w:r>
              <w:rPr>
                <w:lang w:eastAsia="zh-CN"/>
              </w:rPr>
              <w:t>oolean</w:t>
            </w:r>
          </w:p>
        </w:tc>
        <w:tc>
          <w:tcPr>
            <w:tcW w:w="361" w:type="dxa"/>
            <w:noWrap w:val="0"/>
            <w:vAlign w:val="top"/>
          </w:tcPr>
          <w:p>
            <w:pPr>
              <w:pStyle w:val="99"/>
              <w:rPr>
                <w:lang w:eastAsia="zh-CN"/>
              </w:rPr>
            </w:pPr>
            <w:r>
              <w:rPr>
                <w:rFonts w:hint="eastAsia"/>
                <w:lang w:eastAsia="zh-CN"/>
              </w:rPr>
              <w:t>O</w:t>
            </w:r>
          </w:p>
        </w:tc>
        <w:tc>
          <w:tcPr>
            <w:tcW w:w="1170" w:type="dxa"/>
            <w:noWrap w:val="0"/>
            <w:vAlign w:val="top"/>
          </w:tcPr>
          <w:p>
            <w:pPr>
              <w:pStyle w:val="99"/>
            </w:pPr>
            <w:r>
              <w:rPr>
                <w:rFonts w:hint="eastAsia"/>
                <w:lang w:eastAsia="zh-CN"/>
              </w:rPr>
              <w:t>0</w:t>
            </w:r>
            <w:r>
              <w:rPr>
                <w:lang w:eastAsia="zh-CN"/>
              </w:rPr>
              <w:t>..1</w:t>
            </w:r>
          </w:p>
        </w:tc>
        <w:tc>
          <w:tcPr>
            <w:tcW w:w="3271" w:type="dxa"/>
            <w:noWrap w:val="0"/>
            <w:vAlign w:val="top"/>
          </w:tcPr>
          <w:p>
            <w:pPr>
              <w:pStyle w:val="100"/>
            </w:pPr>
            <w:r>
              <w:rPr>
                <w:szCs w:val="18"/>
              </w:rPr>
              <w:t xml:space="preserve">Indicates to disable QoS flow parameters signalling to the UE when the SMF is notified by the NG-RAN of changes in the fulfilled QoS situation </w:t>
            </w:r>
            <w:r>
              <w:t xml:space="preserve">when it is included and set to "true". </w:t>
            </w:r>
            <w:r>
              <w:rPr>
                <w:szCs w:val="18"/>
              </w:rPr>
              <w:t>The fulfilled situation is either the QoS profile or an Alternative QoS Profile.</w:t>
            </w:r>
            <w:r>
              <w:rPr>
                <w:rFonts w:cs="Arial"/>
                <w:szCs w:val="18"/>
              </w:rPr>
              <w:t xml:space="preserve"> </w:t>
            </w:r>
            <w:r>
              <w:t xml:space="preserve">The </w:t>
            </w:r>
            <w:r>
              <w:rPr>
                <w:rFonts w:cs="Arial"/>
                <w:szCs w:val="18"/>
              </w:rPr>
              <w:t>default value "</w:t>
            </w:r>
            <w:r>
              <w:t>false</w:t>
            </w:r>
            <w:r>
              <w:rPr>
                <w:rFonts w:cs="Arial"/>
                <w:szCs w:val="18"/>
              </w:rPr>
              <w:t xml:space="preserve">" shall apply, if the attribute is not present and </w:t>
            </w:r>
            <w:r>
              <w:t>has not been supplied previously</w:t>
            </w:r>
            <w:r>
              <w:rPr>
                <w:rFonts w:cs="Arial"/>
                <w:szCs w:val="18"/>
              </w:rPr>
              <w:t>.</w:t>
            </w:r>
          </w:p>
        </w:tc>
        <w:tc>
          <w:tcPr>
            <w:tcW w:w="1408" w:type="dxa"/>
            <w:noWrap w:val="0"/>
            <w:vAlign w:val="top"/>
          </w:tcPr>
          <w:p>
            <w:pPr>
              <w:pStyle w:val="100"/>
            </w:pPr>
            <w:bookmarkStart w:id="79" w:name="OLE_LINK22"/>
            <w:r>
              <w:rPr>
                <w:rFonts w:hint="eastAsia"/>
                <w:lang w:eastAsia="zh-CN"/>
              </w:rPr>
              <w:t>D</w:t>
            </w:r>
            <w:r>
              <w:rPr>
                <w:lang w:eastAsia="zh-CN"/>
              </w:rPr>
              <w:t>isableUENotification</w:t>
            </w:r>
            <w:bookmarkEnd w:id="79"/>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contVer</w:t>
            </w:r>
          </w:p>
        </w:tc>
        <w:tc>
          <w:tcPr>
            <w:tcW w:w="1800" w:type="dxa"/>
            <w:noWrap w:val="0"/>
            <w:vAlign w:val="top"/>
          </w:tcPr>
          <w:p>
            <w:pPr>
              <w:pStyle w:val="100"/>
            </w:pPr>
            <w:r>
              <w:t>ContentVersion</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Represents the content version of a media component.</w:t>
            </w:r>
          </w:p>
        </w:tc>
        <w:tc>
          <w:tcPr>
            <w:tcW w:w="1408" w:type="dxa"/>
            <w:noWrap w:val="0"/>
            <w:vAlign w:val="top"/>
          </w:tcPr>
          <w:p>
            <w:pPr>
              <w:pStyle w:val="100"/>
              <w:rPr>
                <w:rFonts w:cs="Arial"/>
                <w:szCs w:val="18"/>
              </w:rPr>
            </w:pPr>
            <w:r>
              <w:rPr>
                <w:rFonts w:cs="Arial"/>
                <w:szCs w:val="18"/>
              </w:rPr>
              <w:t>MediaComponentVersioning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desMaxLatency</w:t>
            </w:r>
          </w:p>
        </w:tc>
        <w:tc>
          <w:tcPr>
            <w:tcW w:w="1800" w:type="dxa"/>
            <w:noWrap w:val="0"/>
            <w:vAlign w:val="top"/>
          </w:tcPr>
          <w:p>
            <w:pPr>
              <w:pStyle w:val="100"/>
            </w:pPr>
            <w:r>
              <w:t>Float</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t>Indicates</w:t>
            </w:r>
            <w:r>
              <w:rPr>
                <w:lang w:eastAsia="zh-CN"/>
              </w:rPr>
              <w:t xml:space="preserve"> a </w:t>
            </w:r>
            <w:r>
              <w:t>maximum desirable transport level packet latency in milliseconds.</w:t>
            </w:r>
          </w:p>
        </w:tc>
        <w:tc>
          <w:tcPr>
            <w:tcW w:w="1408" w:type="dxa"/>
            <w:noWrap w:val="0"/>
            <w:vAlign w:val="top"/>
          </w:tcPr>
          <w:p>
            <w:pPr>
              <w:pStyle w:val="100"/>
              <w:rPr>
                <w:rFonts w:cs="Arial"/>
                <w:szCs w:val="18"/>
              </w:rPr>
            </w:pPr>
            <w:r>
              <w:rPr>
                <w:rFonts w:cs="Arial"/>
                <w:szCs w:val="18"/>
              </w:rPr>
              <w:t>FLUS, QoSHint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bookmarkStart w:id="80" w:name="OLE_LINK20"/>
            <w:r>
              <w:t>desMaxLoss</w:t>
            </w:r>
            <w:bookmarkEnd w:id="80"/>
          </w:p>
        </w:tc>
        <w:tc>
          <w:tcPr>
            <w:tcW w:w="1800" w:type="dxa"/>
            <w:noWrap w:val="0"/>
            <w:vAlign w:val="top"/>
          </w:tcPr>
          <w:p>
            <w:pPr>
              <w:pStyle w:val="100"/>
            </w:pPr>
            <w:r>
              <w:t>Float</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t>Indicates the maximum desirable transport level packet loss rate in percent (without "%" sign).</w:t>
            </w:r>
          </w:p>
        </w:tc>
        <w:tc>
          <w:tcPr>
            <w:tcW w:w="1408" w:type="dxa"/>
            <w:noWrap w:val="0"/>
            <w:vAlign w:val="top"/>
          </w:tcPr>
          <w:p>
            <w:pPr>
              <w:pStyle w:val="100"/>
              <w:rPr>
                <w:rFonts w:cs="Arial"/>
                <w:szCs w:val="18"/>
              </w:rPr>
            </w:pPr>
            <w:r>
              <w:rPr>
                <w:rFonts w:cs="Arial"/>
                <w:szCs w:val="18"/>
              </w:rPr>
              <w:t>FLUS, QoSHint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flusId</w:t>
            </w:r>
          </w:p>
        </w:tc>
        <w:tc>
          <w:tcPr>
            <w:tcW w:w="1800" w:type="dxa"/>
            <w:noWrap w:val="0"/>
            <w:vAlign w:val="top"/>
          </w:tcPr>
          <w:p>
            <w:pPr>
              <w:pStyle w:val="100"/>
            </w:pPr>
            <w:r>
              <w:t>string</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t>Indicates that the media component is used for FLUS media.</w:t>
            </w:r>
          </w:p>
          <w:p>
            <w:pPr>
              <w:pStyle w:val="100"/>
              <w:rPr>
                <w:rFonts w:cs="Arial"/>
                <w:szCs w:val="18"/>
              </w:rPr>
            </w:pPr>
            <w:r>
              <w:t xml:space="preserve">It is derived from the media level attribute </w:t>
            </w:r>
            <w:r>
              <w:rPr>
                <w:rFonts w:eastAsia="Yu Mincho"/>
              </w:rPr>
              <w:t xml:space="preserve">"a=label:" (see </w:t>
            </w:r>
            <w:r>
              <w:t xml:space="preserve">IETF RFC 4574 [50]) </w:t>
            </w:r>
            <w:r>
              <w:rPr>
                <w:rFonts w:eastAsia="Yu Mincho"/>
              </w:rPr>
              <w:t xml:space="preserve">obtained from the SDP body. It </w:t>
            </w:r>
            <w:r>
              <w:t xml:space="preserve">contains the string after </w:t>
            </w:r>
            <w:r>
              <w:rPr>
                <w:rFonts w:eastAsia="Yu Mincho"/>
              </w:rPr>
              <w:t>"a=label:" starting with "flus" and may be followed by more characters as described in 3GPP TS 26.238 [51].</w:t>
            </w:r>
          </w:p>
        </w:tc>
        <w:tc>
          <w:tcPr>
            <w:tcW w:w="1408" w:type="dxa"/>
            <w:noWrap w:val="0"/>
            <w:vAlign w:val="top"/>
          </w:tcPr>
          <w:p>
            <w:pPr>
              <w:pStyle w:val="100"/>
              <w:rPr>
                <w:rFonts w:cs="Arial"/>
                <w:szCs w:val="18"/>
              </w:rPr>
            </w:pPr>
            <w:r>
              <w:rPr>
                <w:rFonts w:cs="Arial"/>
                <w:szCs w:val="18"/>
              </w:rPr>
              <w:t>FLUS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medCompN</w:t>
            </w:r>
          </w:p>
        </w:tc>
        <w:tc>
          <w:tcPr>
            <w:tcW w:w="1800" w:type="dxa"/>
            <w:noWrap w:val="0"/>
            <w:vAlign w:val="top"/>
          </w:tcPr>
          <w:p>
            <w:pPr>
              <w:pStyle w:val="100"/>
            </w:pPr>
            <w:r>
              <w:t>integer</w:t>
            </w:r>
          </w:p>
        </w:tc>
        <w:tc>
          <w:tcPr>
            <w:tcW w:w="361" w:type="dxa"/>
            <w:noWrap w:val="0"/>
            <w:vAlign w:val="top"/>
          </w:tcPr>
          <w:p>
            <w:pPr>
              <w:pStyle w:val="99"/>
            </w:pPr>
            <w:r>
              <w:t>M</w:t>
            </w:r>
          </w:p>
        </w:tc>
        <w:tc>
          <w:tcPr>
            <w:tcW w:w="1170" w:type="dxa"/>
            <w:noWrap w:val="0"/>
            <w:vAlign w:val="top"/>
          </w:tcPr>
          <w:p>
            <w:pPr>
              <w:pStyle w:val="99"/>
            </w:pPr>
            <w:r>
              <w:t>1</w:t>
            </w:r>
          </w:p>
        </w:tc>
        <w:tc>
          <w:tcPr>
            <w:tcW w:w="3271" w:type="dxa"/>
            <w:noWrap w:val="0"/>
            <w:vAlign w:val="top"/>
          </w:tcPr>
          <w:p>
            <w:pPr>
              <w:pStyle w:val="100"/>
              <w:rPr>
                <w:rFonts w:cs="Arial"/>
                <w:szCs w:val="18"/>
              </w:rPr>
            </w:pPr>
            <w:r>
              <w:rPr>
                <w:rFonts w:cs="Arial"/>
                <w:szCs w:val="18"/>
              </w:rPr>
              <w:t>Identifies the media component number, and it contains the ordinal number of the media component.</w:t>
            </w:r>
          </w:p>
        </w:tc>
        <w:tc>
          <w:tcPr>
            <w:tcW w:w="1408"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medSubComps</w:t>
            </w:r>
          </w:p>
        </w:tc>
        <w:tc>
          <w:tcPr>
            <w:tcW w:w="1800" w:type="dxa"/>
            <w:noWrap w:val="0"/>
            <w:vAlign w:val="top"/>
          </w:tcPr>
          <w:p>
            <w:pPr>
              <w:pStyle w:val="100"/>
            </w:pPr>
            <w:r>
              <w:t>map(MediaSubComponent)</w:t>
            </w:r>
          </w:p>
        </w:tc>
        <w:tc>
          <w:tcPr>
            <w:tcW w:w="361" w:type="dxa"/>
            <w:noWrap w:val="0"/>
            <w:vAlign w:val="top"/>
          </w:tcPr>
          <w:p>
            <w:pPr>
              <w:pStyle w:val="99"/>
            </w:pPr>
            <w:r>
              <w:t>O</w:t>
            </w:r>
          </w:p>
        </w:tc>
        <w:tc>
          <w:tcPr>
            <w:tcW w:w="1170" w:type="dxa"/>
            <w:noWrap w:val="0"/>
            <w:vAlign w:val="top"/>
          </w:tcPr>
          <w:p>
            <w:pPr>
              <w:pStyle w:val="99"/>
            </w:pPr>
            <w:r>
              <w:t>1..N</w:t>
            </w:r>
          </w:p>
        </w:tc>
        <w:tc>
          <w:tcPr>
            <w:tcW w:w="3271" w:type="dxa"/>
            <w:noWrap w:val="0"/>
            <w:vAlign w:val="top"/>
          </w:tcPr>
          <w:p>
            <w:pPr>
              <w:pStyle w:val="100"/>
              <w:rPr>
                <w:rFonts w:cs="Arial"/>
                <w:szCs w:val="18"/>
              </w:rPr>
            </w:pPr>
            <w:r>
              <w:rPr>
                <w:rFonts w:cs="Arial"/>
                <w:szCs w:val="18"/>
              </w:rPr>
              <w:t xml:space="preserve">Contains the requested bitrate and filters for the set of service data flows identified by their common flow identifier. The key of the map is the attribute </w:t>
            </w:r>
            <w:r>
              <w:t>"fNum".</w:t>
            </w:r>
          </w:p>
        </w:tc>
        <w:tc>
          <w:tcPr>
            <w:tcW w:w="1408"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medType</w:t>
            </w:r>
          </w:p>
        </w:tc>
        <w:tc>
          <w:tcPr>
            <w:tcW w:w="1800" w:type="dxa"/>
            <w:noWrap w:val="0"/>
            <w:vAlign w:val="top"/>
          </w:tcPr>
          <w:p>
            <w:pPr>
              <w:pStyle w:val="100"/>
            </w:pPr>
            <w:r>
              <w:t>MediaType</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Indicates the media type of the service.</w:t>
            </w:r>
          </w:p>
        </w:tc>
        <w:tc>
          <w:tcPr>
            <w:tcW w:w="1408"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marBwUl</w:t>
            </w:r>
          </w:p>
        </w:tc>
        <w:tc>
          <w:tcPr>
            <w:tcW w:w="1800" w:type="dxa"/>
            <w:noWrap w:val="0"/>
            <w:vAlign w:val="top"/>
          </w:tcPr>
          <w:p>
            <w:pPr>
              <w:pStyle w:val="100"/>
            </w:pPr>
            <w:r>
              <w:rPr>
                <w:rFonts w:eastAsia="Times New Roman" w:cs="Arial"/>
              </w:rPr>
              <w:t>BitRate</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Maximum requested bandwidth for the Uplink.</w:t>
            </w:r>
          </w:p>
        </w:tc>
        <w:tc>
          <w:tcPr>
            <w:tcW w:w="1408"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marBwDl</w:t>
            </w:r>
          </w:p>
        </w:tc>
        <w:tc>
          <w:tcPr>
            <w:tcW w:w="1800" w:type="dxa"/>
            <w:noWrap w:val="0"/>
            <w:vAlign w:val="top"/>
          </w:tcPr>
          <w:p>
            <w:pPr>
              <w:pStyle w:val="100"/>
            </w:pPr>
            <w:r>
              <w:rPr>
                <w:rFonts w:eastAsia="Times New Roman" w:cs="Arial"/>
              </w:rPr>
              <w:t>BitRate</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Maximum requested bandwidth for the Downlink.</w:t>
            </w:r>
          </w:p>
        </w:tc>
        <w:tc>
          <w:tcPr>
            <w:tcW w:w="1408"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maxPacketLossRateDl</w:t>
            </w:r>
          </w:p>
        </w:tc>
        <w:tc>
          <w:tcPr>
            <w:tcW w:w="1800" w:type="dxa"/>
            <w:noWrap w:val="0"/>
            <w:vAlign w:val="top"/>
          </w:tcPr>
          <w:p>
            <w:pPr>
              <w:pStyle w:val="100"/>
              <w:rPr>
                <w:rFonts w:eastAsia="Times New Roman" w:cs="Arial"/>
              </w:rPr>
            </w:pPr>
            <w:r>
              <w:t>PacketLossRateRm</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Indicates the downlink maximum rate for lost packets that can be tolerated for the service data flow.</w:t>
            </w:r>
          </w:p>
        </w:tc>
        <w:tc>
          <w:tcPr>
            <w:tcW w:w="1408" w:type="dxa"/>
            <w:noWrap w:val="0"/>
            <w:vAlign w:val="top"/>
          </w:tcPr>
          <w:p>
            <w:pPr>
              <w:pStyle w:val="100"/>
              <w:rPr>
                <w:rFonts w:cs="Arial"/>
                <w:szCs w:val="18"/>
              </w:rPr>
            </w:pPr>
            <w:r>
              <w:rPr>
                <w:rFonts w:cs="Arial"/>
                <w:szCs w:val="18"/>
              </w:rPr>
              <w:t>CHEM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maxPacketLossRateUl</w:t>
            </w:r>
          </w:p>
        </w:tc>
        <w:tc>
          <w:tcPr>
            <w:tcW w:w="1800" w:type="dxa"/>
            <w:noWrap w:val="0"/>
            <w:vAlign w:val="top"/>
          </w:tcPr>
          <w:p>
            <w:pPr>
              <w:pStyle w:val="100"/>
              <w:rPr>
                <w:rFonts w:eastAsia="Times New Roman" w:cs="Arial"/>
              </w:rPr>
            </w:pPr>
            <w:r>
              <w:t>PacketLossRateRm</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Indicates the uplink maximum rate for lost packets that can be tolerated for the service data flow.</w:t>
            </w:r>
          </w:p>
        </w:tc>
        <w:tc>
          <w:tcPr>
            <w:tcW w:w="1408" w:type="dxa"/>
            <w:noWrap w:val="0"/>
            <w:vAlign w:val="top"/>
          </w:tcPr>
          <w:p>
            <w:pPr>
              <w:pStyle w:val="100"/>
              <w:rPr>
                <w:rFonts w:cs="Arial"/>
                <w:szCs w:val="18"/>
              </w:rPr>
            </w:pPr>
            <w:r>
              <w:rPr>
                <w:rFonts w:cs="Arial"/>
                <w:szCs w:val="18"/>
              </w:rPr>
              <w:t>CHEM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maxSuppBwDl</w:t>
            </w:r>
          </w:p>
        </w:tc>
        <w:tc>
          <w:tcPr>
            <w:tcW w:w="1800" w:type="dxa"/>
            <w:noWrap w:val="0"/>
            <w:vAlign w:val="top"/>
          </w:tcPr>
          <w:p>
            <w:pPr>
              <w:pStyle w:val="100"/>
              <w:rPr>
                <w:rFonts w:eastAsia="Times New Roman" w:cs="Arial"/>
              </w:rPr>
            </w:pPr>
            <w:r>
              <w:rPr>
                <w:rFonts w:cs="Arial"/>
              </w:rPr>
              <w:t>BitRate</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Maximum supported bandwidth for the Downlink.</w:t>
            </w:r>
          </w:p>
        </w:tc>
        <w:tc>
          <w:tcPr>
            <w:tcW w:w="1408" w:type="dxa"/>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maxSuppBwUl</w:t>
            </w:r>
          </w:p>
        </w:tc>
        <w:tc>
          <w:tcPr>
            <w:tcW w:w="1800" w:type="dxa"/>
            <w:noWrap w:val="0"/>
            <w:vAlign w:val="top"/>
          </w:tcPr>
          <w:p>
            <w:pPr>
              <w:pStyle w:val="100"/>
              <w:rPr>
                <w:rFonts w:eastAsia="Times New Roman" w:cs="Arial"/>
              </w:rPr>
            </w:pPr>
            <w:r>
              <w:rPr>
                <w:rFonts w:cs="Arial"/>
              </w:rPr>
              <w:t>BitRate</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Maximum supported bandwidth for the Uplink.</w:t>
            </w:r>
          </w:p>
        </w:tc>
        <w:tc>
          <w:tcPr>
            <w:tcW w:w="1408" w:type="dxa"/>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minDesBwDl</w:t>
            </w:r>
          </w:p>
        </w:tc>
        <w:tc>
          <w:tcPr>
            <w:tcW w:w="1800" w:type="dxa"/>
            <w:noWrap w:val="0"/>
            <w:vAlign w:val="top"/>
          </w:tcPr>
          <w:p>
            <w:pPr>
              <w:pStyle w:val="100"/>
              <w:rPr>
                <w:rFonts w:cs="Arial"/>
              </w:rPr>
            </w:pPr>
            <w:r>
              <w:rPr>
                <w:rFonts w:cs="Arial"/>
              </w:rPr>
              <w:t>BitRate</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Minimum desired bandwidth for the Downlink.</w:t>
            </w:r>
          </w:p>
        </w:tc>
        <w:tc>
          <w:tcPr>
            <w:tcW w:w="1408" w:type="dxa"/>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minDesBwUl</w:t>
            </w:r>
          </w:p>
        </w:tc>
        <w:tc>
          <w:tcPr>
            <w:tcW w:w="1800" w:type="dxa"/>
            <w:noWrap w:val="0"/>
            <w:vAlign w:val="top"/>
          </w:tcPr>
          <w:p>
            <w:pPr>
              <w:pStyle w:val="100"/>
              <w:rPr>
                <w:rFonts w:cs="Arial"/>
              </w:rPr>
            </w:pPr>
            <w:r>
              <w:rPr>
                <w:rFonts w:cs="Arial"/>
              </w:rPr>
              <w:t>BitRate</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Minimum desired bandwidth for the Uplink.</w:t>
            </w:r>
          </w:p>
        </w:tc>
        <w:tc>
          <w:tcPr>
            <w:tcW w:w="1408" w:type="dxa"/>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mirBwUl</w:t>
            </w:r>
          </w:p>
        </w:tc>
        <w:tc>
          <w:tcPr>
            <w:tcW w:w="1800" w:type="dxa"/>
            <w:noWrap w:val="0"/>
            <w:vAlign w:val="top"/>
          </w:tcPr>
          <w:p>
            <w:pPr>
              <w:pStyle w:val="100"/>
            </w:pPr>
            <w:r>
              <w:rPr>
                <w:rFonts w:eastAsia="Times New Roman" w:cs="Arial"/>
              </w:rPr>
              <w:t>BitRate</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Minimum requested bandwidth for the Uplink.</w:t>
            </w:r>
          </w:p>
        </w:tc>
        <w:tc>
          <w:tcPr>
            <w:tcW w:w="1408"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mirBwDl</w:t>
            </w:r>
          </w:p>
        </w:tc>
        <w:tc>
          <w:tcPr>
            <w:tcW w:w="1800" w:type="dxa"/>
            <w:noWrap w:val="0"/>
            <w:vAlign w:val="top"/>
          </w:tcPr>
          <w:p>
            <w:pPr>
              <w:pStyle w:val="100"/>
            </w:pPr>
            <w:r>
              <w:rPr>
                <w:rFonts w:eastAsia="Times New Roman" w:cs="Arial"/>
              </w:rPr>
              <w:t>BitRate</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Minimum requested bandwidth for the Downlink.</w:t>
            </w:r>
          </w:p>
        </w:tc>
        <w:tc>
          <w:tcPr>
            <w:tcW w:w="1408"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fStatus</w:t>
            </w:r>
          </w:p>
        </w:tc>
        <w:tc>
          <w:tcPr>
            <w:tcW w:w="1800" w:type="dxa"/>
            <w:noWrap w:val="0"/>
            <w:vAlign w:val="top"/>
          </w:tcPr>
          <w:p>
            <w:pPr>
              <w:pStyle w:val="100"/>
            </w:pPr>
            <w:r>
              <w:t>FlowStatus</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Indicates whether the status of the service data flows is enabled, or disabled.</w:t>
            </w:r>
          </w:p>
        </w:tc>
        <w:tc>
          <w:tcPr>
            <w:tcW w:w="1408"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preemptCap</w:t>
            </w:r>
          </w:p>
        </w:tc>
        <w:tc>
          <w:tcPr>
            <w:tcW w:w="1800" w:type="dxa"/>
            <w:noWrap w:val="0"/>
            <w:vAlign w:val="top"/>
          </w:tcPr>
          <w:p>
            <w:pPr>
              <w:pStyle w:val="100"/>
            </w:pPr>
            <w:r>
              <w:t>PreemptionCapability</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t>Defines whether the media flow may get resources that were already assigned to another media flow with a lower priority level. It may be included together with "prioSharingInd" for ARP decision.</w:t>
            </w:r>
          </w:p>
        </w:tc>
        <w:tc>
          <w:tcPr>
            <w:tcW w:w="1408" w:type="dxa"/>
            <w:noWrap w:val="0"/>
            <w:vAlign w:val="top"/>
          </w:tcPr>
          <w:p>
            <w:pPr>
              <w:pStyle w:val="100"/>
              <w:rPr>
                <w:rFonts w:cs="Arial"/>
                <w:szCs w:val="18"/>
              </w:rPr>
            </w:pPr>
            <w:r>
              <w:rPr>
                <w:rFonts w:cs="Arial"/>
                <w:szCs w:val="18"/>
              </w:rPr>
              <w:t>MCPTT-Preemption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preemptVuln</w:t>
            </w:r>
          </w:p>
        </w:tc>
        <w:tc>
          <w:tcPr>
            <w:tcW w:w="1800" w:type="dxa"/>
            <w:noWrap w:val="0"/>
            <w:vAlign w:val="top"/>
          </w:tcPr>
          <w:p>
            <w:pPr>
              <w:pStyle w:val="100"/>
            </w:pPr>
            <w:r>
              <w:t>PreemptionVulnerability</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t>Defines whether the media flow may lose the resources assigned to it in order to admit a media flow with higher priority level. It may be included together with "prioSharingInd" for ARP decision.</w:t>
            </w:r>
          </w:p>
        </w:tc>
        <w:tc>
          <w:tcPr>
            <w:tcW w:w="1408" w:type="dxa"/>
            <w:noWrap w:val="0"/>
            <w:vAlign w:val="top"/>
          </w:tcPr>
          <w:p>
            <w:pPr>
              <w:pStyle w:val="100"/>
              <w:rPr>
                <w:rFonts w:cs="Arial"/>
                <w:szCs w:val="18"/>
              </w:rPr>
            </w:pPr>
            <w:r>
              <w:rPr>
                <w:rFonts w:cs="Arial"/>
                <w:szCs w:val="18"/>
              </w:rPr>
              <w:t>MCPTT-Preemption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prioSharingInd</w:t>
            </w:r>
          </w:p>
        </w:tc>
        <w:tc>
          <w:tcPr>
            <w:tcW w:w="1800" w:type="dxa"/>
            <w:noWrap w:val="0"/>
            <w:vAlign w:val="top"/>
          </w:tcPr>
          <w:p>
            <w:pPr>
              <w:pStyle w:val="100"/>
            </w:pPr>
            <w:r>
              <w:t>PrioritySharingIndicator</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 xml:space="preserve">Indicates that the media flow is allowed to use the same ARP as media flows belonging to other </w:t>
            </w:r>
            <w:r>
              <w:t>"Individual Application Session Context" resources bound to the same PDU session.</w:t>
            </w:r>
          </w:p>
        </w:tc>
        <w:tc>
          <w:tcPr>
            <w:tcW w:w="1408" w:type="dxa"/>
            <w:noWrap w:val="0"/>
            <w:vAlign w:val="top"/>
          </w:tcPr>
          <w:p>
            <w:pPr>
              <w:pStyle w:val="100"/>
              <w:rPr>
                <w:rFonts w:cs="Arial"/>
                <w:szCs w:val="18"/>
              </w:rPr>
            </w:pPr>
            <w:r>
              <w:rPr>
                <w:rFonts w:cs="Arial"/>
                <w:szCs w:val="18"/>
              </w:rPr>
              <w:t>PrioritySharing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resPrio</w:t>
            </w:r>
          </w:p>
        </w:tc>
        <w:tc>
          <w:tcPr>
            <w:tcW w:w="1800" w:type="dxa"/>
            <w:noWrap w:val="0"/>
            <w:vAlign w:val="top"/>
          </w:tcPr>
          <w:p>
            <w:pPr>
              <w:pStyle w:val="100"/>
            </w:pPr>
            <w:r>
              <w:t>ReservPriority</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Indicates the reservation priority.</w:t>
            </w:r>
          </w:p>
        </w:tc>
        <w:tc>
          <w:tcPr>
            <w:tcW w:w="1408"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rrBw</w:t>
            </w:r>
          </w:p>
        </w:tc>
        <w:tc>
          <w:tcPr>
            <w:tcW w:w="1800" w:type="dxa"/>
            <w:noWrap w:val="0"/>
            <w:vAlign w:val="top"/>
          </w:tcPr>
          <w:p>
            <w:pPr>
              <w:pStyle w:val="100"/>
            </w:pPr>
            <w:r>
              <w:t>BitRate</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Indicates the maximum required bandwidth in bits per second for RTCP receiver reports within the session component as specified in IETF RFC 3556 [37]. The bandwidth contains all the overhead coming from the IP-layer and the layers above, i.e. IP, UDP and RTCP.</w:t>
            </w:r>
          </w:p>
        </w:tc>
        <w:tc>
          <w:tcPr>
            <w:tcW w:w="1408" w:type="dxa"/>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rsBw</w:t>
            </w:r>
          </w:p>
        </w:tc>
        <w:tc>
          <w:tcPr>
            <w:tcW w:w="1800" w:type="dxa"/>
            <w:noWrap w:val="0"/>
            <w:vAlign w:val="top"/>
          </w:tcPr>
          <w:p>
            <w:pPr>
              <w:pStyle w:val="100"/>
            </w:pPr>
            <w:r>
              <w:t>BitRate</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Indicates the maximum required bandwidth in bits per second for RTCP sender reports within the session component as specified in IETF RFC 3556 [37]. The bandwidth contains all the overhead coming from the IP-layer and the layers above, i.e. IP, UDP and RTCP.</w:t>
            </w:r>
          </w:p>
        </w:tc>
        <w:tc>
          <w:tcPr>
            <w:tcW w:w="1408" w:type="dxa"/>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sharingKeyDl</w:t>
            </w:r>
          </w:p>
        </w:tc>
        <w:tc>
          <w:tcPr>
            <w:tcW w:w="1800" w:type="dxa"/>
            <w:noWrap w:val="0"/>
            <w:vAlign w:val="top"/>
          </w:tcPr>
          <w:p>
            <w:pPr>
              <w:pStyle w:val="100"/>
            </w:pPr>
            <w:r>
              <w:t>Uint32</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Identifies which media components share resources in the downlink direction.</w:t>
            </w:r>
          </w:p>
          <w:p>
            <w:pPr>
              <w:pStyle w:val="100"/>
              <w:rPr>
                <w:rFonts w:cs="Arial"/>
                <w:szCs w:val="18"/>
              </w:rPr>
            </w:pPr>
            <w:r>
              <w:rPr>
                <w:rFonts w:cs="Arial"/>
                <w:szCs w:val="18"/>
              </w:rPr>
              <w:t xml:space="preserve">If resource sharing applies between media components across </w:t>
            </w:r>
            <w:r>
              <w:t>"</w:t>
            </w:r>
            <w:r>
              <w:rPr>
                <w:rFonts w:cs="Arial"/>
                <w:szCs w:val="18"/>
              </w:rPr>
              <w:t>Individual Application Session Context</w:t>
            </w:r>
            <w:r>
              <w:t>"</w:t>
            </w:r>
            <w:r>
              <w:rPr>
                <w:rFonts w:cs="Arial"/>
                <w:szCs w:val="18"/>
              </w:rPr>
              <w:t xml:space="preserve"> resources for the same PDU session, the same value of the </w:t>
            </w:r>
            <w:r>
              <w:t>"</w:t>
            </w:r>
            <w:r>
              <w:rPr>
                <w:rFonts w:cs="Arial"/>
                <w:szCs w:val="18"/>
              </w:rPr>
              <w:t>sharingKeyDl</w:t>
            </w:r>
            <w:r>
              <w:t>"</w:t>
            </w:r>
            <w:r>
              <w:rPr>
                <w:rFonts w:cs="Arial"/>
                <w:szCs w:val="18"/>
              </w:rPr>
              <w:t xml:space="preserve"> attribute shall be used. If resource sharing does not apply among media components across </w:t>
            </w:r>
            <w:r>
              <w:t>"</w:t>
            </w:r>
            <w:r>
              <w:rPr>
                <w:rFonts w:cs="Arial"/>
                <w:szCs w:val="18"/>
              </w:rPr>
              <w:t>Individual Application Session Context</w:t>
            </w:r>
            <w:r>
              <w:t>"</w:t>
            </w:r>
            <w:r>
              <w:rPr>
                <w:rFonts w:cs="Arial"/>
                <w:szCs w:val="18"/>
              </w:rPr>
              <w:t xml:space="preserve"> resources for the same PDU session, a different value for the </w:t>
            </w:r>
            <w:r>
              <w:t>"</w:t>
            </w:r>
            <w:r>
              <w:rPr>
                <w:rFonts w:cs="Arial"/>
                <w:szCs w:val="18"/>
              </w:rPr>
              <w:t>sharingKeyDl</w:t>
            </w:r>
            <w:r>
              <w:t>"</w:t>
            </w:r>
            <w:r>
              <w:rPr>
                <w:rFonts w:cs="Arial"/>
                <w:szCs w:val="18"/>
              </w:rPr>
              <w:t xml:space="preserve"> attribute shall be used.</w:t>
            </w:r>
          </w:p>
        </w:tc>
        <w:tc>
          <w:tcPr>
            <w:tcW w:w="1408" w:type="dxa"/>
            <w:noWrap w:val="0"/>
            <w:vAlign w:val="top"/>
          </w:tcPr>
          <w:p>
            <w:pPr>
              <w:pStyle w:val="100"/>
              <w:rPr>
                <w:rFonts w:cs="Arial"/>
                <w:szCs w:val="18"/>
              </w:rPr>
            </w:pPr>
            <w:r>
              <w:rPr>
                <w:rFonts w:cs="Arial"/>
                <w:szCs w:val="18"/>
              </w:rPr>
              <w:t>ResourceSharing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sharingKeyUl</w:t>
            </w:r>
          </w:p>
        </w:tc>
        <w:tc>
          <w:tcPr>
            <w:tcW w:w="1800" w:type="dxa"/>
            <w:noWrap w:val="0"/>
            <w:vAlign w:val="top"/>
          </w:tcPr>
          <w:p>
            <w:pPr>
              <w:pStyle w:val="100"/>
            </w:pPr>
            <w:r>
              <w:t>Uint32</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Identifies which media components share resources in the uplink direction.</w:t>
            </w:r>
          </w:p>
          <w:p>
            <w:pPr>
              <w:pStyle w:val="100"/>
              <w:rPr>
                <w:rFonts w:cs="Arial"/>
                <w:szCs w:val="18"/>
              </w:rPr>
            </w:pPr>
            <w:r>
              <w:rPr>
                <w:rFonts w:cs="Arial"/>
                <w:szCs w:val="18"/>
              </w:rPr>
              <w:t xml:space="preserve">If resource sharing applies between media components across </w:t>
            </w:r>
            <w:r>
              <w:t>"</w:t>
            </w:r>
            <w:r>
              <w:rPr>
                <w:rFonts w:cs="Arial"/>
                <w:szCs w:val="18"/>
              </w:rPr>
              <w:t>Individual Application Session Context</w:t>
            </w:r>
            <w:r>
              <w:t>"</w:t>
            </w:r>
            <w:r>
              <w:rPr>
                <w:rFonts w:cs="Arial"/>
                <w:szCs w:val="18"/>
              </w:rPr>
              <w:t xml:space="preserve"> resources for the same PDU session, the same value of the </w:t>
            </w:r>
            <w:r>
              <w:t>"</w:t>
            </w:r>
            <w:r>
              <w:rPr>
                <w:rFonts w:cs="Arial"/>
                <w:szCs w:val="18"/>
              </w:rPr>
              <w:t>sharingKeyUl</w:t>
            </w:r>
            <w:r>
              <w:t>"</w:t>
            </w:r>
            <w:r>
              <w:rPr>
                <w:rFonts w:cs="Arial"/>
                <w:szCs w:val="18"/>
              </w:rPr>
              <w:t xml:space="preserve"> attribute shall be used. If resource sharing does not apply among media components across </w:t>
            </w:r>
            <w:r>
              <w:t>"</w:t>
            </w:r>
            <w:r>
              <w:rPr>
                <w:rFonts w:cs="Arial"/>
                <w:szCs w:val="18"/>
              </w:rPr>
              <w:t>Individual Application Session Context</w:t>
            </w:r>
            <w:r>
              <w:t>"</w:t>
            </w:r>
            <w:r>
              <w:rPr>
                <w:rFonts w:cs="Arial"/>
                <w:szCs w:val="18"/>
              </w:rPr>
              <w:t xml:space="preserve"> resources for the same PDU session, a different value for the </w:t>
            </w:r>
            <w:r>
              <w:t>"</w:t>
            </w:r>
            <w:r>
              <w:rPr>
                <w:rFonts w:cs="Arial"/>
                <w:szCs w:val="18"/>
              </w:rPr>
              <w:t>sharingKeyUl</w:t>
            </w:r>
            <w:r>
              <w:t>"</w:t>
            </w:r>
            <w:r>
              <w:rPr>
                <w:rFonts w:cs="Arial"/>
                <w:szCs w:val="18"/>
              </w:rPr>
              <w:t xml:space="preserve"> attribute shall be used.</w:t>
            </w:r>
          </w:p>
        </w:tc>
        <w:tc>
          <w:tcPr>
            <w:tcW w:w="1408" w:type="dxa"/>
            <w:noWrap w:val="0"/>
            <w:vAlign w:val="top"/>
          </w:tcPr>
          <w:p>
            <w:pPr>
              <w:pStyle w:val="100"/>
              <w:rPr>
                <w:rFonts w:cs="Arial"/>
                <w:szCs w:val="18"/>
              </w:rPr>
            </w:pPr>
            <w:r>
              <w:rPr>
                <w:rFonts w:cs="Arial"/>
                <w:szCs w:val="18"/>
              </w:rPr>
              <w:t>ResourceSharing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codecs</w:t>
            </w:r>
          </w:p>
        </w:tc>
        <w:tc>
          <w:tcPr>
            <w:tcW w:w="1800" w:type="dxa"/>
            <w:noWrap w:val="0"/>
            <w:vAlign w:val="top"/>
          </w:tcPr>
          <w:p>
            <w:pPr>
              <w:pStyle w:val="100"/>
            </w:pPr>
            <w:r>
              <w:t>array(CodecData)</w:t>
            </w:r>
          </w:p>
        </w:tc>
        <w:tc>
          <w:tcPr>
            <w:tcW w:w="361" w:type="dxa"/>
            <w:noWrap w:val="0"/>
            <w:vAlign w:val="top"/>
          </w:tcPr>
          <w:p>
            <w:pPr>
              <w:pStyle w:val="99"/>
            </w:pPr>
            <w:r>
              <w:t>O</w:t>
            </w:r>
          </w:p>
        </w:tc>
        <w:tc>
          <w:tcPr>
            <w:tcW w:w="1170" w:type="dxa"/>
            <w:noWrap w:val="0"/>
            <w:vAlign w:val="top"/>
          </w:tcPr>
          <w:p>
            <w:pPr>
              <w:pStyle w:val="99"/>
            </w:pPr>
            <w:r>
              <w:t>1..2</w:t>
            </w:r>
          </w:p>
        </w:tc>
        <w:tc>
          <w:tcPr>
            <w:tcW w:w="3271" w:type="dxa"/>
            <w:noWrap w:val="0"/>
            <w:vAlign w:val="top"/>
          </w:tcPr>
          <w:p>
            <w:pPr>
              <w:pStyle w:val="100"/>
              <w:rPr>
                <w:rFonts w:cs="Arial"/>
                <w:szCs w:val="18"/>
              </w:rPr>
            </w:pPr>
            <w:r>
              <w:rPr>
                <w:rFonts w:cs="Arial"/>
                <w:szCs w:val="18"/>
              </w:rPr>
              <w:t>Indicates the codec data.</w:t>
            </w:r>
          </w:p>
        </w:tc>
        <w:tc>
          <w:tcPr>
            <w:tcW w:w="1408"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rPr>
                <w:highlight w:val="none"/>
              </w:rPr>
            </w:pPr>
            <w:r>
              <w:rPr>
                <w:highlight w:val="none"/>
              </w:rPr>
              <w:t>tsnQos</w:t>
            </w:r>
          </w:p>
        </w:tc>
        <w:tc>
          <w:tcPr>
            <w:tcW w:w="1800" w:type="dxa"/>
            <w:noWrap w:val="0"/>
            <w:vAlign w:val="top"/>
          </w:tcPr>
          <w:p>
            <w:pPr>
              <w:pStyle w:val="100"/>
              <w:rPr>
                <w:highlight w:val="none"/>
              </w:rPr>
            </w:pPr>
            <w:r>
              <w:rPr>
                <w:highlight w:val="none"/>
              </w:rPr>
              <w:t>TsnQoSContainer</w:t>
            </w:r>
          </w:p>
        </w:tc>
        <w:tc>
          <w:tcPr>
            <w:tcW w:w="361" w:type="dxa"/>
            <w:noWrap w:val="0"/>
            <w:vAlign w:val="top"/>
          </w:tcPr>
          <w:p>
            <w:pPr>
              <w:pStyle w:val="99"/>
              <w:rPr>
                <w:highlight w:val="none"/>
              </w:rPr>
            </w:pPr>
            <w:r>
              <w:rPr>
                <w:highlight w:val="none"/>
              </w:rPr>
              <w:t>O</w:t>
            </w:r>
          </w:p>
        </w:tc>
        <w:tc>
          <w:tcPr>
            <w:tcW w:w="1170" w:type="dxa"/>
            <w:noWrap w:val="0"/>
            <w:vAlign w:val="top"/>
          </w:tcPr>
          <w:p>
            <w:pPr>
              <w:pStyle w:val="99"/>
              <w:rPr>
                <w:highlight w:val="none"/>
              </w:rPr>
            </w:pPr>
            <w:r>
              <w:rPr>
                <w:highlight w:val="none"/>
                <w:lang w:eastAsia="zh-CN"/>
              </w:rPr>
              <w:t>0..1</w:t>
            </w:r>
          </w:p>
        </w:tc>
        <w:tc>
          <w:tcPr>
            <w:tcW w:w="3271" w:type="dxa"/>
            <w:noWrap w:val="0"/>
            <w:vAlign w:val="top"/>
          </w:tcPr>
          <w:p>
            <w:pPr>
              <w:pStyle w:val="100"/>
              <w:rPr>
                <w:rFonts w:cs="Arial"/>
                <w:szCs w:val="18"/>
                <w:highlight w:val="none"/>
              </w:rPr>
            </w:pPr>
            <w:r>
              <w:rPr>
                <w:highlight w:val="none"/>
              </w:rPr>
              <w:t>Transports QoS parameters for TSC traffic.</w:t>
            </w:r>
          </w:p>
        </w:tc>
        <w:tc>
          <w:tcPr>
            <w:tcW w:w="1408" w:type="dxa"/>
            <w:noWrap w:val="0"/>
            <w:vAlign w:val="top"/>
          </w:tcPr>
          <w:p>
            <w:pPr>
              <w:pStyle w:val="100"/>
              <w:rPr>
                <w:rFonts w:cs="Arial"/>
                <w:szCs w:val="18"/>
              </w:rPr>
            </w:pPr>
            <w: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tscaiInputUl</w:t>
            </w:r>
          </w:p>
        </w:tc>
        <w:tc>
          <w:tcPr>
            <w:tcW w:w="1800" w:type="dxa"/>
            <w:noWrap w:val="0"/>
            <w:vAlign w:val="top"/>
          </w:tcPr>
          <w:p>
            <w:pPr>
              <w:pStyle w:val="100"/>
            </w:pPr>
            <w:r>
              <w:t>TscaiInputContainer</w:t>
            </w:r>
          </w:p>
        </w:tc>
        <w:tc>
          <w:tcPr>
            <w:tcW w:w="361" w:type="dxa"/>
            <w:noWrap w:val="0"/>
            <w:vAlign w:val="top"/>
          </w:tcPr>
          <w:p>
            <w:pPr>
              <w:pStyle w:val="99"/>
            </w:pPr>
            <w:r>
              <w:t>O</w:t>
            </w:r>
          </w:p>
        </w:tc>
        <w:tc>
          <w:tcPr>
            <w:tcW w:w="1170" w:type="dxa"/>
            <w:noWrap w:val="0"/>
            <w:vAlign w:val="top"/>
          </w:tcPr>
          <w:p>
            <w:pPr>
              <w:pStyle w:val="99"/>
              <w:rPr>
                <w:lang w:eastAsia="zh-CN"/>
              </w:rPr>
            </w:pPr>
            <w:r>
              <w:rPr>
                <w:lang w:eastAsia="zh-CN"/>
              </w:rPr>
              <w:t>0..1</w:t>
            </w:r>
          </w:p>
        </w:tc>
        <w:tc>
          <w:tcPr>
            <w:tcW w:w="3271" w:type="dxa"/>
            <w:noWrap w:val="0"/>
            <w:vAlign w:val="top"/>
          </w:tcPr>
          <w:p>
            <w:pPr>
              <w:pStyle w:val="100"/>
            </w:pPr>
            <w:r>
              <w:t>Transports TSCAI input parameters for TSC traffic</w:t>
            </w:r>
            <w:r>
              <w:rPr>
                <w:rFonts w:cs="Arial"/>
                <w:szCs w:val="18"/>
              </w:rPr>
              <w:t xml:space="preserve"> at the ingress interface of the DS-TT/UE (uplink flow direction)</w:t>
            </w:r>
            <w:r>
              <w:t>. (NOTE 2)</w:t>
            </w:r>
          </w:p>
        </w:tc>
        <w:tc>
          <w:tcPr>
            <w:tcW w:w="1408" w:type="dxa"/>
            <w:noWrap w:val="0"/>
            <w:vAlign w:val="top"/>
          </w:tcPr>
          <w:p>
            <w:pPr>
              <w:pStyle w:val="100"/>
            </w:pPr>
            <w: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tscaiInputDl</w:t>
            </w:r>
          </w:p>
        </w:tc>
        <w:tc>
          <w:tcPr>
            <w:tcW w:w="1800" w:type="dxa"/>
            <w:noWrap w:val="0"/>
            <w:vAlign w:val="top"/>
          </w:tcPr>
          <w:p>
            <w:pPr>
              <w:pStyle w:val="100"/>
            </w:pPr>
            <w:r>
              <w:t>TscaiInputContainer</w:t>
            </w:r>
          </w:p>
        </w:tc>
        <w:tc>
          <w:tcPr>
            <w:tcW w:w="361" w:type="dxa"/>
            <w:noWrap w:val="0"/>
            <w:vAlign w:val="top"/>
          </w:tcPr>
          <w:p>
            <w:pPr>
              <w:pStyle w:val="99"/>
            </w:pPr>
            <w:r>
              <w:t>O</w:t>
            </w:r>
          </w:p>
        </w:tc>
        <w:tc>
          <w:tcPr>
            <w:tcW w:w="1170" w:type="dxa"/>
            <w:noWrap w:val="0"/>
            <w:vAlign w:val="top"/>
          </w:tcPr>
          <w:p>
            <w:pPr>
              <w:pStyle w:val="99"/>
              <w:rPr>
                <w:lang w:eastAsia="zh-CN"/>
              </w:rPr>
            </w:pPr>
            <w:r>
              <w:rPr>
                <w:lang w:eastAsia="zh-CN"/>
              </w:rPr>
              <w:t>0..1</w:t>
            </w:r>
          </w:p>
        </w:tc>
        <w:tc>
          <w:tcPr>
            <w:tcW w:w="3271" w:type="dxa"/>
            <w:noWrap w:val="0"/>
            <w:vAlign w:val="top"/>
          </w:tcPr>
          <w:p>
            <w:pPr>
              <w:pStyle w:val="100"/>
            </w:pPr>
            <w:r>
              <w:t>Transports TSCAI input parameters for TSC traffic</w:t>
            </w:r>
            <w:r>
              <w:rPr>
                <w:rFonts w:cs="Arial"/>
                <w:szCs w:val="18"/>
              </w:rPr>
              <w:t xml:space="preserve"> at the ingress of the NW-TT (downlink flow direction)</w:t>
            </w:r>
            <w:r>
              <w:t>. (NOTE 2)</w:t>
            </w:r>
          </w:p>
        </w:tc>
        <w:tc>
          <w:tcPr>
            <w:tcW w:w="1408" w:type="dxa"/>
            <w:noWrap w:val="0"/>
            <w:vAlign w:val="top"/>
          </w:tcPr>
          <w:p>
            <w:pPr>
              <w:pStyle w:val="100"/>
            </w:pPr>
            <w: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tscaiTimeDom</w:t>
            </w:r>
          </w:p>
        </w:tc>
        <w:tc>
          <w:tcPr>
            <w:tcW w:w="1800" w:type="dxa"/>
            <w:noWrap w:val="0"/>
            <w:vAlign w:val="top"/>
          </w:tcPr>
          <w:p>
            <w:pPr>
              <w:pStyle w:val="100"/>
            </w:pPr>
            <w:r>
              <w:rPr>
                <w:rFonts w:hint="eastAsia"/>
                <w:lang w:eastAsia="zh-CN"/>
              </w:rPr>
              <w:t>U</w:t>
            </w:r>
            <w:r>
              <w:rPr>
                <w:lang w:eastAsia="zh-CN"/>
              </w:rPr>
              <w:t>integer</w:t>
            </w:r>
          </w:p>
        </w:tc>
        <w:tc>
          <w:tcPr>
            <w:tcW w:w="361" w:type="dxa"/>
            <w:noWrap w:val="0"/>
            <w:vAlign w:val="top"/>
          </w:tcPr>
          <w:p>
            <w:pPr>
              <w:pStyle w:val="99"/>
            </w:pPr>
            <w:r>
              <w:rPr>
                <w:rFonts w:hint="eastAsia"/>
                <w:lang w:eastAsia="zh-CN"/>
              </w:rPr>
              <w:t>O</w:t>
            </w:r>
          </w:p>
        </w:tc>
        <w:tc>
          <w:tcPr>
            <w:tcW w:w="1170" w:type="dxa"/>
            <w:noWrap w:val="0"/>
            <w:vAlign w:val="top"/>
          </w:tcPr>
          <w:p>
            <w:pPr>
              <w:pStyle w:val="99"/>
              <w:rPr>
                <w:lang w:eastAsia="zh-CN"/>
              </w:rPr>
            </w:pPr>
            <w:r>
              <w:rPr>
                <w:rFonts w:hint="eastAsia"/>
                <w:lang w:eastAsia="zh-CN"/>
              </w:rPr>
              <w:t>0</w:t>
            </w:r>
            <w:r>
              <w:rPr>
                <w:lang w:eastAsia="zh-CN"/>
              </w:rPr>
              <w:t>..1</w:t>
            </w:r>
          </w:p>
        </w:tc>
        <w:tc>
          <w:tcPr>
            <w:tcW w:w="3271" w:type="dxa"/>
            <w:noWrap w:val="0"/>
            <w:vAlign w:val="top"/>
          </w:tcPr>
          <w:p>
            <w:pPr>
              <w:pStyle w:val="100"/>
            </w:pPr>
            <w:r>
              <w:rPr>
                <w:lang w:eastAsia="zh-CN"/>
              </w:rPr>
              <w:t>Indicates the (g)PTP domain that the (TSN)AF is located in.</w:t>
            </w:r>
          </w:p>
        </w:tc>
        <w:tc>
          <w:tcPr>
            <w:tcW w:w="1408" w:type="dxa"/>
            <w:noWrap w:val="0"/>
            <w:vAlign w:val="top"/>
          </w:tcPr>
          <w:p>
            <w:pPr>
              <w:pStyle w:val="100"/>
            </w:pPr>
            <w:r>
              <w:rPr>
                <w:lang w:eastAsia="zh-CN"/>
              </w:rPr>
              <w:t>TimeSensitive</w:t>
            </w:r>
            <w:r>
              <w:t>Communication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capBatAdaptation</w:t>
            </w:r>
          </w:p>
        </w:tc>
        <w:tc>
          <w:tcPr>
            <w:tcW w:w="1800" w:type="dxa"/>
            <w:noWrap w:val="0"/>
            <w:vAlign w:val="top"/>
          </w:tcPr>
          <w:p>
            <w:pPr>
              <w:pStyle w:val="100"/>
              <w:rPr>
                <w:rFonts w:hint="eastAsia"/>
                <w:lang w:eastAsia="zh-CN"/>
              </w:rPr>
            </w:pPr>
            <w:r>
              <w:rPr>
                <w:lang w:eastAsia="zh-CN"/>
              </w:rPr>
              <w:t>boolean</w:t>
            </w:r>
          </w:p>
        </w:tc>
        <w:tc>
          <w:tcPr>
            <w:tcW w:w="361" w:type="dxa"/>
            <w:noWrap w:val="0"/>
            <w:vAlign w:val="top"/>
          </w:tcPr>
          <w:p>
            <w:pPr>
              <w:pStyle w:val="99"/>
              <w:rPr>
                <w:rFonts w:hint="eastAsia"/>
                <w:lang w:eastAsia="zh-CN"/>
              </w:rPr>
            </w:pPr>
            <w:r>
              <w:rPr>
                <w:lang w:eastAsia="zh-CN"/>
              </w:rPr>
              <w:t>O</w:t>
            </w:r>
          </w:p>
        </w:tc>
        <w:tc>
          <w:tcPr>
            <w:tcW w:w="1170" w:type="dxa"/>
            <w:noWrap w:val="0"/>
            <w:vAlign w:val="top"/>
          </w:tcPr>
          <w:p>
            <w:pPr>
              <w:pStyle w:val="99"/>
              <w:rPr>
                <w:rFonts w:hint="eastAsia"/>
                <w:lang w:eastAsia="zh-CN"/>
              </w:rPr>
            </w:pPr>
            <w:r>
              <w:rPr>
                <w:lang w:eastAsia="zh-CN"/>
              </w:rPr>
              <w:t>0..1</w:t>
            </w:r>
          </w:p>
        </w:tc>
        <w:tc>
          <w:tcPr>
            <w:tcW w:w="3271" w:type="dxa"/>
            <w:noWrap w:val="0"/>
            <w:vAlign w:val="top"/>
          </w:tcPr>
          <w:p>
            <w:pPr>
              <w:pStyle w:val="100"/>
            </w:pPr>
            <w:r>
              <w:t>Indicates the capability for AF to adjust the burst sending time, when it is supported and set to "true".</w:t>
            </w:r>
          </w:p>
          <w:p>
            <w:pPr>
              <w:pStyle w:val="100"/>
              <w:rPr>
                <w:lang w:eastAsia="zh-CN"/>
              </w:rPr>
            </w:pPr>
            <w:r>
              <w:rPr>
                <w:rFonts w:cs="Arial"/>
                <w:szCs w:val="18"/>
                <w:lang w:eastAsia="zh-CN"/>
              </w:rPr>
              <w:t xml:space="preserve">The default value is </w:t>
            </w:r>
            <w:r>
              <w:t>"</w:t>
            </w:r>
            <w:r>
              <w:rPr>
                <w:rFonts w:cs="Arial"/>
                <w:szCs w:val="18"/>
                <w:lang w:eastAsia="zh-CN"/>
              </w:rPr>
              <w:t>false</w:t>
            </w:r>
            <w:r>
              <w:t>"</w:t>
            </w:r>
            <w:r>
              <w:rPr>
                <w:rFonts w:cs="Arial"/>
                <w:szCs w:val="18"/>
                <w:lang w:eastAsia="zh-CN"/>
              </w:rPr>
              <w:t xml:space="preserve"> if omitted.</w:t>
            </w:r>
          </w:p>
          <w:p>
            <w:pPr>
              <w:pStyle w:val="100"/>
              <w:rPr>
                <w:lang w:eastAsia="zh-CN"/>
              </w:rPr>
            </w:pPr>
            <w:r>
              <w:t>(NOTE 2)</w:t>
            </w:r>
          </w:p>
        </w:tc>
        <w:tc>
          <w:tcPr>
            <w:tcW w:w="1408" w:type="dxa"/>
            <w:noWrap w:val="0"/>
            <w:vAlign w:val="top"/>
          </w:tcPr>
          <w:p>
            <w:pPr>
              <w:pStyle w:val="100"/>
              <w:rPr>
                <w:lang w:eastAsia="zh-CN"/>
              </w:rPr>
            </w:pPr>
            <w:r>
              <w:rPr>
                <w:lang w:val="en-US"/>
              </w:rPr>
              <w:t>EnTSCAC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ins w:id="399" w:author="CMCC" w:date="2023-04-10T00:36:59Z"/>
        </w:trPr>
        <w:tc>
          <w:tcPr>
            <w:tcW w:w="1609" w:type="dxa"/>
            <w:noWrap w:val="0"/>
            <w:vAlign w:val="top"/>
          </w:tcPr>
          <w:p>
            <w:pPr>
              <w:pStyle w:val="100"/>
              <w:rPr>
                <w:ins w:id="400" w:author="CMCC" w:date="2023-04-10T00:36:59Z"/>
                <w:rFonts w:hint="eastAsia" w:eastAsia="宋体"/>
                <w:lang w:val="en-US" w:eastAsia="zh-CN"/>
              </w:rPr>
            </w:pPr>
            <w:ins w:id="401" w:author="CMCC-r2" w:date="2023-04-20T19:33:59Z">
              <w:r>
                <w:rPr>
                  <w:rFonts w:hint="eastAsia" w:eastAsia="宋体"/>
                  <w:highlight w:val="none"/>
                  <w:lang w:val="en-US" w:eastAsia="zh-CN"/>
                </w:rPr>
                <w:t>P</w:t>
              </w:r>
            </w:ins>
            <w:ins w:id="402" w:author="CMCC" w:date="2023-04-10T01:02:35Z">
              <w:del w:id="403" w:author="CMCC-r2" w:date="2023-04-20T19:33:58Z">
                <w:r>
                  <w:rPr>
                    <w:rFonts w:hint="eastAsia" w:eastAsia="宋体"/>
                    <w:highlight w:val="none"/>
                    <w:lang w:val="en-US" w:eastAsia="zh-CN"/>
                  </w:rPr>
                  <w:delText>p</w:delText>
                </w:r>
              </w:del>
            </w:ins>
            <w:ins w:id="404" w:author="CMCC" w:date="2023-04-10T01:02:35Z">
              <w:r>
                <w:rPr>
                  <w:rFonts w:hint="eastAsia" w:eastAsia="宋体"/>
                  <w:highlight w:val="none"/>
                  <w:lang w:val="en-US" w:eastAsia="zh-CN"/>
                </w:rPr>
                <w:t>d</w:t>
              </w:r>
            </w:ins>
            <w:ins w:id="405" w:author="CMCC" w:date="2023-04-10T01:02:36Z">
              <w:r>
                <w:rPr>
                  <w:rFonts w:hint="eastAsia" w:eastAsia="宋体"/>
                  <w:highlight w:val="none"/>
                  <w:lang w:val="en-US" w:eastAsia="zh-CN"/>
                </w:rPr>
                <w:t>u</w:t>
              </w:r>
            </w:ins>
            <w:ins w:id="406" w:author="CMCC" w:date="2023-04-10T00:37:06Z">
              <w:r>
                <w:rPr>
                  <w:rFonts w:hint="eastAsia" w:eastAsia="宋体"/>
                  <w:highlight w:val="none"/>
                  <w:lang w:val="en-US" w:eastAsia="zh-CN"/>
                </w:rPr>
                <w:t>Set</w:t>
              </w:r>
            </w:ins>
            <w:ins w:id="407" w:author="CMCC" w:date="2023-04-10T00:37:02Z">
              <w:r>
                <w:rPr>
                  <w:highlight w:val="none"/>
                </w:rPr>
                <w:t>Qo</w:t>
              </w:r>
            </w:ins>
            <w:ins w:id="408" w:author="CMCC" w:date="2023-04-10T00:58:07Z">
              <w:r>
                <w:rPr>
                  <w:rFonts w:hint="eastAsia" w:eastAsia="宋体"/>
                  <w:highlight w:val="none"/>
                  <w:lang w:val="en-US" w:eastAsia="zh-CN"/>
                </w:rPr>
                <w:t>s</w:t>
              </w:r>
            </w:ins>
          </w:p>
        </w:tc>
        <w:tc>
          <w:tcPr>
            <w:tcW w:w="1800" w:type="dxa"/>
            <w:noWrap w:val="0"/>
            <w:vAlign w:val="top"/>
          </w:tcPr>
          <w:p>
            <w:pPr>
              <w:pStyle w:val="100"/>
              <w:rPr>
                <w:ins w:id="409" w:author="CMCC" w:date="2023-04-10T00:36:59Z"/>
                <w:rFonts w:hint="default" w:eastAsia="宋体"/>
                <w:lang w:val="en-US" w:eastAsia="zh-CN"/>
              </w:rPr>
            </w:pPr>
            <w:ins w:id="410" w:author="CMCC2" w:date="2023-04-19T07:06:22Z">
              <w:r>
                <w:rPr>
                  <w:rFonts w:hint="eastAsia"/>
                  <w:lang w:eastAsia="zh-CN"/>
                </w:rPr>
                <w:t>P</w:t>
              </w:r>
            </w:ins>
            <w:ins w:id="411" w:author="CMCC2" w:date="2023-04-19T07:06:22Z">
              <w:r>
                <w:rPr>
                  <w:lang w:eastAsia="zh-CN"/>
                </w:rPr>
                <w:t>duSetQosPara</w:t>
              </w:r>
            </w:ins>
            <w:ins w:id="412" w:author="CMCC" w:date="2023-04-10T01:17:26Z">
              <w:del w:id="413" w:author="CMCC2" w:date="2023-04-19T07:06:22Z">
                <w:r>
                  <w:rPr>
                    <w:rFonts w:hint="eastAsia" w:eastAsia="宋体"/>
                    <w:highlight w:val="none"/>
                    <w:lang w:val="en-US" w:eastAsia="zh-CN"/>
                  </w:rPr>
                  <w:delText>PduSetQosContainer</w:delText>
                </w:r>
              </w:del>
            </w:ins>
          </w:p>
        </w:tc>
        <w:tc>
          <w:tcPr>
            <w:tcW w:w="361" w:type="dxa"/>
            <w:noWrap w:val="0"/>
            <w:vAlign w:val="top"/>
          </w:tcPr>
          <w:p>
            <w:pPr>
              <w:pStyle w:val="99"/>
              <w:rPr>
                <w:ins w:id="414" w:author="CMCC" w:date="2023-04-10T00:36:59Z"/>
                <w:lang w:eastAsia="zh-CN"/>
              </w:rPr>
            </w:pPr>
            <w:ins w:id="415" w:author="CMCC" w:date="2023-04-10T00:37:24Z">
              <w:r>
                <w:rPr/>
                <w:t>O</w:t>
              </w:r>
            </w:ins>
          </w:p>
        </w:tc>
        <w:tc>
          <w:tcPr>
            <w:tcW w:w="1170" w:type="dxa"/>
            <w:noWrap w:val="0"/>
            <w:vAlign w:val="top"/>
          </w:tcPr>
          <w:p>
            <w:pPr>
              <w:pStyle w:val="99"/>
              <w:rPr>
                <w:ins w:id="416" w:author="CMCC" w:date="2023-04-10T00:36:59Z"/>
                <w:lang w:eastAsia="zh-CN"/>
              </w:rPr>
            </w:pPr>
            <w:ins w:id="417" w:author="CMCC" w:date="2023-04-10T00:37:26Z">
              <w:r>
                <w:rPr>
                  <w:highlight w:val="none"/>
                  <w:lang w:eastAsia="zh-CN"/>
                </w:rPr>
                <w:t>0..1</w:t>
              </w:r>
            </w:ins>
          </w:p>
        </w:tc>
        <w:tc>
          <w:tcPr>
            <w:tcW w:w="3271" w:type="dxa"/>
            <w:noWrap w:val="0"/>
            <w:vAlign w:val="top"/>
          </w:tcPr>
          <w:p>
            <w:pPr>
              <w:pStyle w:val="100"/>
              <w:rPr>
                <w:ins w:id="418" w:author="CMCC" w:date="2023-04-10T00:36:59Z"/>
              </w:rPr>
            </w:pPr>
            <w:ins w:id="419" w:author="CMCC2" w:date="2023-04-19T07:18:38Z">
              <w:r>
                <w:rPr/>
                <w:t>PDU Set QoS parameters for XRM traffic.</w:t>
              </w:r>
            </w:ins>
            <w:ins w:id="420" w:author="CMCC" w:date="2023-04-10T00:37:31Z">
              <w:del w:id="421" w:author="CMCC2" w:date="2023-04-19T07:06:31Z">
                <w:r>
                  <w:rPr>
                    <w:highlight w:val="none"/>
                  </w:rPr>
                  <w:delText xml:space="preserve">Transports QoS parameters for </w:delText>
                </w:r>
              </w:del>
            </w:ins>
            <w:ins w:id="422" w:author="CMCC" w:date="2023-04-10T00:37:36Z">
              <w:del w:id="423" w:author="CMCC2" w:date="2023-04-19T07:06:31Z">
                <w:r>
                  <w:rPr>
                    <w:rFonts w:hint="eastAsia" w:eastAsia="宋体"/>
                    <w:highlight w:val="none"/>
                    <w:lang w:val="en-US" w:eastAsia="zh-CN"/>
                  </w:rPr>
                  <w:delText xml:space="preserve">PDU </w:delText>
                </w:r>
              </w:del>
            </w:ins>
            <w:ins w:id="424" w:author="CMCC" w:date="2023-04-10T00:37:38Z">
              <w:del w:id="425" w:author="CMCC2" w:date="2023-04-19T07:06:31Z">
                <w:r>
                  <w:rPr>
                    <w:rFonts w:hint="eastAsia" w:eastAsia="宋体"/>
                    <w:highlight w:val="none"/>
                    <w:lang w:val="en-US" w:eastAsia="zh-CN"/>
                  </w:rPr>
                  <w:delText>Set</w:delText>
                </w:r>
              </w:del>
            </w:ins>
            <w:ins w:id="426" w:author="CMCC" w:date="2023-04-10T00:38:46Z">
              <w:del w:id="427" w:author="CMCC2" w:date="2023-04-19T07:06:31Z">
                <w:r>
                  <w:rPr>
                    <w:rFonts w:hint="eastAsia" w:eastAsia="宋体"/>
                    <w:highlight w:val="none"/>
                    <w:lang w:val="en-US" w:eastAsia="zh-CN"/>
                  </w:rPr>
                  <w:delText xml:space="preserve"> </w:delText>
                </w:r>
              </w:del>
            </w:ins>
            <w:ins w:id="428" w:author="CMCC" w:date="2023-04-10T00:38:47Z">
              <w:del w:id="429" w:author="CMCC2" w:date="2023-04-19T07:06:31Z">
                <w:r>
                  <w:rPr>
                    <w:rFonts w:hint="eastAsia" w:eastAsia="宋体"/>
                    <w:highlight w:val="none"/>
                    <w:lang w:val="en-US" w:eastAsia="zh-CN"/>
                  </w:rPr>
                  <w:delText>traffic</w:delText>
                </w:r>
              </w:del>
            </w:ins>
            <w:ins w:id="430" w:author="CMCC" w:date="2023-04-10T00:37:31Z">
              <w:del w:id="431" w:author="CMCC2" w:date="2023-04-19T07:06:31Z">
                <w:r>
                  <w:rPr>
                    <w:highlight w:val="none"/>
                  </w:rPr>
                  <w:delText>.</w:delText>
                </w:r>
              </w:del>
            </w:ins>
          </w:p>
        </w:tc>
        <w:tc>
          <w:tcPr>
            <w:tcW w:w="1408" w:type="dxa"/>
            <w:noWrap w:val="0"/>
            <w:vAlign w:val="top"/>
          </w:tcPr>
          <w:p>
            <w:pPr>
              <w:pStyle w:val="100"/>
              <w:rPr>
                <w:ins w:id="432" w:author="CMCC" w:date="2023-04-10T00:36:59Z"/>
                <w:lang w:val="en-US"/>
              </w:rPr>
            </w:pPr>
            <w:ins w:id="433" w:author="CMCC" w:date="2023-04-10T18:39:52Z">
              <w:r>
                <w:rPr>
                  <w:rFonts w:hint="eastAsia" w:eastAsia="宋体" w:cs="Arial"/>
                  <w:szCs w:val="18"/>
                  <w:lang w:val="en-US" w:eastAsia="zh-CN"/>
                </w:rPr>
                <w:t>XRM_5G</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9619" w:type="dxa"/>
            <w:gridSpan w:val="6"/>
            <w:noWrap w:val="0"/>
            <w:vAlign w:val="top"/>
          </w:tcPr>
          <w:p>
            <w:pPr>
              <w:pStyle w:val="113"/>
            </w:pPr>
            <w:r>
              <w:t>NOTE 1:</w:t>
            </w:r>
            <w:r>
              <w:tab/>
            </w:r>
            <w:r>
              <w:t>The attributes "altSerReqs" and "altSerReqsData" are mutually exclusive. Of the two, only the attribute "altSerReqs" may be provided if the attribute "qosReference" is provided, while only the attribute "altSerReqsData" may be provided if the attribute "qosReference" is not provided.</w:t>
            </w:r>
          </w:p>
          <w:p>
            <w:pPr>
              <w:pStyle w:val="113"/>
              <w:rPr>
                <w:lang w:eastAsia="zh-CN"/>
              </w:rPr>
            </w:pPr>
            <w:r>
              <w:rPr>
                <w:rFonts w:hint="eastAsia"/>
                <w:lang w:eastAsia="zh-CN"/>
              </w:rPr>
              <w:t>N</w:t>
            </w:r>
            <w:r>
              <w:rPr>
                <w:lang w:eastAsia="zh-CN"/>
              </w:rPr>
              <w:t>OTE</w:t>
            </w:r>
            <w:r>
              <w:t> 2:</w:t>
            </w:r>
            <w:r>
              <w:tab/>
            </w:r>
            <w:r>
              <w:t>The "burstArrivalTimeWnd" attribute, within the "tscaiInputUl" and/or "tscaiInputDl" attributes, and the "capBatAdaptation attribute are mutually exclusive.</w:t>
            </w:r>
          </w:p>
        </w:tc>
      </w:tr>
    </w:tbl>
    <w:p/>
    <w:p>
      <w:r>
        <w:t>All IP flows within a "MediaSubComponent" data type are permanently disabled by supplying "FlowStatus" data type with a deletion indication.</w:t>
      </w:r>
    </w:p>
    <w:p>
      <w:r>
        <w:t>Bandwidth information and the "fStatus" attribute provided within the MediaComponent applies to all those IP flows within the media component, for which no corresponding information is being provided within the "medSubComps" attribute. As defined in 3GPP TS 29.513 [7], the bandwidth information within the media component level "marBwUl" and "marBwDl" attributes applies separately to each media subcomponent except for media subcomponents with a "flowUsage" attribute with the value "RTCP". The mapping of bandwidth information for RTCP media subcomponent is defined in 3GPP TS 29.513 [7] clause 7.3.3.</w:t>
      </w:r>
    </w:p>
    <w:p>
      <w:pPr>
        <w:pStyle w:val="123"/>
        <w:ind w:left="0" w:firstLine="0"/>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81" w:name="_Toc28012480"/>
      <w:bookmarkStart w:id="82" w:name="_Toc36038438"/>
      <w:bookmarkStart w:id="83" w:name="_Toc129338954"/>
      <w:bookmarkStart w:id="84" w:name="_Toc130291823"/>
      <w:bookmarkStart w:id="85" w:name="_Toc51762462"/>
      <w:bookmarkStart w:id="86" w:name="_Toc59017034"/>
      <w:bookmarkStart w:id="87" w:name="_Toc45133708"/>
      <w:r>
        <w:t>5.6.2.26</w:t>
      </w:r>
      <w:r>
        <w:tab/>
      </w:r>
      <w:r>
        <w:t>Type MediaComponentRm</w:t>
      </w:r>
      <w:bookmarkEnd w:id="81"/>
      <w:bookmarkEnd w:id="82"/>
      <w:bookmarkEnd w:id="83"/>
      <w:bookmarkEnd w:id="84"/>
      <w:bookmarkEnd w:id="85"/>
      <w:bookmarkEnd w:id="86"/>
      <w:bookmarkEnd w:id="87"/>
    </w:p>
    <w:p>
      <w:r>
        <w:t>This data type is defined in the same way as the "MediaComponent" data type, but:</w:t>
      </w:r>
    </w:p>
    <w:p>
      <w:pPr>
        <w:pStyle w:val="122"/>
      </w:pPr>
      <w:r>
        <w:t>-</w:t>
      </w:r>
      <w:r>
        <w:tab/>
      </w:r>
      <w:r>
        <w:t>with the OpenAPI "nullable: true" property; and</w:t>
      </w:r>
    </w:p>
    <w:p>
      <w:pPr>
        <w:pStyle w:val="122"/>
      </w:pPr>
      <w:r>
        <w:t>-</w:t>
      </w:r>
      <w:r>
        <w:tab/>
      </w:r>
      <w:r>
        <w:t xml:space="preserve">the removable attributes "afRoutReq" is defined with the removable data type "AfRoutingRequirementRm"; "maxPacketLossRateDl" and "maxPacketLossRateUl" are defined with the removable data type "PacketLossRateRm"; "medSubComps" is defined with the removable data type "MediaSubComponentRm"; "preemptCap" is defined with the removable data type "PreemptionCapabilityRm"; "preemptVuln" is defined with the removable data type "PreemptionVulnerabilityRm"; "marBwDl", "marBwUl", "minDesBwDl", "minDesBwUl", "mirBwDl", "mirBwUl", "maxSuppBwDl", "maxSuppBwUl", "rrBw", "rsBw" are defined with the removable data type "BitRateRm"; "sharingKeyDl", "sharingKeyUl", </w:t>
      </w:r>
      <w:del w:id="434" w:author="CMCC" w:date="2023-04-10T01:00:24Z">
        <w:r>
          <w:rPr/>
          <w:delText xml:space="preserve">and </w:delText>
        </w:r>
      </w:del>
      <w:r>
        <w:t>"tsnQos"</w:t>
      </w:r>
      <w:ins w:id="435" w:author="CMCC" w:date="2023-04-10T01:00:28Z">
        <w:r>
          <w:rPr>
            <w:rFonts w:hint="eastAsia" w:eastAsia="宋体"/>
            <w:lang w:val="en-US" w:eastAsia="zh-CN"/>
          </w:rPr>
          <w:t>, an</w:t>
        </w:r>
      </w:ins>
      <w:ins w:id="436" w:author="CMCC" w:date="2023-04-10T01:00:29Z">
        <w:r>
          <w:rPr>
            <w:rFonts w:hint="eastAsia" w:eastAsia="宋体"/>
            <w:lang w:val="en-US" w:eastAsia="zh-CN"/>
          </w:rPr>
          <w:t>d</w:t>
        </w:r>
      </w:ins>
      <w:ins w:id="437" w:author="CMCC" w:date="2023-04-10T01:00:32Z">
        <w:r>
          <w:rPr>
            <w:rFonts w:hint="eastAsia" w:eastAsia="宋体"/>
            <w:lang w:val="en-US" w:eastAsia="zh-CN"/>
          </w:rPr>
          <w:t xml:space="preserve"> </w:t>
        </w:r>
      </w:ins>
      <w:ins w:id="438" w:author="CMCC" w:date="2023-04-10T01:00:29Z">
        <w:r>
          <w:rPr/>
          <w:t>"</w:t>
        </w:r>
      </w:ins>
      <w:ins w:id="439" w:author="CMCC-r2" w:date="2023-04-20T19:34:06Z">
        <w:r>
          <w:rPr>
            <w:rFonts w:hint="eastAsia" w:eastAsia="宋体"/>
            <w:lang w:val="en-US" w:eastAsia="zh-CN"/>
          </w:rPr>
          <w:t>P</w:t>
        </w:r>
      </w:ins>
      <w:ins w:id="440" w:author="CMCC" w:date="2023-04-10T01:00:33Z">
        <w:del w:id="441" w:author="CMCC-r2" w:date="2023-04-20T19:34:06Z">
          <w:r>
            <w:rPr>
              <w:rFonts w:hint="eastAsia" w:eastAsia="宋体"/>
              <w:lang w:val="en-US" w:eastAsia="zh-CN"/>
            </w:rPr>
            <w:delText>p</w:delText>
          </w:r>
        </w:del>
      </w:ins>
      <w:ins w:id="442" w:author="CMCC" w:date="2023-04-10T01:00:34Z">
        <w:r>
          <w:rPr>
            <w:rFonts w:hint="eastAsia" w:eastAsia="宋体"/>
            <w:lang w:val="en-US" w:eastAsia="zh-CN"/>
          </w:rPr>
          <w:t>duSe</w:t>
        </w:r>
      </w:ins>
      <w:ins w:id="443" w:author="CMCC" w:date="2023-04-10T01:00:35Z">
        <w:r>
          <w:rPr>
            <w:rFonts w:hint="eastAsia" w:eastAsia="宋体"/>
            <w:lang w:val="en-US" w:eastAsia="zh-CN"/>
          </w:rPr>
          <w:t>t</w:t>
        </w:r>
      </w:ins>
      <w:ins w:id="444" w:author="CMCC" w:date="2023-04-10T01:00:29Z">
        <w:r>
          <w:rPr/>
          <w:t>Qos"</w:t>
        </w:r>
      </w:ins>
      <w:r>
        <w:t xml:space="preserve"> are defined with the removable data types , "Uint32Rm"</w:t>
      </w:r>
      <w:ins w:id="445" w:author="CMCC" w:date="2023-04-10T01:01:19Z">
        <w:r>
          <w:rPr>
            <w:rFonts w:hint="eastAsia" w:eastAsia="宋体"/>
            <w:lang w:val="en-US" w:eastAsia="zh-CN"/>
          </w:rPr>
          <w:t>,</w:t>
        </w:r>
      </w:ins>
      <w:del w:id="446" w:author="CMCC" w:date="2023-04-10T01:01:18Z">
        <w:r>
          <w:rPr/>
          <w:delText xml:space="preserve"> and</w:delText>
        </w:r>
      </w:del>
      <w:r>
        <w:t xml:space="preserve"> "TsnQosContainerRm"</w:t>
      </w:r>
      <w:ins w:id="447" w:author="CMCC" w:date="2023-04-10T01:01:22Z">
        <w:r>
          <w:rPr>
            <w:rFonts w:hint="eastAsia" w:eastAsia="宋体"/>
            <w:lang w:val="en-US" w:eastAsia="zh-CN"/>
          </w:rPr>
          <w:t xml:space="preserve"> </w:t>
        </w:r>
      </w:ins>
      <w:ins w:id="448" w:author="CMCC" w:date="2023-04-10T01:01:23Z">
        <w:r>
          <w:rPr>
            <w:rFonts w:hint="eastAsia" w:eastAsia="宋体"/>
            <w:lang w:val="en-US" w:eastAsia="zh-CN"/>
          </w:rPr>
          <w:t xml:space="preserve">and </w:t>
        </w:r>
      </w:ins>
      <w:ins w:id="449" w:author="CMCC" w:date="2023-04-10T01:01:23Z">
        <w:r>
          <w:rPr/>
          <w:t>"</w:t>
        </w:r>
      </w:ins>
      <w:ins w:id="450" w:author="CMCC2" w:date="2023-04-19T07:48:36Z">
        <w:bookmarkStart w:id="88" w:name="OLE_LINK10"/>
        <w:r>
          <w:rPr>
            <w:rFonts w:hint="eastAsia" w:eastAsia="宋体"/>
            <w:lang w:val="en-US" w:eastAsia="zh-CN"/>
          </w:rPr>
          <w:t>PduSetQos</w:t>
        </w:r>
      </w:ins>
      <w:ins w:id="451" w:author="CMCC2" w:date="2023-04-19T07:48:39Z">
        <w:r>
          <w:rPr>
            <w:rFonts w:hint="eastAsia" w:eastAsia="宋体"/>
            <w:lang w:val="en-US" w:eastAsia="zh-CN"/>
          </w:rPr>
          <w:t>P</w:t>
        </w:r>
      </w:ins>
      <w:ins w:id="452" w:author="CMCC2" w:date="2023-04-19T07:48:40Z">
        <w:r>
          <w:rPr>
            <w:rFonts w:hint="eastAsia" w:eastAsia="宋体"/>
            <w:lang w:val="en-US" w:eastAsia="zh-CN"/>
          </w:rPr>
          <w:t>a</w:t>
        </w:r>
      </w:ins>
      <w:ins w:id="453" w:author="CMCC2" w:date="2023-04-19T07:48:46Z">
        <w:r>
          <w:rPr>
            <w:rFonts w:hint="eastAsia" w:eastAsia="宋体"/>
            <w:lang w:val="en-US" w:eastAsia="zh-CN"/>
          </w:rPr>
          <w:t>r</w:t>
        </w:r>
      </w:ins>
      <w:ins w:id="454" w:author="CMCC2" w:date="2023-04-19T07:48:42Z">
        <w:r>
          <w:rPr>
            <w:rFonts w:hint="eastAsia" w:eastAsia="宋体"/>
            <w:lang w:val="en-US" w:eastAsia="zh-CN"/>
          </w:rPr>
          <w:t>a</w:t>
        </w:r>
      </w:ins>
      <w:ins w:id="455" w:author="CMCC2" w:date="2023-04-19T07:48:36Z">
        <w:r>
          <w:rPr>
            <w:rFonts w:hint="eastAsia" w:eastAsia="宋体"/>
            <w:lang w:val="en-US" w:eastAsia="zh-CN"/>
          </w:rPr>
          <w:t>Rm</w:t>
        </w:r>
        <w:bookmarkEnd w:id="88"/>
      </w:ins>
      <w:ins w:id="456" w:author="CMCC" w:date="2023-04-10T01:17:45Z">
        <w:del w:id="457" w:author="CMCC2" w:date="2023-04-19T07:48:36Z">
          <w:r>
            <w:rPr>
              <w:rFonts w:hint="eastAsia" w:eastAsia="宋体"/>
              <w:lang w:val="en-US" w:eastAsia="zh-CN"/>
            </w:rPr>
            <w:delText>PduSetQosContainerRm</w:delText>
          </w:r>
        </w:del>
      </w:ins>
      <w:ins w:id="458" w:author="CMCC" w:date="2023-04-10T01:01:23Z">
        <w:r>
          <w:rPr/>
          <w:t>"</w:t>
        </w:r>
      </w:ins>
      <w:r>
        <w:t xml:space="preserve">; the removable attributes "desMaxLatency" and "desMaxLoss" are defined with the removable data type "FloatRm"; the removable attribute </w:t>
      </w:r>
      <w:r>
        <w:rPr>
          <w:lang w:eastAsia="zh-CN"/>
        </w:rPr>
        <w:t>"</w:t>
      </w:r>
      <w:r>
        <w:t>flusId</w:t>
      </w:r>
      <w:r>
        <w:rPr>
          <w:lang w:eastAsia="zh-CN"/>
        </w:rPr>
        <w:t xml:space="preserve">" </w:t>
      </w:r>
      <w:r>
        <w:t xml:space="preserve">is defined as nullable in the OpenAPI. </w:t>
      </w:r>
    </w:p>
    <w:p>
      <w:pPr>
        <w:pStyle w:val="122"/>
      </w:pPr>
      <w:r>
        <w:t>-</w:t>
      </w:r>
      <w:r>
        <w:tab/>
      </w:r>
      <w:r>
        <w:t>the removable attributes "qosReference", "altSerReqs" and "afSfcReq" are defined as nullable.</w:t>
      </w:r>
    </w:p>
    <w:p>
      <w:pPr>
        <w:pStyle w:val="102"/>
      </w:pPr>
      <w:r>
        <w:t>Table 5.6.2.26-1: Definition of type MediaComponentRm</w:t>
      </w:r>
    </w:p>
    <w:tbl>
      <w:tblPr>
        <w:tblStyle w:val="89"/>
        <w:tblW w:w="965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08" w:type="dxa"/>
        </w:tblCellMar>
      </w:tblPr>
      <w:tblGrid>
        <w:gridCol w:w="36"/>
        <w:gridCol w:w="1573"/>
        <w:gridCol w:w="36"/>
        <w:gridCol w:w="1764"/>
        <w:gridCol w:w="36"/>
        <w:gridCol w:w="325"/>
        <w:gridCol w:w="36"/>
        <w:gridCol w:w="1134"/>
        <w:gridCol w:w="36"/>
        <w:gridCol w:w="3293"/>
        <w:gridCol w:w="36"/>
        <w:gridCol w:w="1314"/>
        <w:gridCol w:w="36"/>
        <w:tblGridChange w:id="459">
          <w:tblGrid>
            <w:gridCol w:w="36"/>
            <w:gridCol w:w="1573"/>
            <w:gridCol w:w="36"/>
            <w:gridCol w:w="1764"/>
            <w:gridCol w:w="36"/>
            <w:gridCol w:w="325"/>
            <w:gridCol w:w="36"/>
            <w:gridCol w:w="1134"/>
            <w:gridCol w:w="36"/>
            <w:gridCol w:w="3293"/>
            <w:gridCol w:w="36"/>
            <w:gridCol w:w="1314"/>
            <w:gridCol w:w="36"/>
          </w:tblGrid>
        </w:tblGridChange>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tblHeader/>
          <w:jc w:val="center"/>
        </w:trPr>
        <w:tc>
          <w:tcPr>
            <w:tcW w:w="1609" w:type="dxa"/>
            <w:gridSpan w:val="2"/>
            <w:shd w:val="clear" w:color="auto" w:fill="C0C0C0"/>
            <w:noWrap w:val="0"/>
            <w:vAlign w:val="top"/>
          </w:tcPr>
          <w:p>
            <w:pPr>
              <w:pStyle w:val="98"/>
            </w:pPr>
            <w:r>
              <w:t>Attribute name</w:t>
            </w:r>
          </w:p>
        </w:tc>
        <w:tc>
          <w:tcPr>
            <w:tcW w:w="1800" w:type="dxa"/>
            <w:gridSpan w:val="2"/>
            <w:shd w:val="clear" w:color="auto" w:fill="C0C0C0"/>
            <w:noWrap w:val="0"/>
            <w:vAlign w:val="top"/>
          </w:tcPr>
          <w:p>
            <w:pPr>
              <w:pStyle w:val="98"/>
            </w:pPr>
            <w:r>
              <w:t>Data type</w:t>
            </w:r>
          </w:p>
        </w:tc>
        <w:tc>
          <w:tcPr>
            <w:tcW w:w="361" w:type="dxa"/>
            <w:gridSpan w:val="2"/>
            <w:shd w:val="clear" w:color="auto" w:fill="C0C0C0"/>
            <w:noWrap w:val="0"/>
            <w:vAlign w:val="top"/>
          </w:tcPr>
          <w:p>
            <w:pPr>
              <w:pStyle w:val="98"/>
            </w:pPr>
            <w:r>
              <w:t>P</w:t>
            </w:r>
          </w:p>
        </w:tc>
        <w:tc>
          <w:tcPr>
            <w:tcW w:w="1170" w:type="dxa"/>
            <w:gridSpan w:val="2"/>
            <w:shd w:val="clear" w:color="auto" w:fill="C0C0C0"/>
            <w:noWrap w:val="0"/>
            <w:vAlign w:val="top"/>
          </w:tcPr>
          <w:p>
            <w:pPr>
              <w:pStyle w:val="98"/>
            </w:pPr>
            <w:r>
              <w:t>Cardinality</w:t>
            </w:r>
          </w:p>
        </w:tc>
        <w:tc>
          <w:tcPr>
            <w:tcW w:w="3329" w:type="dxa"/>
            <w:gridSpan w:val="2"/>
            <w:shd w:val="clear" w:color="auto" w:fill="C0C0C0"/>
            <w:noWrap w:val="0"/>
            <w:vAlign w:val="top"/>
          </w:tcPr>
          <w:p>
            <w:pPr>
              <w:pStyle w:val="98"/>
            </w:pPr>
            <w:r>
              <w:t>Description</w:t>
            </w:r>
          </w:p>
        </w:tc>
        <w:tc>
          <w:tcPr>
            <w:tcW w:w="1350" w:type="dxa"/>
            <w:gridSpan w:val="2"/>
            <w:shd w:val="clear" w:color="auto" w:fill="C0C0C0"/>
            <w:noWrap w:val="0"/>
            <w:vAlign w:val="top"/>
          </w:tcPr>
          <w:p>
            <w:pPr>
              <w:pStyle w:val="98"/>
            </w:pPr>
            <w:r>
              <w:t>Applicability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afAppId</w:t>
            </w:r>
          </w:p>
        </w:tc>
        <w:tc>
          <w:tcPr>
            <w:tcW w:w="1800" w:type="dxa"/>
            <w:gridSpan w:val="2"/>
            <w:noWrap w:val="0"/>
            <w:vAlign w:val="top"/>
          </w:tcPr>
          <w:p>
            <w:pPr>
              <w:pStyle w:val="100"/>
            </w:pPr>
            <w:r>
              <w:t>AfAppId</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Contains information that identifies the particular service the AF session</w:t>
            </w:r>
            <w:r>
              <w:t xml:space="preserve"> belongs to.</w:t>
            </w:r>
          </w:p>
        </w:tc>
        <w:tc>
          <w:tcPr>
            <w:tcW w:w="135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afRoutReq</w:t>
            </w:r>
          </w:p>
        </w:tc>
        <w:tc>
          <w:tcPr>
            <w:tcW w:w="1800" w:type="dxa"/>
            <w:gridSpan w:val="2"/>
            <w:noWrap w:val="0"/>
            <w:vAlign w:val="top"/>
          </w:tcPr>
          <w:p>
            <w:pPr>
              <w:pStyle w:val="100"/>
            </w:pPr>
            <w:r>
              <w:t>AfRoutingRequirementRm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Indicates the AF traffic routing requirements.</w:t>
            </w:r>
          </w:p>
        </w:tc>
        <w:tc>
          <w:tcPr>
            <w:tcW w:w="1350" w:type="dxa"/>
            <w:gridSpan w:val="2"/>
            <w:noWrap w:val="0"/>
            <w:vAlign w:val="top"/>
          </w:tcPr>
          <w:p>
            <w:pPr>
              <w:pStyle w:val="100"/>
              <w:rPr>
                <w:rFonts w:cs="Arial"/>
                <w:szCs w:val="18"/>
              </w:rPr>
            </w:pPr>
            <w:r>
              <w:rPr>
                <w:rFonts w:cs="Arial"/>
                <w:szCs w:val="18"/>
              </w:rPr>
              <w:t>InfluenceOnTrafficRouting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36" w:type="dxa"/>
          <w:cantSplit/>
          <w:jc w:val="center"/>
        </w:trPr>
        <w:tc>
          <w:tcPr>
            <w:tcW w:w="1609" w:type="dxa"/>
            <w:gridSpan w:val="2"/>
            <w:noWrap w:val="0"/>
            <w:vAlign w:val="top"/>
          </w:tcPr>
          <w:p>
            <w:pPr>
              <w:pStyle w:val="100"/>
            </w:pPr>
            <w:r>
              <w:t>afSfcReq</w:t>
            </w:r>
          </w:p>
        </w:tc>
        <w:tc>
          <w:tcPr>
            <w:tcW w:w="1800" w:type="dxa"/>
            <w:gridSpan w:val="2"/>
            <w:noWrap w:val="0"/>
            <w:vAlign w:val="top"/>
          </w:tcPr>
          <w:p>
            <w:pPr>
              <w:pStyle w:val="100"/>
            </w:pPr>
            <w:r>
              <w:t>AfSfcRequirement</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 xml:space="preserve">Indicates the AF requirements on steering traffic to </w:t>
            </w:r>
            <w:r>
              <w:t>a pre-configured chain of service functions on N6-LAN.</w:t>
            </w:r>
          </w:p>
        </w:tc>
        <w:tc>
          <w:tcPr>
            <w:tcW w:w="1350" w:type="dxa"/>
            <w:gridSpan w:val="2"/>
            <w:noWrap w:val="0"/>
            <w:vAlign w:val="top"/>
          </w:tcPr>
          <w:p>
            <w:pPr>
              <w:pStyle w:val="100"/>
              <w:rPr>
                <w:rFonts w:cs="Arial"/>
                <w:szCs w:val="18"/>
              </w:rPr>
            </w:pPr>
            <w:r>
              <w:rPr>
                <w:rFonts w:cs="Arial"/>
                <w:szCs w:val="18"/>
              </w:rPr>
              <w:t>SFC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rPr>
                <w:lang w:eastAsia="zh-CN"/>
              </w:rPr>
              <w:t>qosReference</w:t>
            </w:r>
          </w:p>
        </w:tc>
        <w:tc>
          <w:tcPr>
            <w:tcW w:w="1800" w:type="dxa"/>
            <w:gridSpan w:val="2"/>
            <w:noWrap w:val="0"/>
            <w:vAlign w:val="top"/>
          </w:tcPr>
          <w:p>
            <w:pPr>
              <w:pStyle w:val="100"/>
            </w:pPr>
            <w:r>
              <w:rPr>
                <w:lang w:eastAsia="zh-CN"/>
              </w:rPr>
              <w:t>string</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lang w:eastAsia="zh-CN"/>
              </w:rPr>
              <w:t>Identifies a pre-defined QoS information</w:t>
            </w:r>
            <w:r>
              <w:t>.</w:t>
            </w:r>
          </w:p>
        </w:tc>
        <w:tc>
          <w:tcPr>
            <w:tcW w:w="1350" w:type="dxa"/>
            <w:gridSpan w:val="2"/>
            <w:noWrap w:val="0"/>
            <w:vAlign w:val="top"/>
          </w:tcPr>
          <w:p>
            <w:pPr>
              <w:pStyle w:val="100"/>
              <w:rPr>
                <w:rFonts w:cs="Arial"/>
                <w:szCs w:val="18"/>
              </w:rPr>
            </w:pPr>
            <w:r>
              <w:t>AuthorizationWithRequiredQoS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36" w:type="dxa"/>
          <w:cantSplit/>
          <w:jc w:val="center"/>
        </w:trPr>
        <w:tc>
          <w:tcPr>
            <w:tcW w:w="1609" w:type="dxa"/>
            <w:gridSpan w:val="2"/>
            <w:noWrap w:val="0"/>
            <w:vAlign w:val="top"/>
          </w:tcPr>
          <w:p>
            <w:pPr>
              <w:pStyle w:val="100"/>
            </w:pPr>
            <w:r>
              <w:rPr>
                <w:lang w:eastAsia="zh-CN"/>
              </w:rPr>
              <w:t>altSerReqs</w:t>
            </w:r>
          </w:p>
        </w:tc>
        <w:tc>
          <w:tcPr>
            <w:tcW w:w="1800" w:type="dxa"/>
            <w:gridSpan w:val="2"/>
            <w:noWrap w:val="0"/>
            <w:vAlign w:val="top"/>
          </w:tcPr>
          <w:p>
            <w:pPr>
              <w:pStyle w:val="100"/>
            </w:pPr>
            <w:r>
              <w:t>array(string)</w:t>
            </w:r>
          </w:p>
        </w:tc>
        <w:tc>
          <w:tcPr>
            <w:tcW w:w="361" w:type="dxa"/>
            <w:gridSpan w:val="2"/>
            <w:noWrap w:val="0"/>
            <w:vAlign w:val="top"/>
          </w:tcPr>
          <w:p>
            <w:pPr>
              <w:pStyle w:val="99"/>
            </w:pPr>
            <w:r>
              <w:rPr>
                <w:lang w:eastAsia="zh-CN"/>
              </w:rPr>
              <w:t>O</w:t>
            </w:r>
          </w:p>
        </w:tc>
        <w:tc>
          <w:tcPr>
            <w:tcW w:w="1170" w:type="dxa"/>
            <w:gridSpan w:val="2"/>
            <w:noWrap w:val="0"/>
            <w:vAlign w:val="top"/>
          </w:tcPr>
          <w:p>
            <w:pPr>
              <w:pStyle w:val="99"/>
            </w:pPr>
            <w:r>
              <w:t>1..N</w:t>
            </w:r>
          </w:p>
        </w:tc>
        <w:tc>
          <w:tcPr>
            <w:tcW w:w="3329" w:type="dxa"/>
            <w:gridSpan w:val="2"/>
            <w:noWrap w:val="0"/>
            <w:vAlign w:val="top"/>
          </w:tcPr>
          <w:p>
            <w:pPr>
              <w:pStyle w:val="100"/>
              <w:rPr>
                <w:rFonts w:cs="Arial"/>
                <w:szCs w:val="18"/>
              </w:rPr>
            </w:pPr>
            <w:r>
              <w:t>Ordered list of alternative service requirements</w:t>
            </w:r>
            <w:r>
              <w:rPr>
                <w:rFonts w:eastAsia="Times New Roman"/>
                <w:lang w:val="en-US"/>
              </w:rPr>
              <w:t xml:space="preserve"> that include a set of QoS references</w:t>
            </w:r>
            <w:r>
              <w:t>. The lower the index of the array for a given entry, the higher the priority. (NOTE 1)</w:t>
            </w:r>
          </w:p>
        </w:tc>
        <w:tc>
          <w:tcPr>
            <w:tcW w:w="1350" w:type="dxa"/>
            <w:gridSpan w:val="2"/>
            <w:noWrap w:val="0"/>
            <w:vAlign w:val="top"/>
          </w:tcPr>
          <w:p>
            <w:pPr>
              <w:pStyle w:val="100"/>
              <w:rPr>
                <w:rFonts w:cs="Arial"/>
                <w:szCs w:val="18"/>
              </w:rPr>
            </w:pPr>
            <w:r>
              <w:t>AuthorizationWithRequiredQoS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rPr>
                <w:lang w:eastAsia="zh-CN"/>
              </w:rPr>
            </w:pPr>
            <w:r>
              <w:rPr>
                <w:lang w:eastAsia="zh-CN"/>
              </w:rPr>
              <w:t>altSerReqsData</w:t>
            </w:r>
          </w:p>
        </w:tc>
        <w:tc>
          <w:tcPr>
            <w:tcW w:w="1800" w:type="dxa"/>
            <w:gridSpan w:val="2"/>
            <w:noWrap w:val="0"/>
            <w:vAlign w:val="top"/>
          </w:tcPr>
          <w:p>
            <w:pPr>
              <w:pStyle w:val="100"/>
            </w:pPr>
            <w:r>
              <w:t>array(AlternativeServiceRequirementsData)</w:t>
            </w:r>
          </w:p>
        </w:tc>
        <w:tc>
          <w:tcPr>
            <w:tcW w:w="361" w:type="dxa"/>
            <w:gridSpan w:val="2"/>
            <w:noWrap w:val="0"/>
            <w:vAlign w:val="top"/>
          </w:tcPr>
          <w:p>
            <w:pPr>
              <w:pStyle w:val="99"/>
              <w:rPr>
                <w:lang w:eastAsia="zh-CN"/>
              </w:rPr>
            </w:pPr>
            <w:r>
              <w:rPr>
                <w:lang w:eastAsia="zh-CN"/>
              </w:rPr>
              <w:t>O</w:t>
            </w:r>
          </w:p>
        </w:tc>
        <w:tc>
          <w:tcPr>
            <w:tcW w:w="1170" w:type="dxa"/>
            <w:gridSpan w:val="2"/>
            <w:noWrap w:val="0"/>
            <w:vAlign w:val="top"/>
          </w:tcPr>
          <w:p>
            <w:pPr>
              <w:pStyle w:val="99"/>
            </w:pPr>
            <w:r>
              <w:t>1..N</w:t>
            </w:r>
          </w:p>
        </w:tc>
        <w:tc>
          <w:tcPr>
            <w:tcW w:w="3329" w:type="dxa"/>
            <w:gridSpan w:val="2"/>
            <w:noWrap w:val="0"/>
            <w:vAlign w:val="top"/>
          </w:tcPr>
          <w:p>
            <w:pPr>
              <w:pStyle w:val="100"/>
            </w:pPr>
            <w:r>
              <w:rPr>
                <w:rFonts w:eastAsia="Times New Roman"/>
                <w:lang w:val="en-US"/>
              </w:rPr>
              <w:t>Ordered list of alternative service requirements that include individual QoS parameter sets</w:t>
            </w:r>
            <w:r>
              <w:t>. The lower the index of the array for a given entry, the higher the priority. (NOTE 1)</w:t>
            </w:r>
          </w:p>
        </w:tc>
        <w:tc>
          <w:tcPr>
            <w:tcW w:w="1350" w:type="dxa"/>
            <w:gridSpan w:val="2"/>
            <w:noWrap w:val="0"/>
            <w:vAlign w:val="top"/>
          </w:tcPr>
          <w:p>
            <w:pPr>
              <w:pStyle w:val="100"/>
            </w:pPr>
            <w:r>
              <w:rPr>
                <w:rFonts w:eastAsia="Times New Roman"/>
                <w:lang w:val="en-US"/>
              </w:rPr>
              <w:t>AltSerReqsWithIndQoS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rPr>
                <w:lang w:eastAsia="zh-CN"/>
              </w:rPr>
            </w:pPr>
            <w:r>
              <w:rPr>
                <w:rFonts w:hint="eastAsia"/>
                <w:lang w:eastAsia="zh-CN"/>
              </w:rPr>
              <w:t>d</w:t>
            </w:r>
            <w:r>
              <w:rPr>
                <w:lang w:eastAsia="zh-CN"/>
              </w:rPr>
              <w:t>isUeNotif</w:t>
            </w:r>
          </w:p>
        </w:tc>
        <w:tc>
          <w:tcPr>
            <w:tcW w:w="1800" w:type="dxa"/>
            <w:gridSpan w:val="2"/>
            <w:noWrap w:val="0"/>
            <w:vAlign w:val="top"/>
          </w:tcPr>
          <w:p>
            <w:pPr>
              <w:pStyle w:val="100"/>
            </w:pPr>
            <w:r>
              <w:rPr>
                <w:rFonts w:hint="eastAsia"/>
                <w:lang w:eastAsia="zh-CN"/>
              </w:rPr>
              <w:t>b</w:t>
            </w:r>
            <w:r>
              <w:rPr>
                <w:lang w:eastAsia="zh-CN"/>
              </w:rPr>
              <w:t>oolean</w:t>
            </w:r>
          </w:p>
        </w:tc>
        <w:tc>
          <w:tcPr>
            <w:tcW w:w="361" w:type="dxa"/>
            <w:gridSpan w:val="2"/>
            <w:noWrap w:val="0"/>
            <w:vAlign w:val="top"/>
          </w:tcPr>
          <w:p>
            <w:pPr>
              <w:pStyle w:val="99"/>
              <w:rPr>
                <w:lang w:eastAsia="zh-CN"/>
              </w:rPr>
            </w:pPr>
            <w:r>
              <w:rPr>
                <w:rFonts w:hint="eastAsia"/>
                <w:lang w:eastAsia="zh-CN"/>
              </w:rPr>
              <w:t>O</w:t>
            </w:r>
          </w:p>
        </w:tc>
        <w:tc>
          <w:tcPr>
            <w:tcW w:w="1170" w:type="dxa"/>
            <w:gridSpan w:val="2"/>
            <w:noWrap w:val="0"/>
            <w:vAlign w:val="top"/>
          </w:tcPr>
          <w:p>
            <w:pPr>
              <w:pStyle w:val="99"/>
            </w:pPr>
            <w:r>
              <w:rPr>
                <w:rFonts w:hint="eastAsia"/>
                <w:lang w:eastAsia="zh-CN"/>
              </w:rPr>
              <w:t>0</w:t>
            </w:r>
            <w:r>
              <w:rPr>
                <w:lang w:eastAsia="zh-CN"/>
              </w:rPr>
              <w:t>..1</w:t>
            </w:r>
          </w:p>
        </w:tc>
        <w:tc>
          <w:tcPr>
            <w:tcW w:w="3329" w:type="dxa"/>
            <w:gridSpan w:val="2"/>
            <w:noWrap w:val="0"/>
            <w:vAlign w:val="top"/>
          </w:tcPr>
          <w:p>
            <w:pPr>
              <w:pStyle w:val="100"/>
            </w:pPr>
            <w:r>
              <w:rPr>
                <w:szCs w:val="18"/>
              </w:rPr>
              <w:t xml:space="preserve">Indicates to disable QoS flow parameters signalling to the UE when the SMF is notified by the NG-RAN of changes in the fulfilled QoS situation </w:t>
            </w:r>
            <w:r>
              <w:t xml:space="preserve">when it is included and set to "true". </w:t>
            </w:r>
            <w:r>
              <w:rPr>
                <w:szCs w:val="18"/>
              </w:rPr>
              <w:t>The fulfilled situation is either the QoS profile or an Alternative QoS Profile.</w:t>
            </w:r>
            <w:r>
              <w:rPr>
                <w:rFonts w:cs="Arial"/>
                <w:szCs w:val="18"/>
              </w:rPr>
              <w:t xml:space="preserve"> </w:t>
            </w:r>
            <w:r>
              <w:t xml:space="preserve">The </w:t>
            </w:r>
            <w:r>
              <w:rPr>
                <w:rFonts w:cs="Arial"/>
                <w:szCs w:val="18"/>
              </w:rPr>
              <w:t>default value "</w:t>
            </w:r>
            <w:r>
              <w:t>false</w:t>
            </w:r>
            <w:r>
              <w:rPr>
                <w:rFonts w:cs="Arial"/>
                <w:szCs w:val="18"/>
              </w:rPr>
              <w:t xml:space="preserve">" shall apply, if the attribute is not present and </w:t>
            </w:r>
            <w:r>
              <w:t>has not been supplied previously</w:t>
            </w:r>
            <w:r>
              <w:rPr>
                <w:rFonts w:cs="Arial"/>
                <w:szCs w:val="18"/>
              </w:rPr>
              <w:t>.</w:t>
            </w:r>
          </w:p>
        </w:tc>
        <w:tc>
          <w:tcPr>
            <w:tcW w:w="1350" w:type="dxa"/>
            <w:gridSpan w:val="2"/>
            <w:noWrap w:val="0"/>
            <w:vAlign w:val="top"/>
          </w:tcPr>
          <w:p>
            <w:pPr>
              <w:pStyle w:val="100"/>
            </w:pPr>
            <w:r>
              <w:rPr>
                <w:rFonts w:hint="eastAsia"/>
                <w:lang w:eastAsia="zh-CN"/>
              </w:rPr>
              <w:t>D</w:t>
            </w:r>
            <w:r>
              <w:rPr>
                <w:lang w:eastAsia="zh-CN"/>
              </w:rPr>
              <w:t>isableUENotification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contVer</w:t>
            </w:r>
          </w:p>
        </w:tc>
        <w:tc>
          <w:tcPr>
            <w:tcW w:w="1800" w:type="dxa"/>
            <w:gridSpan w:val="2"/>
            <w:noWrap w:val="0"/>
            <w:vAlign w:val="top"/>
          </w:tcPr>
          <w:p>
            <w:pPr>
              <w:pStyle w:val="100"/>
            </w:pPr>
            <w:r>
              <w:t>ContentVersion</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Represents the content version of a media component.</w:t>
            </w:r>
          </w:p>
        </w:tc>
        <w:tc>
          <w:tcPr>
            <w:tcW w:w="1350" w:type="dxa"/>
            <w:gridSpan w:val="2"/>
            <w:noWrap w:val="0"/>
            <w:vAlign w:val="top"/>
          </w:tcPr>
          <w:p>
            <w:pPr>
              <w:pStyle w:val="100"/>
              <w:rPr>
                <w:rFonts w:cs="Arial"/>
                <w:szCs w:val="18"/>
              </w:rPr>
            </w:pPr>
            <w:r>
              <w:rPr>
                <w:rFonts w:cs="Arial"/>
                <w:szCs w:val="18"/>
              </w:rPr>
              <w:t>MediaComponentVersioning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desMaxLatency</w:t>
            </w:r>
          </w:p>
        </w:tc>
        <w:tc>
          <w:tcPr>
            <w:tcW w:w="1800" w:type="dxa"/>
            <w:gridSpan w:val="2"/>
            <w:noWrap w:val="0"/>
            <w:vAlign w:val="top"/>
          </w:tcPr>
          <w:p>
            <w:pPr>
              <w:pStyle w:val="100"/>
            </w:pPr>
            <w:r>
              <w:t>FloatRm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t>Indicates</w:t>
            </w:r>
            <w:r>
              <w:rPr>
                <w:lang w:eastAsia="zh-CN"/>
              </w:rPr>
              <w:t xml:space="preserve"> a </w:t>
            </w:r>
            <w:r>
              <w:t>maximum desirable transport level packet latency in milliseconds.</w:t>
            </w:r>
          </w:p>
        </w:tc>
        <w:tc>
          <w:tcPr>
            <w:tcW w:w="1350" w:type="dxa"/>
            <w:gridSpan w:val="2"/>
            <w:noWrap w:val="0"/>
            <w:vAlign w:val="top"/>
          </w:tcPr>
          <w:p>
            <w:pPr>
              <w:pStyle w:val="100"/>
              <w:rPr>
                <w:rFonts w:cs="Arial"/>
                <w:szCs w:val="18"/>
              </w:rPr>
            </w:pPr>
            <w:r>
              <w:rPr>
                <w:rFonts w:cs="Arial"/>
                <w:szCs w:val="18"/>
              </w:rPr>
              <w:t>FLUS,</w:t>
            </w:r>
            <w:r>
              <w:t xml:space="preserve"> QoSHint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desMaxLoss</w:t>
            </w:r>
          </w:p>
        </w:tc>
        <w:tc>
          <w:tcPr>
            <w:tcW w:w="1800" w:type="dxa"/>
            <w:gridSpan w:val="2"/>
            <w:noWrap w:val="0"/>
            <w:vAlign w:val="top"/>
          </w:tcPr>
          <w:p>
            <w:pPr>
              <w:pStyle w:val="100"/>
            </w:pPr>
            <w:r>
              <w:t>FloatRm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t>Indicates the maximum desirable transport level packet loss rate in percent (without "%" sign).</w:t>
            </w:r>
          </w:p>
        </w:tc>
        <w:tc>
          <w:tcPr>
            <w:tcW w:w="1350" w:type="dxa"/>
            <w:gridSpan w:val="2"/>
            <w:noWrap w:val="0"/>
            <w:vAlign w:val="top"/>
          </w:tcPr>
          <w:p>
            <w:pPr>
              <w:pStyle w:val="100"/>
              <w:rPr>
                <w:rFonts w:cs="Arial"/>
                <w:szCs w:val="18"/>
              </w:rPr>
            </w:pPr>
            <w:r>
              <w:rPr>
                <w:rFonts w:cs="Arial"/>
                <w:szCs w:val="18"/>
              </w:rPr>
              <w:t>FLUS,</w:t>
            </w:r>
            <w:r>
              <w:t xml:space="preserve"> QoSHint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flusId</w:t>
            </w:r>
          </w:p>
        </w:tc>
        <w:tc>
          <w:tcPr>
            <w:tcW w:w="1800" w:type="dxa"/>
            <w:gridSpan w:val="2"/>
            <w:noWrap w:val="0"/>
            <w:vAlign w:val="top"/>
          </w:tcPr>
          <w:p>
            <w:pPr>
              <w:pStyle w:val="100"/>
            </w:pPr>
            <w:r>
              <w:t>string</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t>Indicates that the media component is used for FLUS media.</w:t>
            </w:r>
          </w:p>
          <w:p>
            <w:pPr>
              <w:pStyle w:val="100"/>
              <w:rPr>
                <w:rFonts w:cs="Arial"/>
                <w:szCs w:val="18"/>
              </w:rPr>
            </w:pPr>
            <w:r>
              <w:t xml:space="preserve">It is derived from the media level attribute </w:t>
            </w:r>
            <w:r>
              <w:rPr>
                <w:rFonts w:eastAsia="Yu Mincho"/>
              </w:rPr>
              <w:t xml:space="preserve">"a=label:" (see </w:t>
            </w:r>
            <w:r>
              <w:t xml:space="preserve">IETF RFC 4574 [50]) </w:t>
            </w:r>
            <w:r>
              <w:rPr>
                <w:rFonts w:eastAsia="Yu Mincho"/>
              </w:rPr>
              <w:t xml:space="preserve">obtained from the SDP body. It </w:t>
            </w:r>
            <w:r>
              <w:t xml:space="preserve">contains the string after </w:t>
            </w:r>
            <w:r>
              <w:rPr>
                <w:rFonts w:eastAsia="Yu Mincho"/>
              </w:rPr>
              <w:t>"a=label:" starting with "flus" and may be followed by more characters as described in 3GPP TS 26.238 [51].</w:t>
            </w:r>
          </w:p>
        </w:tc>
        <w:tc>
          <w:tcPr>
            <w:tcW w:w="1350" w:type="dxa"/>
            <w:gridSpan w:val="2"/>
            <w:noWrap w:val="0"/>
            <w:vAlign w:val="top"/>
          </w:tcPr>
          <w:p>
            <w:pPr>
              <w:pStyle w:val="100"/>
              <w:rPr>
                <w:rFonts w:cs="Arial"/>
                <w:szCs w:val="18"/>
              </w:rPr>
            </w:pPr>
            <w:r>
              <w:rPr>
                <w:rFonts w:cs="Arial"/>
                <w:szCs w:val="18"/>
              </w:rPr>
              <w:t>FLUS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maxPacketLossRateDl</w:t>
            </w:r>
          </w:p>
        </w:tc>
        <w:tc>
          <w:tcPr>
            <w:tcW w:w="1800" w:type="dxa"/>
            <w:gridSpan w:val="2"/>
            <w:noWrap w:val="0"/>
            <w:vAlign w:val="top"/>
          </w:tcPr>
          <w:p>
            <w:pPr>
              <w:pStyle w:val="100"/>
            </w:pPr>
            <w:r>
              <w:t>PacketLossRateRm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Indicates the downlink maximum rate for lost packets that can be tolerated for the service data flow.</w:t>
            </w:r>
          </w:p>
        </w:tc>
        <w:tc>
          <w:tcPr>
            <w:tcW w:w="1350" w:type="dxa"/>
            <w:gridSpan w:val="2"/>
            <w:noWrap w:val="0"/>
            <w:vAlign w:val="top"/>
          </w:tcPr>
          <w:p>
            <w:pPr>
              <w:pStyle w:val="100"/>
              <w:rPr>
                <w:rFonts w:cs="Arial"/>
                <w:szCs w:val="18"/>
              </w:rPr>
            </w:pPr>
            <w:r>
              <w:rPr>
                <w:rFonts w:cs="Arial"/>
                <w:szCs w:val="18"/>
              </w:rPr>
              <w:t>CHEM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maxPacketLossRateUl</w:t>
            </w:r>
          </w:p>
        </w:tc>
        <w:tc>
          <w:tcPr>
            <w:tcW w:w="1800" w:type="dxa"/>
            <w:gridSpan w:val="2"/>
            <w:noWrap w:val="0"/>
            <w:vAlign w:val="top"/>
          </w:tcPr>
          <w:p>
            <w:pPr>
              <w:pStyle w:val="100"/>
            </w:pPr>
            <w:r>
              <w:t>PacketLossRateRm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Indicates the uplink maximum rate for lost packets that can be tolerated for the service data flow.</w:t>
            </w:r>
          </w:p>
        </w:tc>
        <w:tc>
          <w:tcPr>
            <w:tcW w:w="1350" w:type="dxa"/>
            <w:gridSpan w:val="2"/>
            <w:noWrap w:val="0"/>
            <w:vAlign w:val="top"/>
          </w:tcPr>
          <w:p>
            <w:pPr>
              <w:pStyle w:val="100"/>
              <w:rPr>
                <w:rFonts w:cs="Arial"/>
                <w:szCs w:val="18"/>
              </w:rPr>
            </w:pPr>
            <w:r>
              <w:rPr>
                <w:rFonts w:cs="Arial"/>
                <w:szCs w:val="18"/>
              </w:rPr>
              <w:t>CHEM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medCompN</w:t>
            </w:r>
          </w:p>
        </w:tc>
        <w:tc>
          <w:tcPr>
            <w:tcW w:w="1800" w:type="dxa"/>
            <w:gridSpan w:val="2"/>
            <w:noWrap w:val="0"/>
            <w:vAlign w:val="top"/>
          </w:tcPr>
          <w:p>
            <w:pPr>
              <w:pStyle w:val="100"/>
            </w:pPr>
            <w:r>
              <w:t>integer</w:t>
            </w:r>
          </w:p>
        </w:tc>
        <w:tc>
          <w:tcPr>
            <w:tcW w:w="361" w:type="dxa"/>
            <w:gridSpan w:val="2"/>
            <w:noWrap w:val="0"/>
            <w:vAlign w:val="top"/>
          </w:tcPr>
          <w:p>
            <w:pPr>
              <w:pStyle w:val="99"/>
            </w:pPr>
            <w:r>
              <w:t>M</w:t>
            </w:r>
          </w:p>
        </w:tc>
        <w:tc>
          <w:tcPr>
            <w:tcW w:w="1170" w:type="dxa"/>
            <w:gridSpan w:val="2"/>
            <w:noWrap w:val="0"/>
            <w:vAlign w:val="top"/>
          </w:tcPr>
          <w:p>
            <w:pPr>
              <w:pStyle w:val="99"/>
            </w:pPr>
            <w:r>
              <w:t>1</w:t>
            </w:r>
          </w:p>
        </w:tc>
        <w:tc>
          <w:tcPr>
            <w:tcW w:w="3329" w:type="dxa"/>
            <w:gridSpan w:val="2"/>
            <w:noWrap w:val="0"/>
            <w:vAlign w:val="top"/>
          </w:tcPr>
          <w:p>
            <w:pPr>
              <w:pStyle w:val="100"/>
              <w:rPr>
                <w:rFonts w:cs="Arial"/>
                <w:szCs w:val="18"/>
              </w:rPr>
            </w:pPr>
            <w:r>
              <w:rPr>
                <w:rFonts w:cs="Arial"/>
                <w:szCs w:val="18"/>
              </w:rPr>
              <w:t>Identifies the media component number, and it contains the ordinal number of the media component.</w:t>
            </w:r>
          </w:p>
        </w:tc>
        <w:tc>
          <w:tcPr>
            <w:tcW w:w="135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medSubComps</w:t>
            </w:r>
          </w:p>
        </w:tc>
        <w:tc>
          <w:tcPr>
            <w:tcW w:w="1800" w:type="dxa"/>
            <w:gridSpan w:val="2"/>
            <w:noWrap w:val="0"/>
            <w:vAlign w:val="top"/>
          </w:tcPr>
          <w:p>
            <w:pPr>
              <w:pStyle w:val="100"/>
            </w:pPr>
            <w:r>
              <w:t>map(MediaSubComponentRm)</w:t>
            </w:r>
          </w:p>
        </w:tc>
        <w:tc>
          <w:tcPr>
            <w:tcW w:w="361" w:type="dxa"/>
            <w:gridSpan w:val="2"/>
            <w:noWrap w:val="0"/>
            <w:vAlign w:val="top"/>
          </w:tcPr>
          <w:p>
            <w:pPr>
              <w:pStyle w:val="99"/>
            </w:pPr>
            <w:r>
              <w:t>O</w:t>
            </w:r>
          </w:p>
        </w:tc>
        <w:tc>
          <w:tcPr>
            <w:tcW w:w="1170" w:type="dxa"/>
            <w:gridSpan w:val="2"/>
            <w:noWrap w:val="0"/>
            <w:vAlign w:val="top"/>
          </w:tcPr>
          <w:p>
            <w:pPr>
              <w:pStyle w:val="99"/>
            </w:pPr>
            <w:r>
              <w:t>1..N</w:t>
            </w:r>
          </w:p>
        </w:tc>
        <w:tc>
          <w:tcPr>
            <w:tcW w:w="3329" w:type="dxa"/>
            <w:gridSpan w:val="2"/>
            <w:noWrap w:val="0"/>
            <w:vAlign w:val="top"/>
          </w:tcPr>
          <w:p>
            <w:pPr>
              <w:pStyle w:val="100"/>
              <w:rPr>
                <w:rFonts w:cs="Arial"/>
                <w:szCs w:val="18"/>
              </w:rPr>
            </w:pPr>
            <w:r>
              <w:rPr>
                <w:rFonts w:cs="Arial"/>
                <w:szCs w:val="18"/>
              </w:rPr>
              <w:t xml:space="preserve">Contains the requested bitrate and filters for the set of service data flows identified by their common flow identifier. The key of the map is the attribute </w:t>
            </w:r>
            <w:r>
              <w:t>"fNum".</w:t>
            </w:r>
          </w:p>
        </w:tc>
        <w:tc>
          <w:tcPr>
            <w:tcW w:w="135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medType</w:t>
            </w:r>
          </w:p>
        </w:tc>
        <w:tc>
          <w:tcPr>
            <w:tcW w:w="1800" w:type="dxa"/>
            <w:gridSpan w:val="2"/>
            <w:noWrap w:val="0"/>
            <w:vAlign w:val="top"/>
          </w:tcPr>
          <w:p>
            <w:pPr>
              <w:pStyle w:val="100"/>
            </w:pPr>
            <w:r>
              <w:t>MediaType</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Indicates the media type of the service.</w:t>
            </w:r>
          </w:p>
        </w:tc>
        <w:tc>
          <w:tcPr>
            <w:tcW w:w="135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marBwUl</w:t>
            </w:r>
          </w:p>
        </w:tc>
        <w:tc>
          <w:tcPr>
            <w:tcW w:w="1800" w:type="dxa"/>
            <w:gridSpan w:val="2"/>
            <w:noWrap w:val="0"/>
            <w:vAlign w:val="top"/>
          </w:tcPr>
          <w:p>
            <w:pPr>
              <w:pStyle w:val="100"/>
            </w:pPr>
            <w:r>
              <w:rPr>
                <w:rFonts w:cs="Arial"/>
              </w:rPr>
              <w:t>BitRateRm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Maximum requested bandwidth for the Uplink.</w:t>
            </w:r>
          </w:p>
        </w:tc>
        <w:tc>
          <w:tcPr>
            <w:tcW w:w="135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marBwDl</w:t>
            </w:r>
          </w:p>
        </w:tc>
        <w:tc>
          <w:tcPr>
            <w:tcW w:w="1800" w:type="dxa"/>
            <w:gridSpan w:val="2"/>
            <w:noWrap w:val="0"/>
            <w:vAlign w:val="top"/>
          </w:tcPr>
          <w:p>
            <w:pPr>
              <w:pStyle w:val="100"/>
            </w:pPr>
            <w:r>
              <w:rPr>
                <w:rFonts w:cs="Arial"/>
              </w:rPr>
              <w:t>BitRateRm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Maximum requested bandwidth for the Downlink.</w:t>
            </w:r>
          </w:p>
        </w:tc>
        <w:tc>
          <w:tcPr>
            <w:tcW w:w="135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maxSuppBwDl</w:t>
            </w:r>
          </w:p>
        </w:tc>
        <w:tc>
          <w:tcPr>
            <w:tcW w:w="1800" w:type="dxa"/>
            <w:gridSpan w:val="2"/>
            <w:noWrap w:val="0"/>
            <w:vAlign w:val="top"/>
          </w:tcPr>
          <w:p>
            <w:pPr>
              <w:pStyle w:val="100"/>
              <w:rPr>
                <w:rFonts w:cs="Arial"/>
              </w:rPr>
            </w:pPr>
            <w:r>
              <w:rPr>
                <w:rFonts w:cs="Arial"/>
              </w:rPr>
              <w:t>BitRateRm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Maximum supported bandwidth for the Downlink.</w:t>
            </w:r>
          </w:p>
        </w:tc>
        <w:tc>
          <w:tcPr>
            <w:tcW w:w="1350" w:type="dxa"/>
            <w:gridSpan w:val="2"/>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maxSuppBwUl</w:t>
            </w:r>
          </w:p>
        </w:tc>
        <w:tc>
          <w:tcPr>
            <w:tcW w:w="1800" w:type="dxa"/>
            <w:gridSpan w:val="2"/>
            <w:noWrap w:val="0"/>
            <w:vAlign w:val="top"/>
          </w:tcPr>
          <w:p>
            <w:pPr>
              <w:pStyle w:val="100"/>
              <w:rPr>
                <w:rFonts w:cs="Arial"/>
              </w:rPr>
            </w:pPr>
            <w:r>
              <w:rPr>
                <w:rFonts w:cs="Arial"/>
              </w:rPr>
              <w:t>BitRateRm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Maximum supported bandwidth for the Uplink.</w:t>
            </w:r>
          </w:p>
        </w:tc>
        <w:tc>
          <w:tcPr>
            <w:tcW w:w="1350" w:type="dxa"/>
            <w:gridSpan w:val="2"/>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minDesBwDl</w:t>
            </w:r>
          </w:p>
        </w:tc>
        <w:tc>
          <w:tcPr>
            <w:tcW w:w="1800" w:type="dxa"/>
            <w:gridSpan w:val="2"/>
            <w:noWrap w:val="0"/>
            <w:vAlign w:val="top"/>
          </w:tcPr>
          <w:p>
            <w:pPr>
              <w:pStyle w:val="100"/>
              <w:rPr>
                <w:rFonts w:cs="Arial"/>
              </w:rPr>
            </w:pPr>
            <w:r>
              <w:rPr>
                <w:rFonts w:cs="Arial"/>
              </w:rPr>
              <w:t>BitRateRm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Minimum desired bandwidth for the Downlink.</w:t>
            </w:r>
          </w:p>
        </w:tc>
        <w:tc>
          <w:tcPr>
            <w:tcW w:w="1350" w:type="dxa"/>
            <w:gridSpan w:val="2"/>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minDesBwUl</w:t>
            </w:r>
          </w:p>
        </w:tc>
        <w:tc>
          <w:tcPr>
            <w:tcW w:w="1800" w:type="dxa"/>
            <w:gridSpan w:val="2"/>
            <w:noWrap w:val="0"/>
            <w:vAlign w:val="top"/>
          </w:tcPr>
          <w:p>
            <w:pPr>
              <w:pStyle w:val="100"/>
              <w:rPr>
                <w:rFonts w:cs="Arial"/>
              </w:rPr>
            </w:pPr>
            <w:r>
              <w:rPr>
                <w:rFonts w:cs="Arial"/>
              </w:rPr>
              <w:t>BitRateRm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Minimum desired bandwidth for the Uplink.</w:t>
            </w:r>
          </w:p>
        </w:tc>
        <w:tc>
          <w:tcPr>
            <w:tcW w:w="1350" w:type="dxa"/>
            <w:gridSpan w:val="2"/>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mirBwUl</w:t>
            </w:r>
          </w:p>
        </w:tc>
        <w:tc>
          <w:tcPr>
            <w:tcW w:w="1800" w:type="dxa"/>
            <w:gridSpan w:val="2"/>
            <w:noWrap w:val="0"/>
            <w:vAlign w:val="top"/>
          </w:tcPr>
          <w:p>
            <w:pPr>
              <w:pStyle w:val="100"/>
            </w:pPr>
            <w:r>
              <w:rPr>
                <w:rFonts w:cs="Arial"/>
              </w:rPr>
              <w:t>BitRateRm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Minimum requested bandwidth for the Uplink.</w:t>
            </w:r>
          </w:p>
        </w:tc>
        <w:tc>
          <w:tcPr>
            <w:tcW w:w="135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mirBwDl</w:t>
            </w:r>
          </w:p>
        </w:tc>
        <w:tc>
          <w:tcPr>
            <w:tcW w:w="1800" w:type="dxa"/>
            <w:gridSpan w:val="2"/>
            <w:noWrap w:val="0"/>
            <w:vAlign w:val="top"/>
          </w:tcPr>
          <w:p>
            <w:pPr>
              <w:pStyle w:val="100"/>
            </w:pPr>
            <w:r>
              <w:rPr>
                <w:rFonts w:cs="Arial"/>
              </w:rPr>
              <w:t>BitRateRm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Minimum requested bandwidth for the Downlink.</w:t>
            </w:r>
          </w:p>
        </w:tc>
        <w:tc>
          <w:tcPr>
            <w:tcW w:w="135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fStatus</w:t>
            </w:r>
          </w:p>
        </w:tc>
        <w:tc>
          <w:tcPr>
            <w:tcW w:w="1800" w:type="dxa"/>
            <w:gridSpan w:val="2"/>
            <w:noWrap w:val="0"/>
            <w:vAlign w:val="top"/>
          </w:tcPr>
          <w:p>
            <w:pPr>
              <w:pStyle w:val="100"/>
            </w:pPr>
            <w:r>
              <w:t>FlowStatus</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Indicates whether the status of the service data flows is enabled, or disabled.</w:t>
            </w:r>
          </w:p>
        </w:tc>
        <w:tc>
          <w:tcPr>
            <w:tcW w:w="135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preemptCap</w:t>
            </w:r>
          </w:p>
        </w:tc>
        <w:tc>
          <w:tcPr>
            <w:tcW w:w="1800" w:type="dxa"/>
            <w:gridSpan w:val="2"/>
            <w:noWrap w:val="0"/>
            <w:vAlign w:val="top"/>
          </w:tcPr>
          <w:p>
            <w:pPr>
              <w:pStyle w:val="100"/>
            </w:pPr>
            <w:r>
              <w:t>PreemptionCapabilityRm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t>Defines whether the media flow may get resources that were already assigned to another media flow with a lower priority level.</w:t>
            </w:r>
          </w:p>
        </w:tc>
        <w:tc>
          <w:tcPr>
            <w:tcW w:w="1350" w:type="dxa"/>
            <w:gridSpan w:val="2"/>
            <w:noWrap w:val="0"/>
            <w:vAlign w:val="top"/>
          </w:tcPr>
          <w:p>
            <w:pPr>
              <w:pStyle w:val="100"/>
              <w:rPr>
                <w:rFonts w:cs="Arial"/>
                <w:szCs w:val="18"/>
              </w:rPr>
            </w:pPr>
            <w:r>
              <w:rPr>
                <w:rFonts w:cs="Arial"/>
                <w:szCs w:val="18"/>
              </w:rPr>
              <w:t>MCPTT-Preemption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preemptVuln</w:t>
            </w:r>
          </w:p>
        </w:tc>
        <w:tc>
          <w:tcPr>
            <w:tcW w:w="1800" w:type="dxa"/>
            <w:gridSpan w:val="2"/>
            <w:noWrap w:val="0"/>
            <w:vAlign w:val="top"/>
          </w:tcPr>
          <w:p>
            <w:pPr>
              <w:pStyle w:val="100"/>
            </w:pPr>
            <w:r>
              <w:t>PreemptionVulnerabilityRm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t>Defines whether the media flow may lose the resources assigned to it in order to admit a media flow with higher priority level.</w:t>
            </w:r>
          </w:p>
        </w:tc>
        <w:tc>
          <w:tcPr>
            <w:tcW w:w="1350" w:type="dxa"/>
            <w:gridSpan w:val="2"/>
            <w:noWrap w:val="0"/>
            <w:vAlign w:val="top"/>
          </w:tcPr>
          <w:p>
            <w:pPr>
              <w:pStyle w:val="100"/>
              <w:rPr>
                <w:rFonts w:cs="Arial"/>
                <w:szCs w:val="18"/>
              </w:rPr>
            </w:pPr>
            <w:r>
              <w:rPr>
                <w:rFonts w:cs="Arial"/>
                <w:szCs w:val="18"/>
              </w:rPr>
              <w:t>MCPTT-Preemption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Change w:id="460" w:author="CMCC2" w:date="2023-04-18T08:02:31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blPrExChange>
        </w:tblPrEx>
        <w:trPr>
          <w:gridAfter w:val="1"/>
          <w:wAfter w:w="36" w:type="dxa"/>
          <w:cantSplit/>
          <w:trHeight w:val="90" w:hRule="atLeast"/>
          <w:jc w:val="center"/>
          <w:trPrChange w:id="460" w:author="CMCC2" w:date="2023-04-18T08:02:31Z">
            <w:trPr>
              <w:gridAfter w:val="1"/>
              <w:wAfter w:w="36" w:type="dxa"/>
              <w:cantSplit/>
              <w:jc w:val="center"/>
            </w:trPr>
          </w:trPrChange>
        </w:trPr>
        <w:tc>
          <w:tcPr>
            <w:tcW w:w="1609" w:type="dxa"/>
            <w:gridSpan w:val="2"/>
            <w:noWrap w:val="0"/>
            <w:vAlign w:val="top"/>
            <w:tcPrChange w:id="461" w:author="CMCC2" w:date="2023-04-18T08:02:31Z">
              <w:tcPr>
                <w:tcW w:w="1609" w:type="dxa"/>
                <w:gridSpan w:val="2"/>
                <w:noWrap w:val="0"/>
                <w:vAlign w:val="top"/>
              </w:tcPr>
            </w:tcPrChange>
          </w:tcPr>
          <w:p>
            <w:pPr>
              <w:pStyle w:val="100"/>
            </w:pPr>
            <w:r>
              <w:t>prioSharingInd</w:t>
            </w:r>
          </w:p>
        </w:tc>
        <w:tc>
          <w:tcPr>
            <w:tcW w:w="1800" w:type="dxa"/>
            <w:gridSpan w:val="2"/>
            <w:noWrap w:val="0"/>
            <w:vAlign w:val="top"/>
            <w:tcPrChange w:id="462" w:author="CMCC2" w:date="2023-04-18T08:02:31Z">
              <w:tcPr>
                <w:tcW w:w="1800" w:type="dxa"/>
                <w:gridSpan w:val="2"/>
                <w:noWrap w:val="0"/>
                <w:vAlign w:val="top"/>
              </w:tcPr>
            </w:tcPrChange>
          </w:tcPr>
          <w:p>
            <w:pPr>
              <w:pStyle w:val="100"/>
            </w:pPr>
            <w:r>
              <w:t>PrioritySharingIndicator</w:t>
            </w:r>
          </w:p>
        </w:tc>
        <w:tc>
          <w:tcPr>
            <w:tcW w:w="361" w:type="dxa"/>
            <w:gridSpan w:val="2"/>
            <w:noWrap w:val="0"/>
            <w:vAlign w:val="top"/>
            <w:tcPrChange w:id="463" w:author="CMCC2" w:date="2023-04-18T08:02:31Z">
              <w:tcPr>
                <w:tcW w:w="361" w:type="dxa"/>
                <w:gridSpan w:val="2"/>
                <w:noWrap w:val="0"/>
                <w:vAlign w:val="top"/>
              </w:tcPr>
            </w:tcPrChange>
          </w:tcPr>
          <w:p>
            <w:pPr>
              <w:pStyle w:val="99"/>
            </w:pPr>
            <w:r>
              <w:t>O</w:t>
            </w:r>
          </w:p>
        </w:tc>
        <w:tc>
          <w:tcPr>
            <w:tcW w:w="1170" w:type="dxa"/>
            <w:gridSpan w:val="2"/>
            <w:noWrap w:val="0"/>
            <w:vAlign w:val="top"/>
            <w:tcPrChange w:id="464" w:author="CMCC2" w:date="2023-04-18T08:02:31Z">
              <w:tcPr>
                <w:tcW w:w="1170" w:type="dxa"/>
                <w:gridSpan w:val="2"/>
                <w:noWrap w:val="0"/>
                <w:vAlign w:val="top"/>
              </w:tcPr>
            </w:tcPrChange>
          </w:tcPr>
          <w:p>
            <w:pPr>
              <w:pStyle w:val="99"/>
            </w:pPr>
            <w:r>
              <w:t>0..1</w:t>
            </w:r>
          </w:p>
        </w:tc>
        <w:tc>
          <w:tcPr>
            <w:tcW w:w="3329" w:type="dxa"/>
            <w:gridSpan w:val="2"/>
            <w:noWrap w:val="0"/>
            <w:vAlign w:val="top"/>
            <w:tcPrChange w:id="465" w:author="CMCC2" w:date="2023-04-18T08:02:31Z">
              <w:tcPr>
                <w:tcW w:w="3329" w:type="dxa"/>
                <w:gridSpan w:val="2"/>
                <w:noWrap w:val="0"/>
                <w:vAlign w:val="top"/>
              </w:tcPr>
            </w:tcPrChange>
          </w:tcPr>
          <w:p>
            <w:pPr>
              <w:pStyle w:val="100"/>
              <w:rPr>
                <w:rFonts w:cs="Arial"/>
                <w:szCs w:val="18"/>
              </w:rPr>
            </w:pPr>
            <w:r>
              <w:rPr>
                <w:rFonts w:cs="Arial"/>
                <w:szCs w:val="18"/>
              </w:rPr>
              <w:t xml:space="preserve">Indicates that the media flow is allowed to use the same ARP as media flows belonging to other </w:t>
            </w:r>
            <w:r>
              <w:t>"Individual Application Session Context" resources bound to the same PDU session.</w:t>
            </w:r>
          </w:p>
        </w:tc>
        <w:tc>
          <w:tcPr>
            <w:tcW w:w="1350" w:type="dxa"/>
            <w:gridSpan w:val="2"/>
            <w:noWrap w:val="0"/>
            <w:vAlign w:val="top"/>
            <w:tcPrChange w:id="466" w:author="CMCC2" w:date="2023-04-18T08:02:31Z">
              <w:tcPr>
                <w:tcW w:w="1350" w:type="dxa"/>
                <w:gridSpan w:val="2"/>
                <w:noWrap w:val="0"/>
                <w:vAlign w:val="top"/>
              </w:tcPr>
            </w:tcPrChange>
          </w:tcPr>
          <w:p>
            <w:pPr>
              <w:pStyle w:val="100"/>
              <w:rPr>
                <w:rFonts w:cs="Arial"/>
                <w:szCs w:val="18"/>
              </w:rPr>
            </w:pPr>
            <w:r>
              <w:rPr>
                <w:rFonts w:cs="Arial"/>
                <w:szCs w:val="18"/>
              </w:rPr>
              <w:t>PrioritySharing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resPrio</w:t>
            </w:r>
          </w:p>
        </w:tc>
        <w:tc>
          <w:tcPr>
            <w:tcW w:w="1800" w:type="dxa"/>
            <w:gridSpan w:val="2"/>
            <w:noWrap w:val="0"/>
            <w:vAlign w:val="top"/>
          </w:tcPr>
          <w:p>
            <w:pPr>
              <w:pStyle w:val="100"/>
            </w:pPr>
            <w:r>
              <w:t>ReservPriority</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Indicates the reservation priority.</w:t>
            </w:r>
          </w:p>
        </w:tc>
        <w:tc>
          <w:tcPr>
            <w:tcW w:w="135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rrBw</w:t>
            </w:r>
          </w:p>
        </w:tc>
        <w:tc>
          <w:tcPr>
            <w:tcW w:w="1800" w:type="dxa"/>
            <w:gridSpan w:val="2"/>
            <w:noWrap w:val="0"/>
            <w:vAlign w:val="top"/>
          </w:tcPr>
          <w:p>
            <w:pPr>
              <w:pStyle w:val="100"/>
            </w:pPr>
            <w:r>
              <w:t>BitRateRm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Indicates the maximum required bandwidth in bits per second for RTCP receiver reports within the session component as specified in IETF RFC 3556 [37]. The bandwidth contains all the overhead coming from the IP-layer and the layers above, i.e. IP, UDP and RTCP.</w:t>
            </w:r>
          </w:p>
        </w:tc>
        <w:tc>
          <w:tcPr>
            <w:tcW w:w="1350" w:type="dxa"/>
            <w:gridSpan w:val="2"/>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rsBw</w:t>
            </w:r>
          </w:p>
        </w:tc>
        <w:tc>
          <w:tcPr>
            <w:tcW w:w="1800" w:type="dxa"/>
            <w:gridSpan w:val="2"/>
            <w:noWrap w:val="0"/>
            <w:vAlign w:val="top"/>
          </w:tcPr>
          <w:p>
            <w:pPr>
              <w:pStyle w:val="100"/>
            </w:pPr>
            <w:r>
              <w:t>BitRateRm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Indicates the maximum required bandwidth in bits per second for RTCP sender reports within the session component as specified in IETF RFC 3556 [37]. The bandwidth contains all the overhead coming from the IP-layer and the layers above, i.e. IP, UDP and RTCP.</w:t>
            </w:r>
          </w:p>
        </w:tc>
        <w:tc>
          <w:tcPr>
            <w:tcW w:w="1350" w:type="dxa"/>
            <w:gridSpan w:val="2"/>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codecs</w:t>
            </w:r>
          </w:p>
        </w:tc>
        <w:tc>
          <w:tcPr>
            <w:tcW w:w="1800" w:type="dxa"/>
            <w:gridSpan w:val="2"/>
            <w:noWrap w:val="0"/>
            <w:vAlign w:val="top"/>
          </w:tcPr>
          <w:p>
            <w:pPr>
              <w:pStyle w:val="100"/>
            </w:pPr>
            <w:r>
              <w:t>array(CodecData)</w:t>
            </w:r>
          </w:p>
        </w:tc>
        <w:tc>
          <w:tcPr>
            <w:tcW w:w="361" w:type="dxa"/>
            <w:gridSpan w:val="2"/>
            <w:noWrap w:val="0"/>
            <w:vAlign w:val="top"/>
          </w:tcPr>
          <w:p>
            <w:pPr>
              <w:pStyle w:val="99"/>
            </w:pPr>
            <w:r>
              <w:t>O</w:t>
            </w:r>
          </w:p>
        </w:tc>
        <w:tc>
          <w:tcPr>
            <w:tcW w:w="1170" w:type="dxa"/>
            <w:gridSpan w:val="2"/>
            <w:noWrap w:val="0"/>
            <w:vAlign w:val="top"/>
          </w:tcPr>
          <w:p>
            <w:pPr>
              <w:pStyle w:val="99"/>
            </w:pPr>
            <w:r>
              <w:t>1..2</w:t>
            </w:r>
          </w:p>
        </w:tc>
        <w:tc>
          <w:tcPr>
            <w:tcW w:w="3329" w:type="dxa"/>
            <w:gridSpan w:val="2"/>
            <w:noWrap w:val="0"/>
            <w:vAlign w:val="top"/>
          </w:tcPr>
          <w:p>
            <w:pPr>
              <w:pStyle w:val="100"/>
              <w:rPr>
                <w:rFonts w:cs="Arial"/>
                <w:szCs w:val="18"/>
              </w:rPr>
            </w:pPr>
            <w:r>
              <w:rPr>
                <w:rFonts w:cs="Arial"/>
                <w:szCs w:val="18"/>
              </w:rPr>
              <w:t>Indicates the codec data.</w:t>
            </w:r>
          </w:p>
        </w:tc>
        <w:tc>
          <w:tcPr>
            <w:tcW w:w="135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sharingKeyDl</w:t>
            </w:r>
          </w:p>
        </w:tc>
        <w:tc>
          <w:tcPr>
            <w:tcW w:w="1800" w:type="dxa"/>
            <w:gridSpan w:val="2"/>
            <w:noWrap w:val="0"/>
            <w:vAlign w:val="top"/>
          </w:tcPr>
          <w:p>
            <w:pPr>
              <w:pStyle w:val="100"/>
            </w:pPr>
            <w:r>
              <w:t>Uint32Rm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Identifies which media components share resources in the downlink direction.</w:t>
            </w:r>
          </w:p>
          <w:p>
            <w:pPr>
              <w:pStyle w:val="100"/>
              <w:rPr>
                <w:rFonts w:cs="Arial"/>
                <w:szCs w:val="18"/>
              </w:rPr>
            </w:pPr>
            <w:r>
              <w:rPr>
                <w:rFonts w:cs="Arial"/>
                <w:szCs w:val="18"/>
              </w:rPr>
              <w:t xml:space="preserve">If resource sharing applies between media components across </w:t>
            </w:r>
            <w:r>
              <w:t>"</w:t>
            </w:r>
            <w:r>
              <w:rPr>
                <w:rFonts w:cs="Arial"/>
                <w:szCs w:val="18"/>
              </w:rPr>
              <w:t>Individual Application Session Context</w:t>
            </w:r>
            <w:r>
              <w:t>"</w:t>
            </w:r>
            <w:r>
              <w:rPr>
                <w:rFonts w:cs="Arial"/>
                <w:szCs w:val="18"/>
              </w:rPr>
              <w:t xml:space="preserve"> resources for the same PDU session, the same value of the </w:t>
            </w:r>
            <w:r>
              <w:t>"</w:t>
            </w:r>
            <w:r>
              <w:rPr>
                <w:rFonts w:cs="Arial"/>
                <w:szCs w:val="18"/>
              </w:rPr>
              <w:t>sharingKeyDl</w:t>
            </w:r>
            <w:r>
              <w:t>"</w:t>
            </w:r>
            <w:r>
              <w:rPr>
                <w:rFonts w:cs="Arial"/>
                <w:szCs w:val="18"/>
              </w:rPr>
              <w:t xml:space="preserve"> attribute shall be used. If resource sharing does not apply among media components across </w:t>
            </w:r>
            <w:r>
              <w:t>"</w:t>
            </w:r>
            <w:r>
              <w:rPr>
                <w:rFonts w:cs="Arial"/>
                <w:szCs w:val="18"/>
              </w:rPr>
              <w:t>Individual Application Session Context</w:t>
            </w:r>
            <w:r>
              <w:t>"</w:t>
            </w:r>
            <w:r>
              <w:rPr>
                <w:rFonts w:cs="Arial"/>
                <w:szCs w:val="18"/>
              </w:rPr>
              <w:t xml:space="preserve"> resources for the same PDU session, a different value for the </w:t>
            </w:r>
            <w:r>
              <w:t>"</w:t>
            </w:r>
            <w:r>
              <w:rPr>
                <w:rFonts w:cs="Arial"/>
                <w:szCs w:val="18"/>
              </w:rPr>
              <w:t>sharingKeyDl</w:t>
            </w:r>
            <w:r>
              <w:t>"</w:t>
            </w:r>
            <w:r>
              <w:rPr>
                <w:rFonts w:cs="Arial"/>
                <w:szCs w:val="18"/>
              </w:rPr>
              <w:t xml:space="preserve"> attribute shall be used.</w:t>
            </w:r>
          </w:p>
          <w:p>
            <w:pPr>
              <w:pStyle w:val="100"/>
              <w:rPr>
                <w:rFonts w:cs="Arial"/>
                <w:szCs w:val="18"/>
              </w:rPr>
            </w:pPr>
            <w:r>
              <w:rPr>
                <w:rFonts w:cs="Arial"/>
                <w:szCs w:val="18"/>
              </w:rPr>
              <w:t xml:space="preserve">If resource sharing does no longer apply for this media component, the </w:t>
            </w:r>
            <w:r>
              <w:t>"</w:t>
            </w:r>
            <w:r>
              <w:rPr>
                <w:rFonts w:cs="Arial"/>
                <w:szCs w:val="18"/>
              </w:rPr>
              <w:t>sharingKeyDl</w:t>
            </w:r>
            <w:r>
              <w:t>"</w:t>
            </w:r>
            <w:r>
              <w:rPr>
                <w:rFonts w:cs="Arial"/>
                <w:szCs w:val="18"/>
              </w:rPr>
              <w:t xml:space="preserve"> attribute shall be set to </w:t>
            </w:r>
            <w:r>
              <w:t>"</w:t>
            </w:r>
            <w:r>
              <w:rPr>
                <w:rFonts w:cs="Arial"/>
                <w:szCs w:val="18"/>
              </w:rPr>
              <w:t>null</w:t>
            </w:r>
            <w:r>
              <w:t>"</w:t>
            </w:r>
            <w:r>
              <w:rPr>
                <w:rFonts w:cs="Arial"/>
                <w:szCs w:val="18"/>
              </w:rPr>
              <w:t>.</w:t>
            </w:r>
          </w:p>
        </w:tc>
        <w:tc>
          <w:tcPr>
            <w:tcW w:w="1350" w:type="dxa"/>
            <w:gridSpan w:val="2"/>
            <w:noWrap w:val="0"/>
            <w:vAlign w:val="top"/>
          </w:tcPr>
          <w:p>
            <w:pPr>
              <w:pStyle w:val="100"/>
              <w:rPr>
                <w:rFonts w:cs="Arial"/>
                <w:szCs w:val="18"/>
              </w:rPr>
            </w:pPr>
            <w:r>
              <w:rPr>
                <w:rFonts w:cs="Arial"/>
                <w:szCs w:val="18"/>
              </w:rPr>
              <w:t>ResourceSharing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36" w:type="dxa"/>
          <w:cantSplit/>
          <w:jc w:val="center"/>
        </w:trPr>
        <w:tc>
          <w:tcPr>
            <w:tcW w:w="1609" w:type="dxa"/>
            <w:gridSpan w:val="2"/>
            <w:noWrap w:val="0"/>
            <w:vAlign w:val="top"/>
          </w:tcPr>
          <w:p>
            <w:pPr>
              <w:pStyle w:val="100"/>
            </w:pPr>
            <w:r>
              <w:t>sharingKeyUl</w:t>
            </w:r>
          </w:p>
        </w:tc>
        <w:tc>
          <w:tcPr>
            <w:tcW w:w="1800" w:type="dxa"/>
            <w:gridSpan w:val="2"/>
            <w:noWrap w:val="0"/>
            <w:vAlign w:val="top"/>
          </w:tcPr>
          <w:p>
            <w:pPr>
              <w:pStyle w:val="100"/>
            </w:pPr>
            <w:r>
              <w:t>Uint32Rm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Identifies which media components share resources in the uplink direction.</w:t>
            </w:r>
          </w:p>
          <w:p>
            <w:pPr>
              <w:pStyle w:val="100"/>
              <w:rPr>
                <w:rFonts w:cs="Arial"/>
                <w:szCs w:val="18"/>
              </w:rPr>
            </w:pPr>
            <w:r>
              <w:rPr>
                <w:rFonts w:cs="Arial"/>
                <w:szCs w:val="18"/>
              </w:rPr>
              <w:t xml:space="preserve">If resource sharing applies between media components across </w:t>
            </w:r>
            <w:r>
              <w:t>"</w:t>
            </w:r>
            <w:r>
              <w:rPr>
                <w:rFonts w:cs="Arial"/>
                <w:szCs w:val="18"/>
              </w:rPr>
              <w:t>Individual Application Session Context</w:t>
            </w:r>
            <w:r>
              <w:t>"</w:t>
            </w:r>
            <w:r>
              <w:rPr>
                <w:rFonts w:cs="Arial"/>
                <w:szCs w:val="18"/>
              </w:rPr>
              <w:t xml:space="preserve"> resources for the same PDU session, the same value of the </w:t>
            </w:r>
            <w:r>
              <w:t>"</w:t>
            </w:r>
            <w:r>
              <w:rPr>
                <w:rFonts w:cs="Arial"/>
                <w:szCs w:val="18"/>
              </w:rPr>
              <w:t>sharingKeyUl</w:t>
            </w:r>
            <w:r>
              <w:t>"</w:t>
            </w:r>
            <w:r>
              <w:rPr>
                <w:rFonts w:cs="Arial"/>
                <w:szCs w:val="18"/>
              </w:rPr>
              <w:t xml:space="preserve"> attribute shall be used. If resource sharing does not apply among media components across </w:t>
            </w:r>
            <w:r>
              <w:t>"</w:t>
            </w:r>
            <w:r>
              <w:rPr>
                <w:rFonts w:cs="Arial"/>
                <w:szCs w:val="18"/>
              </w:rPr>
              <w:t>Individual Application Session Context</w:t>
            </w:r>
            <w:r>
              <w:t>"</w:t>
            </w:r>
            <w:r>
              <w:rPr>
                <w:rFonts w:cs="Arial"/>
                <w:szCs w:val="18"/>
              </w:rPr>
              <w:t xml:space="preserve"> resources for the same PDU session, a different value for the </w:t>
            </w:r>
            <w:r>
              <w:t>"</w:t>
            </w:r>
            <w:r>
              <w:rPr>
                <w:rFonts w:cs="Arial"/>
                <w:szCs w:val="18"/>
              </w:rPr>
              <w:t>sharingKeyUl</w:t>
            </w:r>
            <w:r>
              <w:t>"</w:t>
            </w:r>
            <w:r>
              <w:rPr>
                <w:rFonts w:cs="Arial"/>
                <w:szCs w:val="18"/>
              </w:rPr>
              <w:t xml:space="preserve"> attribute shall be used.</w:t>
            </w:r>
          </w:p>
          <w:p>
            <w:pPr>
              <w:pStyle w:val="100"/>
              <w:rPr>
                <w:rFonts w:cs="Arial"/>
                <w:szCs w:val="18"/>
              </w:rPr>
            </w:pPr>
            <w:r>
              <w:rPr>
                <w:rFonts w:cs="Arial"/>
                <w:szCs w:val="18"/>
              </w:rPr>
              <w:t xml:space="preserve">If resource sharing does no longer apply for this media component, the </w:t>
            </w:r>
            <w:r>
              <w:t>"</w:t>
            </w:r>
            <w:r>
              <w:rPr>
                <w:rFonts w:cs="Arial"/>
                <w:szCs w:val="18"/>
              </w:rPr>
              <w:t>sharingKeyUl</w:t>
            </w:r>
            <w:r>
              <w:t>"</w:t>
            </w:r>
            <w:r>
              <w:rPr>
                <w:rFonts w:cs="Arial"/>
                <w:szCs w:val="18"/>
              </w:rPr>
              <w:t xml:space="preserve"> attribute shall be set to </w:t>
            </w:r>
            <w:r>
              <w:t>"</w:t>
            </w:r>
            <w:r>
              <w:rPr>
                <w:rFonts w:cs="Arial"/>
                <w:szCs w:val="18"/>
              </w:rPr>
              <w:t>null</w:t>
            </w:r>
            <w:r>
              <w:t>"</w:t>
            </w:r>
            <w:r>
              <w:rPr>
                <w:rFonts w:cs="Arial"/>
                <w:szCs w:val="18"/>
              </w:rPr>
              <w:t>.</w:t>
            </w:r>
          </w:p>
        </w:tc>
        <w:tc>
          <w:tcPr>
            <w:tcW w:w="1350" w:type="dxa"/>
            <w:gridSpan w:val="2"/>
            <w:noWrap w:val="0"/>
            <w:vAlign w:val="top"/>
          </w:tcPr>
          <w:p>
            <w:pPr>
              <w:pStyle w:val="100"/>
              <w:rPr>
                <w:rFonts w:cs="Arial"/>
                <w:szCs w:val="18"/>
              </w:rPr>
            </w:pPr>
            <w:r>
              <w:rPr>
                <w:rFonts w:cs="Arial"/>
                <w:szCs w:val="18"/>
              </w:rPr>
              <w:t>ResourceSharing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tsnQos</w:t>
            </w:r>
          </w:p>
        </w:tc>
        <w:tc>
          <w:tcPr>
            <w:tcW w:w="1800" w:type="dxa"/>
            <w:gridSpan w:val="2"/>
            <w:noWrap w:val="0"/>
            <w:vAlign w:val="top"/>
          </w:tcPr>
          <w:p>
            <w:pPr>
              <w:pStyle w:val="100"/>
            </w:pPr>
            <w:r>
              <w:t>TsnQoSContainerRm</w:t>
            </w:r>
          </w:p>
        </w:tc>
        <w:tc>
          <w:tcPr>
            <w:tcW w:w="361" w:type="dxa"/>
            <w:gridSpan w:val="2"/>
            <w:noWrap w:val="0"/>
            <w:vAlign w:val="top"/>
          </w:tcPr>
          <w:p>
            <w:pPr>
              <w:pStyle w:val="99"/>
            </w:pPr>
            <w:r>
              <w:t>O</w:t>
            </w:r>
          </w:p>
        </w:tc>
        <w:tc>
          <w:tcPr>
            <w:tcW w:w="1170" w:type="dxa"/>
            <w:gridSpan w:val="2"/>
            <w:noWrap w:val="0"/>
            <w:vAlign w:val="top"/>
          </w:tcPr>
          <w:p>
            <w:pPr>
              <w:pStyle w:val="99"/>
            </w:pPr>
            <w:r>
              <w:rPr>
                <w:lang w:eastAsia="zh-CN"/>
              </w:rPr>
              <w:t>0..1</w:t>
            </w:r>
          </w:p>
        </w:tc>
        <w:tc>
          <w:tcPr>
            <w:tcW w:w="3329" w:type="dxa"/>
            <w:gridSpan w:val="2"/>
            <w:noWrap w:val="0"/>
            <w:vAlign w:val="top"/>
          </w:tcPr>
          <w:p>
            <w:pPr>
              <w:pStyle w:val="100"/>
              <w:rPr>
                <w:rFonts w:cs="Arial"/>
                <w:szCs w:val="18"/>
              </w:rPr>
            </w:pPr>
            <w:r>
              <w:t>Transports QoS parameters for TSC traffic.</w:t>
            </w:r>
          </w:p>
        </w:tc>
        <w:tc>
          <w:tcPr>
            <w:tcW w:w="1350" w:type="dxa"/>
            <w:gridSpan w:val="2"/>
            <w:noWrap w:val="0"/>
            <w:vAlign w:val="top"/>
          </w:tcPr>
          <w:p>
            <w:pPr>
              <w:pStyle w:val="100"/>
              <w:rPr>
                <w:rFonts w:cs="Arial"/>
                <w:szCs w:val="18"/>
              </w:rPr>
            </w:pPr>
            <w: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36" w:type="dxa"/>
          <w:cantSplit/>
          <w:jc w:val="center"/>
        </w:trPr>
        <w:tc>
          <w:tcPr>
            <w:tcW w:w="1609" w:type="dxa"/>
            <w:gridSpan w:val="2"/>
            <w:noWrap w:val="0"/>
            <w:vAlign w:val="top"/>
          </w:tcPr>
          <w:p>
            <w:pPr>
              <w:pStyle w:val="100"/>
            </w:pPr>
            <w:r>
              <w:t>tscaiInputUl</w:t>
            </w:r>
          </w:p>
        </w:tc>
        <w:tc>
          <w:tcPr>
            <w:tcW w:w="1800" w:type="dxa"/>
            <w:gridSpan w:val="2"/>
            <w:noWrap w:val="0"/>
            <w:vAlign w:val="top"/>
          </w:tcPr>
          <w:p>
            <w:pPr>
              <w:pStyle w:val="100"/>
            </w:pPr>
            <w:r>
              <w:t>TscaiInputContainer</w:t>
            </w:r>
          </w:p>
        </w:tc>
        <w:tc>
          <w:tcPr>
            <w:tcW w:w="361" w:type="dxa"/>
            <w:gridSpan w:val="2"/>
            <w:noWrap w:val="0"/>
            <w:vAlign w:val="top"/>
          </w:tcPr>
          <w:p>
            <w:pPr>
              <w:pStyle w:val="99"/>
            </w:pPr>
            <w:r>
              <w:t>O</w:t>
            </w:r>
          </w:p>
        </w:tc>
        <w:tc>
          <w:tcPr>
            <w:tcW w:w="1170" w:type="dxa"/>
            <w:gridSpan w:val="2"/>
            <w:noWrap w:val="0"/>
            <w:vAlign w:val="top"/>
          </w:tcPr>
          <w:p>
            <w:pPr>
              <w:pStyle w:val="99"/>
            </w:pPr>
            <w:r>
              <w:rPr>
                <w:lang w:eastAsia="zh-CN"/>
              </w:rPr>
              <w:t>0..1</w:t>
            </w:r>
          </w:p>
        </w:tc>
        <w:tc>
          <w:tcPr>
            <w:tcW w:w="3329" w:type="dxa"/>
            <w:gridSpan w:val="2"/>
            <w:noWrap w:val="0"/>
            <w:vAlign w:val="top"/>
          </w:tcPr>
          <w:p>
            <w:pPr>
              <w:pStyle w:val="100"/>
              <w:rPr>
                <w:rFonts w:cs="Arial"/>
                <w:szCs w:val="18"/>
              </w:rPr>
            </w:pPr>
            <w:r>
              <w:t>Transports TSCAI input parameters for TSC traffic</w:t>
            </w:r>
            <w:r>
              <w:rPr>
                <w:rFonts w:cs="Arial"/>
                <w:szCs w:val="18"/>
              </w:rPr>
              <w:t xml:space="preserve"> at the ingress interface of the DS-TT/UE (uplink flow direction)</w:t>
            </w:r>
            <w:r>
              <w:t>.</w:t>
            </w:r>
          </w:p>
        </w:tc>
        <w:tc>
          <w:tcPr>
            <w:tcW w:w="1350" w:type="dxa"/>
            <w:gridSpan w:val="2"/>
            <w:noWrap w:val="0"/>
            <w:vAlign w:val="top"/>
          </w:tcPr>
          <w:p>
            <w:pPr>
              <w:pStyle w:val="100"/>
              <w:rPr>
                <w:rFonts w:cs="Arial"/>
                <w:szCs w:val="18"/>
              </w:rPr>
            </w:pPr>
            <w: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tscaiInputDl</w:t>
            </w:r>
          </w:p>
        </w:tc>
        <w:tc>
          <w:tcPr>
            <w:tcW w:w="1800" w:type="dxa"/>
            <w:gridSpan w:val="2"/>
            <w:noWrap w:val="0"/>
            <w:vAlign w:val="top"/>
          </w:tcPr>
          <w:p>
            <w:pPr>
              <w:pStyle w:val="100"/>
            </w:pPr>
            <w:r>
              <w:t>TscaiInputContainer</w:t>
            </w:r>
          </w:p>
        </w:tc>
        <w:tc>
          <w:tcPr>
            <w:tcW w:w="361" w:type="dxa"/>
            <w:gridSpan w:val="2"/>
            <w:noWrap w:val="0"/>
            <w:vAlign w:val="top"/>
          </w:tcPr>
          <w:p>
            <w:pPr>
              <w:pStyle w:val="99"/>
            </w:pPr>
            <w:r>
              <w:t>O</w:t>
            </w:r>
          </w:p>
        </w:tc>
        <w:tc>
          <w:tcPr>
            <w:tcW w:w="1170" w:type="dxa"/>
            <w:gridSpan w:val="2"/>
            <w:noWrap w:val="0"/>
            <w:vAlign w:val="top"/>
          </w:tcPr>
          <w:p>
            <w:pPr>
              <w:pStyle w:val="99"/>
            </w:pPr>
            <w:r>
              <w:rPr>
                <w:lang w:eastAsia="zh-CN"/>
              </w:rPr>
              <w:t>0..1</w:t>
            </w:r>
          </w:p>
        </w:tc>
        <w:tc>
          <w:tcPr>
            <w:tcW w:w="3329" w:type="dxa"/>
            <w:gridSpan w:val="2"/>
            <w:noWrap w:val="0"/>
            <w:vAlign w:val="top"/>
          </w:tcPr>
          <w:p>
            <w:pPr>
              <w:pStyle w:val="100"/>
              <w:rPr>
                <w:rFonts w:cs="Arial"/>
                <w:szCs w:val="18"/>
              </w:rPr>
            </w:pPr>
            <w:r>
              <w:t>Transports TSCAI input parameters for TSC traffic</w:t>
            </w:r>
            <w:r>
              <w:rPr>
                <w:rFonts w:cs="Arial"/>
                <w:szCs w:val="18"/>
              </w:rPr>
              <w:t xml:space="preserve"> at the ingress of the NW-TT (downlink flow direction)</w:t>
            </w:r>
            <w:r>
              <w:t>.</w:t>
            </w:r>
          </w:p>
        </w:tc>
        <w:tc>
          <w:tcPr>
            <w:tcW w:w="1350" w:type="dxa"/>
            <w:gridSpan w:val="2"/>
            <w:noWrap w:val="0"/>
            <w:vAlign w:val="top"/>
          </w:tcPr>
          <w:p>
            <w:pPr>
              <w:pStyle w:val="100"/>
              <w:rPr>
                <w:rFonts w:cs="Arial"/>
                <w:szCs w:val="18"/>
              </w:rPr>
            </w:pPr>
            <w: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tscaiTimeDom</w:t>
            </w:r>
          </w:p>
        </w:tc>
        <w:tc>
          <w:tcPr>
            <w:tcW w:w="1800" w:type="dxa"/>
            <w:gridSpan w:val="2"/>
            <w:noWrap w:val="0"/>
            <w:vAlign w:val="top"/>
          </w:tcPr>
          <w:p>
            <w:pPr>
              <w:pStyle w:val="100"/>
            </w:pPr>
            <w:r>
              <w:rPr>
                <w:rFonts w:hint="eastAsia"/>
                <w:lang w:eastAsia="zh-CN"/>
              </w:rPr>
              <w:t>U</w:t>
            </w:r>
            <w:r>
              <w:rPr>
                <w:lang w:eastAsia="zh-CN"/>
              </w:rPr>
              <w:t>integer</w:t>
            </w:r>
          </w:p>
        </w:tc>
        <w:tc>
          <w:tcPr>
            <w:tcW w:w="361" w:type="dxa"/>
            <w:gridSpan w:val="2"/>
            <w:noWrap w:val="0"/>
            <w:vAlign w:val="top"/>
          </w:tcPr>
          <w:p>
            <w:pPr>
              <w:pStyle w:val="99"/>
            </w:pPr>
            <w:r>
              <w:rPr>
                <w:rFonts w:hint="eastAsia"/>
                <w:lang w:eastAsia="zh-CN"/>
              </w:rPr>
              <w:t>O</w:t>
            </w:r>
          </w:p>
        </w:tc>
        <w:tc>
          <w:tcPr>
            <w:tcW w:w="1170" w:type="dxa"/>
            <w:gridSpan w:val="2"/>
            <w:noWrap w:val="0"/>
            <w:vAlign w:val="top"/>
          </w:tcPr>
          <w:p>
            <w:pPr>
              <w:pStyle w:val="99"/>
              <w:rPr>
                <w:lang w:eastAsia="zh-CN"/>
              </w:rPr>
            </w:pPr>
            <w:r>
              <w:rPr>
                <w:rFonts w:hint="eastAsia"/>
                <w:lang w:eastAsia="zh-CN"/>
              </w:rPr>
              <w:t>0</w:t>
            </w:r>
            <w:r>
              <w:rPr>
                <w:lang w:eastAsia="zh-CN"/>
              </w:rPr>
              <w:t>..1</w:t>
            </w:r>
          </w:p>
        </w:tc>
        <w:tc>
          <w:tcPr>
            <w:tcW w:w="3329" w:type="dxa"/>
            <w:gridSpan w:val="2"/>
            <w:noWrap w:val="0"/>
            <w:vAlign w:val="top"/>
          </w:tcPr>
          <w:p>
            <w:pPr>
              <w:pStyle w:val="100"/>
            </w:pPr>
            <w:r>
              <w:rPr>
                <w:lang w:eastAsia="zh-CN"/>
              </w:rPr>
              <w:t>Indicates the (g)PTP domain that the (TSN)AF is located in.</w:t>
            </w:r>
          </w:p>
        </w:tc>
        <w:tc>
          <w:tcPr>
            <w:tcW w:w="1350" w:type="dxa"/>
            <w:gridSpan w:val="2"/>
            <w:noWrap w:val="0"/>
            <w:vAlign w:val="top"/>
          </w:tcPr>
          <w:p>
            <w:pPr>
              <w:pStyle w:val="100"/>
            </w:pPr>
            <w:r>
              <w:rPr>
                <w:lang w:eastAsia="zh-CN"/>
              </w:rPr>
              <w:t>TimeSensitive</w:t>
            </w:r>
            <w:r>
              <w:t>Communication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Before w:val="1"/>
          <w:wBefore w:w="36" w:type="dxa"/>
          <w:cantSplit/>
          <w:jc w:val="center"/>
        </w:trPr>
        <w:tc>
          <w:tcPr>
            <w:tcW w:w="1609" w:type="dxa"/>
            <w:gridSpan w:val="2"/>
            <w:noWrap w:val="0"/>
            <w:vAlign w:val="top"/>
          </w:tcPr>
          <w:p>
            <w:pPr>
              <w:pStyle w:val="100"/>
            </w:pPr>
            <w:r>
              <w:t>capBatAdaptation</w:t>
            </w:r>
          </w:p>
        </w:tc>
        <w:tc>
          <w:tcPr>
            <w:tcW w:w="1800" w:type="dxa"/>
            <w:gridSpan w:val="2"/>
            <w:noWrap w:val="0"/>
            <w:vAlign w:val="top"/>
          </w:tcPr>
          <w:p>
            <w:pPr>
              <w:pStyle w:val="100"/>
              <w:rPr>
                <w:lang w:eastAsia="zh-CN"/>
              </w:rPr>
            </w:pPr>
            <w:r>
              <w:rPr>
                <w:lang w:eastAsia="zh-CN"/>
              </w:rPr>
              <w:t>boolean</w:t>
            </w:r>
          </w:p>
        </w:tc>
        <w:tc>
          <w:tcPr>
            <w:tcW w:w="361" w:type="dxa"/>
            <w:gridSpan w:val="2"/>
            <w:noWrap w:val="0"/>
            <w:vAlign w:val="top"/>
          </w:tcPr>
          <w:p>
            <w:pPr>
              <w:pStyle w:val="99"/>
              <w:rPr>
                <w:lang w:eastAsia="zh-CN"/>
              </w:rPr>
            </w:pPr>
            <w:r>
              <w:rPr>
                <w:lang w:eastAsia="zh-CN"/>
              </w:rPr>
              <w:t>O</w:t>
            </w:r>
          </w:p>
        </w:tc>
        <w:tc>
          <w:tcPr>
            <w:tcW w:w="1170" w:type="dxa"/>
            <w:gridSpan w:val="2"/>
            <w:noWrap w:val="0"/>
            <w:vAlign w:val="top"/>
          </w:tcPr>
          <w:p>
            <w:pPr>
              <w:pStyle w:val="99"/>
              <w:rPr>
                <w:lang w:eastAsia="zh-CN"/>
              </w:rPr>
            </w:pPr>
            <w:r>
              <w:rPr>
                <w:lang w:eastAsia="zh-CN"/>
              </w:rPr>
              <w:t>0..1</w:t>
            </w:r>
          </w:p>
        </w:tc>
        <w:tc>
          <w:tcPr>
            <w:tcW w:w="3329" w:type="dxa"/>
            <w:gridSpan w:val="2"/>
            <w:noWrap w:val="0"/>
            <w:vAlign w:val="top"/>
          </w:tcPr>
          <w:p>
            <w:pPr>
              <w:pStyle w:val="100"/>
            </w:pPr>
            <w:r>
              <w:t>Indicates the capability for AF to adjust the burst sending time, when it is supported and set to "true".</w:t>
            </w:r>
          </w:p>
          <w:p>
            <w:pPr>
              <w:pStyle w:val="100"/>
              <w:rPr>
                <w:lang w:eastAsia="zh-CN"/>
              </w:rPr>
            </w:pPr>
            <w:r>
              <w:rPr>
                <w:rFonts w:cs="Arial"/>
                <w:szCs w:val="18"/>
                <w:lang w:eastAsia="zh-CN"/>
              </w:rPr>
              <w:t xml:space="preserve">The default value is </w:t>
            </w:r>
            <w:r>
              <w:t>"</w:t>
            </w:r>
            <w:r>
              <w:rPr>
                <w:rFonts w:cs="Arial"/>
                <w:szCs w:val="18"/>
                <w:lang w:eastAsia="zh-CN"/>
              </w:rPr>
              <w:t>false</w:t>
            </w:r>
            <w:r>
              <w:t>"</w:t>
            </w:r>
            <w:r>
              <w:rPr>
                <w:rFonts w:cs="Arial"/>
                <w:szCs w:val="18"/>
                <w:lang w:eastAsia="zh-CN"/>
              </w:rPr>
              <w:t xml:space="preserve"> if omitted.</w:t>
            </w:r>
          </w:p>
          <w:p>
            <w:pPr>
              <w:pStyle w:val="100"/>
            </w:pPr>
            <w:r>
              <w:t>(NOTE 2)</w:t>
            </w:r>
          </w:p>
        </w:tc>
        <w:tc>
          <w:tcPr>
            <w:tcW w:w="1350" w:type="dxa"/>
            <w:gridSpan w:val="2"/>
            <w:noWrap w:val="0"/>
            <w:vAlign w:val="top"/>
          </w:tcPr>
          <w:p>
            <w:pPr>
              <w:pStyle w:val="100"/>
              <w:rPr>
                <w:lang w:val="en-US"/>
              </w:rPr>
            </w:pPr>
            <w:r>
              <w:rPr>
                <w:lang w:val="en-US"/>
              </w:rPr>
              <w:t>EnTSCAC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Before w:val="1"/>
          <w:wBefore w:w="36" w:type="dxa"/>
          <w:cantSplit/>
          <w:jc w:val="center"/>
          <w:ins w:id="467" w:author="CMCC" w:date="2023-04-10T00:57:41Z"/>
        </w:trPr>
        <w:tc>
          <w:tcPr>
            <w:tcW w:w="1609" w:type="dxa"/>
            <w:gridSpan w:val="2"/>
            <w:noWrap w:val="0"/>
            <w:vAlign w:val="top"/>
          </w:tcPr>
          <w:p>
            <w:pPr>
              <w:pStyle w:val="100"/>
              <w:rPr>
                <w:ins w:id="468" w:author="CMCC" w:date="2023-04-10T00:57:41Z"/>
                <w:rFonts w:hint="eastAsia" w:eastAsia="宋体"/>
                <w:lang w:val="en-US" w:eastAsia="zh-CN"/>
              </w:rPr>
            </w:pPr>
            <w:ins w:id="469" w:author="CMCC-r2" w:date="2023-04-20T19:34:12Z">
              <w:bookmarkStart w:id="89" w:name="OLE_LINK6"/>
              <w:r>
                <w:rPr>
                  <w:rFonts w:hint="eastAsia" w:eastAsia="宋体"/>
                  <w:highlight w:val="none"/>
                  <w:lang w:val="en-US" w:eastAsia="zh-CN"/>
                </w:rPr>
                <w:t>P</w:t>
              </w:r>
            </w:ins>
            <w:ins w:id="470" w:author="CMCC" w:date="2023-04-10T01:02:14Z">
              <w:del w:id="471" w:author="CMCC-r2" w:date="2023-04-20T19:34:12Z">
                <w:r>
                  <w:rPr>
                    <w:rFonts w:hint="eastAsia" w:eastAsia="宋体"/>
                    <w:highlight w:val="none"/>
                    <w:lang w:val="en-US" w:eastAsia="zh-CN"/>
                  </w:rPr>
                  <w:delText>p</w:delText>
                </w:r>
              </w:del>
            </w:ins>
            <w:ins w:id="472" w:author="CMCC" w:date="2023-04-10T01:02:14Z">
              <w:r>
                <w:rPr>
                  <w:rFonts w:hint="eastAsia" w:eastAsia="宋体"/>
                  <w:highlight w:val="none"/>
                  <w:lang w:val="en-US" w:eastAsia="zh-CN"/>
                </w:rPr>
                <w:t>du</w:t>
              </w:r>
            </w:ins>
            <w:ins w:id="473" w:author="CMCC" w:date="2023-04-10T00:57:42Z">
              <w:r>
                <w:rPr>
                  <w:rFonts w:hint="eastAsia" w:eastAsia="宋体"/>
                  <w:highlight w:val="none"/>
                  <w:lang w:val="en-US" w:eastAsia="zh-CN"/>
                </w:rPr>
                <w:t>Set</w:t>
              </w:r>
            </w:ins>
            <w:ins w:id="474" w:author="CMCC" w:date="2023-04-10T00:57:42Z">
              <w:r>
                <w:rPr>
                  <w:highlight w:val="none"/>
                </w:rPr>
                <w:t>Qo</w:t>
              </w:r>
            </w:ins>
            <w:ins w:id="475" w:author="CMCC" w:date="2023-04-10T00:58:41Z">
              <w:r>
                <w:rPr>
                  <w:rFonts w:hint="eastAsia" w:eastAsia="宋体"/>
                  <w:highlight w:val="none"/>
                  <w:lang w:val="en-US" w:eastAsia="zh-CN"/>
                </w:rPr>
                <w:t>s</w:t>
              </w:r>
              <w:bookmarkEnd w:id="89"/>
            </w:ins>
          </w:p>
        </w:tc>
        <w:tc>
          <w:tcPr>
            <w:tcW w:w="1800" w:type="dxa"/>
            <w:gridSpan w:val="2"/>
            <w:noWrap w:val="0"/>
            <w:vAlign w:val="top"/>
          </w:tcPr>
          <w:p>
            <w:pPr>
              <w:pStyle w:val="100"/>
              <w:rPr>
                <w:ins w:id="476" w:author="CMCC" w:date="2023-04-10T00:57:41Z"/>
                <w:lang w:eastAsia="zh-CN"/>
              </w:rPr>
            </w:pPr>
            <w:ins w:id="477" w:author="CMCC2" w:date="2023-04-19T07:04:45Z">
              <w:r>
                <w:rPr>
                  <w:rFonts w:hint="eastAsia"/>
                  <w:lang w:eastAsia="zh-CN"/>
                </w:rPr>
                <w:t>P</w:t>
              </w:r>
            </w:ins>
            <w:ins w:id="478" w:author="CMCC2" w:date="2023-04-19T07:04:45Z">
              <w:r>
                <w:rPr>
                  <w:lang w:eastAsia="zh-CN"/>
                </w:rPr>
                <w:t>duSetQosParaRm</w:t>
              </w:r>
            </w:ins>
            <w:ins w:id="479" w:author="CMCC" w:date="2023-04-10T00:57:48Z">
              <w:del w:id="480" w:author="CMCC2" w:date="2023-04-18T07:32:08Z">
                <w:r>
                  <w:rPr/>
                  <w:delText>TsnQoSContainerRm</w:delText>
                </w:r>
              </w:del>
            </w:ins>
          </w:p>
        </w:tc>
        <w:tc>
          <w:tcPr>
            <w:tcW w:w="361" w:type="dxa"/>
            <w:gridSpan w:val="2"/>
            <w:noWrap w:val="0"/>
            <w:vAlign w:val="top"/>
          </w:tcPr>
          <w:p>
            <w:pPr>
              <w:pStyle w:val="99"/>
              <w:rPr>
                <w:ins w:id="481" w:author="CMCC" w:date="2023-04-10T00:57:41Z"/>
                <w:lang w:eastAsia="zh-CN"/>
              </w:rPr>
            </w:pPr>
            <w:ins w:id="482" w:author="CMCC" w:date="2023-04-10T01:03:05Z">
              <w:r>
                <w:rPr/>
                <w:t>O</w:t>
              </w:r>
            </w:ins>
          </w:p>
        </w:tc>
        <w:tc>
          <w:tcPr>
            <w:tcW w:w="1170" w:type="dxa"/>
            <w:gridSpan w:val="2"/>
            <w:noWrap w:val="0"/>
            <w:vAlign w:val="top"/>
          </w:tcPr>
          <w:p>
            <w:pPr>
              <w:pStyle w:val="99"/>
              <w:rPr>
                <w:ins w:id="483" w:author="CMCC" w:date="2023-04-10T00:57:41Z"/>
                <w:lang w:eastAsia="zh-CN"/>
              </w:rPr>
            </w:pPr>
            <w:ins w:id="484" w:author="CMCC" w:date="2023-04-10T01:03:07Z">
              <w:r>
                <w:rPr>
                  <w:lang w:eastAsia="zh-CN"/>
                </w:rPr>
                <w:t>0..1</w:t>
              </w:r>
            </w:ins>
          </w:p>
        </w:tc>
        <w:tc>
          <w:tcPr>
            <w:tcW w:w="3329" w:type="dxa"/>
            <w:gridSpan w:val="2"/>
            <w:noWrap w:val="0"/>
            <w:vAlign w:val="top"/>
          </w:tcPr>
          <w:p>
            <w:pPr>
              <w:pStyle w:val="100"/>
              <w:rPr>
                <w:ins w:id="485" w:author="CMCC" w:date="2023-04-10T00:57:41Z"/>
              </w:rPr>
            </w:pPr>
            <w:ins w:id="486" w:author="CMCC2" w:date="2023-04-19T07:17:26Z">
              <w:r>
                <w:rPr/>
                <w:t>PDU Set QoS parameters for XRM traffic.</w:t>
              </w:r>
            </w:ins>
            <w:ins w:id="487" w:author="CMCC" w:date="2023-04-10T01:03:27Z">
              <w:del w:id="488" w:author="CMCC2" w:date="2023-04-19T07:04:58Z">
                <w:r>
                  <w:rPr>
                    <w:highlight w:val="none"/>
                  </w:rPr>
                  <w:delText xml:space="preserve">Transports QoS parameters for </w:delText>
                </w:r>
              </w:del>
            </w:ins>
            <w:ins w:id="489" w:author="CMCC" w:date="2023-04-10T01:03:27Z">
              <w:del w:id="490" w:author="CMCC2" w:date="2023-04-19T07:04:58Z">
                <w:r>
                  <w:rPr>
                    <w:rFonts w:hint="eastAsia" w:eastAsia="宋体"/>
                    <w:highlight w:val="none"/>
                    <w:lang w:val="en-US" w:eastAsia="zh-CN"/>
                  </w:rPr>
                  <w:delText>PDU Set traffic</w:delText>
                </w:r>
              </w:del>
            </w:ins>
            <w:ins w:id="491" w:author="CMCC" w:date="2023-04-10T01:03:27Z">
              <w:del w:id="492" w:author="CMCC2" w:date="2023-04-19T07:04:58Z">
                <w:r>
                  <w:rPr>
                    <w:highlight w:val="none"/>
                  </w:rPr>
                  <w:delText>.</w:delText>
                </w:r>
              </w:del>
            </w:ins>
          </w:p>
        </w:tc>
        <w:tc>
          <w:tcPr>
            <w:tcW w:w="1350" w:type="dxa"/>
            <w:gridSpan w:val="2"/>
            <w:noWrap w:val="0"/>
            <w:vAlign w:val="top"/>
          </w:tcPr>
          <w:p>
            <w:pPr>
              <w:pStyle w:val="100"/>
              <w:rPr>
                <w:ins w:id="493" w:author="CMCC" w:date="2023-04-10T00:57:41Z"/>
                <w:lang w:val="en-US"/>
              </w:rPr>
            </w:pPr>
            <w:ins w:id="494" w:author="CMCC" w:date="2023-04-10T18:40:11Z">
              <w:r>
                <w:rPr>
                  <w:rFonts w:hint="eastAsia" w:eastAsia="宋体" w:cs="Arial"/>
                  <w:szCs w:val="18"/>
                  <w:lang w:val="en-US" w:eastAsia="zh-CN"/>
                </w:rPr>
                <w:t>XRM_5G</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9619" w:type="dxa"/>
            <w:gridSpan w:val="12"/>
            <w:noWrap w:val="0"/>
            <w:vAlign w:val="top"/>
          </w:tcPr>
          <w:p>
            <w:pPr>
              <w:pStyle w:val="113"/>
            </w:pPr>
            <w:r>
              <w:t>NOTE 1:</w:t>
            </w:r>
            <w:r>
              <w:tab/>
            </w:r>
            <w:r>
              <w:t>The attributes "altSerReqs" and "altSerReqsData" are mutually exclusive.</w:t>
            </w:r>
          </w:p>
          <w:p>
            <w:pPr>
              <w:pStyle w:val="113"/>
              <w:rPr>
                <w:lang w:eastAsia="zh-CN"/>
              </w:rPr>
            </w:pPr>
            <w:r>
              <w:t>NOTE 2:</w:t>
            </w:r>
            <w:r>
              <w:tab/>
            </w:r>
            <w:r>
              <w:t>The "burstArrivalTimeWnd" attribute, within the "tscaiInputUl" and/or "tscaiInputDl" attributes, and the "capBatAdaptation" attribute are mutually exclusive.</w:t>
            </w:r>
          </w:p>
        </w:tc>
      </w:tr>
    </w:tbl>
    <w:p>
      <w:pPr>
        <w:pStyle w:val="123"/>
        <w:ind w:left="0" w:firstLine="0"/>
      </w:pPr>
    </w:p>
    <w:p>
      <w:pPr>
        <w:pStyle w:val="123"/>
        <w:ind w:left="0" w:firstLine="0"/>
        <w:rPr>
          <w:del w:id="495" w:author="CMCC2" w:date="2023-04-19T07:14:32Z"/>
        </w:rPr>
      </w:pPr>
    </w:p>
    <w:p>
      <w:pPr>
        <w:pBdr>
          <w:top w:val="single" w:color="auto" w:sz="4" w:space="1"/>
          <w:left w:val="single" w:color="auto" w:sz="4" w:space="4"/>
          <w:bottom w:val="single" w:color="auto" w:sz="4" w:space="0"/>
          <w:right w:val="single" w:color="auto" w:sz="4" w:space="4"/>
        </w:pBdr>
        <w:jc w:val="center"/>
        <w:outlineLvl w:val="0"/>
        <w:rPr>
          <w:del w:id="496" w:author="CMCC2" w:date="2023-04-19T07:14:32Z"/>
          <w:rFonts w:ascii="Arial" w:hAnsi="Arial" w:cs="Arial"/>
          <w:color w:val="0000FF"/>
          <w:sz w:val="28"/>
          <w:szCs w:val="28"/>
        </w:rPr>
      </w:pPr>
      <w:del w:id="497" w:author="CMCC2" w:date="2023-04-19T07:14:32Z">
        <w:r>
          <w:rPr>
            <w:rFonts w:ascii="Arial" w:hAnsi="Arial" w:cs="Arial"/>
            <w:color w:val="0000FF"/>
            <w:sz w:val="28"/>
            <w:szCs w:val="28"/>
          </w:rPr>
          <w:delText>*** Next Change ***</w:delText>
        </w:r>
      </w:del>
    </w:p>
    <w:p>
      <w:pPr>
        <w:pStyle w:val="6"/>
        <w:rPr>
          <w:ins w:id="498" w:author="CMCC" w:date="2023-04-10T05:25:15Z"/>
          <w:del w:id="499" w:author="CMCC2" w:date="2023-04-19T07:14:32Z"/>
        </w:rPr>
      </w:pPr>
      <w:ins w:id="500" w:author="CMCC" w:date="2023-04-10T05:25:15Z">
        <w:del w:id="501" w:author="CMCC2" w:date="2023-04-19T07:14:32Z">
          <w:r>
            <w:rPr/>
            <w:delText>5.6.2.</w:delText>
          </w:r>
        </w:del>
      </w:ins>
      <w:ins w:id="502" w:author="CMCC" w:date="2023-04-10T05:25:15Z">
        <w:del w:id="503" w:author="CMCC2" w:date="2023-04-19T07:14:32Z">
          <w:r>
            <w:rPr>
              <w:rFonts w:hint="eastAsia" w:eastAsia="宋体"/>
              <w:lang w:val="en-US" w:eastAsia="zh-CN"/>
            </w:rPr>
            <w:delText>X1</w:delText>
          </w:r>
        </w:del>
      </w:ins>
      <w:ins w:id="504" w:author="CMCC" w:date="2023-04-10T05:25:15Z">
        <w:del w:id="505" w:author="CMCC2" w:date="2023-04-19T07:14:32Z">
          <w:r>
            <w:rPr/>
            <w:tab/>
          </w:r>
        </w:del>
      </w:ins>
      <w:ins w:id="506" w:author="CMCC" w:date="2023-04-10T05:25:15Z">
        <w:del w:id="507" w:author="CMCC2" w:date="2023-04-19T07:14:32Z">
          <w:r>
            <w:rPr/>
            <w:delText xml:space="preserve">Type </w:delText>
          </w:r>
        </w:del>
      </w:ins>
      <w:ins w:id="508" w:author="CMCC" w:date="2023-04-10T05:25:15Z">
        <w:del w:id="509" w:author="CMCC2" w:date="2023-04-19T07:14:32Z">
          <w:r>
            <w:rPr>
              <w:rFonts w:hint="eastAsia" w:eastAsia="宋体"/>
              <w:lang w:val="en-US" w:eastAsia="zh-CN"/>
            </w:rPr>
            <w:delText>PduSetQosContainer</w:delText>
          </w:r>
        </w:del>
      </w:ins>
    </w:p>
    <w:p>
      <w:pPr>
        <w:pStyle w:val="102"/>
        <w:rPr>
          <w:ins w:id="510" w:author="CMCC" w:date="2023-04-10T05:25:15Z"/>
          <w:del w:id="511" w:author="CMCC2" w:date="2023-04-19T07:14:32Z"/>
        </w:rPr>
      </w:pPr>
      <w:ins w:id="512" w:author="CMCC" w:date="2023-04-10T05:25:15Z">
        <w:del w:id="513" w:author="CMCC2" w:date="2023-04-19T07:14:32Z">
          <w:r>
            <w:rPr/>
            <w:delText>Table 5.6.2.</w:delText>
          </w:r>
        </w:del>
      </w:ins>
      <w:ins w:id="514" w:author="CMCC" w:date="2023-04-10T05:25:15Z">
        <w:del w:id="515" w:author="CMCC2" w:date="2023-04-19T07:14:32Z">
          <w:r>
            <w:rPr>
              <w:rFonts w:hint="eastAsia" w:eastAsia="宋体"/>
              <w:lang w:val="en-US" w:eastAsia="zh-CN"/>
            </w:rPr>
            <w:delText>X1</w:delText>
          </w:r>
        </w:del>
      </w:ins>
      <w:ins w:id="516" w:author="CMCC" w:date="2023-04-10T05:25:15Z">
        <w:del w:id="517" w:author="CMCC2" w:date="2023-04-19T07:14:32Z">
          <w:r>
            <w:rPr/>
            <w:delText xml:space="preserve">-1: Definition of type </w:delText>
          </w:r>
        </w:del>
      </w:ins>
      <w:ins w:id="518" w:author="CMCC" w:date="2023-04-10T05:25:15Z">
        <w:del w:id="519" w:author="CMCC2" w:date="2023-04-19T07:14:32Z">
          <w:r>
            <w:rPr>
              <w:rFonts w:hint="eastAsia" w:eastAsia="宋体"/>
              <w:lang w:val="en-US" w:eastAsia="zh-CN"/>
            </w:rPr>
            <w:delText>PduSetQosContainer</w:delText>
          </w:r>
        </w:del>
      </w:ins>
    </w:p>
    <w:tbl>
      <w:tblPr>
        <w:tblStyle w:val="89"/>
        <w:tblW w:w="967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15" w:type="dxa"/>
        </w:tblCellMar>
      </w:tblPr>
      <w:tblGrid>
        <w:gridCol w:w="1755"/>
        <w:gridCol w:w="1506"/>
        <w:gridCol w:w="384"/>
        <w:gridCol w:w="1170"/>
        <w:gridCol w:w="3510"/>
        <w:gridCol w:w="133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blHeader/>
          <w:jc w:val="center"/>
          <w:ins w:id="520" w:author="CMCC" w:date="2023-04-10T05:25:15Z"/>
          <w:del w:id="521" w:author="CMCC2" w:date="2023-04-19T07:14:32Z"/>
        </w:trPr>
        <w:tc>
          <w:tcPr>
            <w:tcW w:w="1755" w:type="dxa"/>
            <w:shd w:val="clear" w:color="auto" w:fill="C0C0C0"/>
            <w:noWrap w:val="0"/>
            <w:vAlign w:val="top"/>
          </w:tcPr>
          <w:p>
            <w:pPr>
              <w:pStyle w:val="98"/>
              <w:rPr>
                <w:ins w:id="522" w:author="CMCC" w:date="2023-04-10T05:25:15Z"/>
                <w:del w:id="523" w:author="CMCC2" w:date="2023-04-19T07:14:32Z"/>
              </w:rPr>
            </w:pPr>
            <w:ins w:id="524" w:author="CMCC" w:date="2023-04-10T05:25:15Z">
              <w:del w:id="525" w:author="CMCC2" w:date="2023-04-19T07:14:32Z">
                <w:r>
                  <w:rPr/>
                  <w:delText>Attribute name</w:delText>
                </w:r>
              </w:del>
            </w:ins>
          </w:p>
        </w:tc>
        <w:tc>
          <w:tcPr>
            <w:tcW w:w="1506" w:type="dxa"/>
            <w:shd w:val="clear" w:color="auto" w:fill="C0C0C0"/>
            <w:noWrap w:val="0"/>
            <w:vAlign w:val="top"/>
          </w:tcPr>
          <w:p>
            <w:pPr>
              <w:pStyle w:val="98"/>
              <w:rPr>
                <w:ins w:id="526" w:author="CMCC" w:date="2023-04-10T05:25:15Z"/>
                <w:del w:id="527" w:author="CMCC2" w:date="2023-04-19T07:14:32Z"/>
              </w:rPr>
            </w:pPr>
            <w:ins w:id="528" w:author="CMCC" w:date="2023-04-10T05:25:15Z">
              <w:del w:id="529" w:author="CMCC2" w:date="2023-04-19T07:14:32Z">
                <w:r>
                  <w:rPr/>
                  <w:delText>Data type</w:delText>
                </w:r>
              </w:del>
            </w:ins>
          </w:p>
        </w:tc>
        <w:tc>
          <w:tcPr>
            <w:tcW w:w="384" w:type="dxa"/>
            <w:shd w:val="clear" w:color="auto" w:fill="C0C0C0"/>
            <w:noWrap w:val="0"/>
            <w:vAlign w:val="top"/>
          </w:tcPr>
          <w:p>
            <w:pPr>
              <w:pStyle w:val="98"/>
              <w:rPr>
                <w:ins w:id="530" w:author="CMCC" w:date="2023-04-10T05:25:15Z"/>
                <w:del w:id="531" w:author="CMCC2" w:date="2023-04-19T07:14:32Z"/>
              </w:rPr>
            </w:pPr>
            <w:ins w:id="532" w:author="CMCC" w:date="2023-04-10T05:25:15Z">
              <w:del w:id="533" w:author="CMCC2" w:date="2023-04-19T07:14:32Z">
                <w:r>
                  <w:rPr/>
                  <w:delText>P</w:delText>
                </w:r>
              </w:del>
            </w:ins>
          </w:p>
        </w:tc>
        <w:tc>
          <w:tcPr>
            <w:tcW w:w="1170" w:type="dxa"/>
            <w:shd w:val="clear" w:color="auto" w:fill="C0C0C0"/>
            <w:noWrap w:val="0"/>
            <w:vAlign w:val="top"/>
          </w:tcPr>
          <w:p>
            <w:pPr>
              <w:pStyle w:val="98"/>
              <w:rPr>
                <w:ins w:id="534" w:author="CMCC" w:date="2023-04-10T05:25:15Z"/>
                <w:del w:id="535" w:author="CMCC2" w:date="2023-04-19T07:14:32Z"/>
              </w:rPr>
            </w:pPr>
            <w:ins w:id="536" w:author="CMCC" w:date="2023-04-10T05:25:15Z">
              <w:del w:id="537" w:author="CMCC2" w:date="2023-04-19T07:14:32Z">
                <w:r>
                  <w:rPr/>
                  <w:delText>Cardinality</w:delText>
                </w:r>
              </w:del>
            </w:ins>
          </w:p>
        </w:tc>
        <w:tc>
          <w:tcPr>
            <w:tcW w:w="3510" w:type="dxa"/>
            <w:shd w:val="clear" w:color="auto" w:fill="C0C0C0"/>
            <w:noWrap w:val="0"/>
            <w:vAlign w:val="top"/>
          </w:tcPr>
          <w:p>
            <w:pPr>
              <w:pStyle w:val="98"/>
              <w:rPr>
                <w:ins w:id="538" w:author="CMCC" w:date="2023-04-10T05:25:15Z"/>
                <w:del w:id="539" w:author="CMCC2" w:date="2023-04-19T07:14:32Z"/>
              </w:rPr>
            </w:pPr>
            <w:ins w:id="540" w:author="CMCC" w:date="2023-04-10T05:25:15Z">
              <w:del w:id="541" w:author="CMCC2" w:date="2023-04-19T07:14:32Z">
                <w:r>
                  <w:rPr/>
                  <w:delText>Description</w:delText>
                </w:r>
              </w:del>
            </w:ins>
          </w:p>
        </w:tc>
        <w:tc>
          <w:tcPr>
            <w:tcW w:w="1331" w:type="dxa"/>
            <w:shd w:val="clear" w:color="auto" w:fill="C0C0C0"/>
            <w:noWrap w:val="0"/>
            <w:vAlign w:val="top"/>
          </w:tcPr>
          <w:p>
            <w:pPr>
              <w:pStyle w:val="98"/>
              <w:rPr>
                <w:ins w:id="542" w:author="CMCC" w:date="2023-04-10T05:25:15Z"/>
                <w:del w:id="543" w:author="CMCC2" w:date="2023-04-19T07:14:32Z"/>
              </w:rPr>
            </w:pPr>
            <w:ins w:id="544" w:author="CMCC" w:date="2023-04-10T05:25:15Z">
              <w:del w:id="545" w:author="CMCC2" w:date="2023-04-19T07:14:32Z">
                <w:r>
                  <w:rPr/>
                  <w:delText>Applicability</w:delText>
                </w:r>
              </w:del>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ins w:id="546" w:author="CMCC" w:date="2023-04-10T05:25:15Z"/>
          <w:del w:id="547" w:author="CMCC2" w:date="2023-04-19T07:14:32Z"/>
        </w:trPr>
        <w:tc>
          <w:tcPr>
            <w:tcW w:w="1755" w:type="dxa"/>
            <w:noWrap w:val="0"/>
            <w:vAlign w:val="top"/>
          </w:tcPr>
          <w:p>
            <w:pPr>
              <w:pStyle w:val="100"/>
              <w:rPr>
                <w:ins w:id="548" w:author="CMCC" w:date="2023-04-10T05:25:15Z"/>
                <w:del w:id="549" w:author="CMCC2" w:date="2023-04-19T07:14:32Z"/>
                <w:highlight w:val="none"/>
              </w:rPr>
            </w:pPr>
            <w:ins w:id="550" w:author="CMCC" w:date="2023-04-10T05:25:15Z">
              <w:del w:id="551" w:author="CMCC2" w:date="2023-04-19T07:14:32Z">
                <w:r>
                  <w:rPr>
                    <w:rFonts w:hint="eastAsia" w:eastAsia="宋体"/>
                    <w:highlight w:val="none"/>
                    <w:lang w:val="en-US" w:eastAsia="zh-CN"/>
                  </w:rPr>
                  <w:delText>pduSetDelayBudget</w:delText>
                </w:r>
              </w:del>
            </w:ins>
          </w:p>
        </w:tc>
        <w:tc>
          <w:tcPr>
            <w:tcW w:w="1506" w:type="dxa"/>
            <w:noWrap w:val="0"/>
            <w:vAlign w:val="top"/>
          </w:tcPr>
          <w:p>
            <w:pPr>
              <w:pStyle w:val="100"/>
              <w:rPr>
                <w:ins w:id="552" w:author="CMCC" w:date="2023-04-10T05:25:15Z"/>
                <w:del w:id="553" w:author="CMCC2" w:date="2023-04-19T07:14:32Z"/>
                <w:highlight w:val="none"/>
              </w:rPr>
            </w:pPr>
            <w:ins w:id="554" w:author="CMCC" w:date="2023-04-10T05:25:15Z">
              <w:del w:id="555" w:author="CMCC2" w:date="2023-04-19T07:14:32Z">
                <w:r>
                  <w:rPr>
                    <w:highlight w:val="none"/>
                  </w:rPr>
                  <w:delText>Integer</w:delText>
                </w:r>
              </w:del>
            </w:ins>
          </w:p>
        </w:tc>
        <w:tc>
          <w:tcPr>
            <w:tcW w:w="384" w:type="dxa"/>
            <w:noWrap w:val="0"/>
            <w:vAlign w:val="top"/>
          </w:tcPr>
          <w:p>
            <w:pPr>
              <w:pStyle w:val="99"/>
              <w:rPr>
                <w:ins w:id="556" w:author="CMCC" w:date="2023-04-10T05:25:15Z"/>
                <w:del w:id="557" w:author="CMCC2" w:date="2023-04-19T07:14:32Z"/>
                <w:highlight w:val="none"/>
              </w:rPr>
            </w:pPr>
            <w:ins w:id="558" w:author="CMCC" w:date="2023-04-10T05:25:15Z">
              <w:del w:id="559" w:author="CMCC2" w:date="2023-04-19T07:14:32Z">
                <w:r>
                  <w:rPr>
                    <w:highlight w:val="none"/>
                  </w:rPr>
                  <w:delText>O</w:delText>
                </w:r>
              </w:del>
            </w:ins>
          </w:p>
        </w:tc>
        <w:tc>
          <w:tcPr>
            <w:tcW w:w="1170" w:type="dxa"/>
            <w:noWrap w:val="0"/>
            <w:vAlign w:val="top"/>
          </w:tcPr>
          <w:p>
            <w:pPr>
              <w:pStyle w:val="99"/>
              <w:rPr>
                <w:ins w:id="560" w:author="CMCC" w:date="2023-04-10T05:25:15Z"/>
                <w:del w:id="561" w:author="CMCC2" w:date="2023-04-19T07:14:32Z"/>
                <w:highlight w:val="none"/>
              </w:rPr>
            </w:pPr>
            <w:ins w:id="562" w:author="CMCC" w:date="2023-04-10T05:25:15Z">
              <w:del w:id="563" w:author="CMCC2" w:date="2023-04-19T07:14:32Z">
                <w:r>
                  <w:rPr>
                    <w:highlight w:val="none"/>
                  </w:rPr>
                  <w:delText>0..1</w:delText>
                </w:r>
              </w:del>
            </w:ins>
          </w:p>
        </w:tc>
        <w:tc>
          <w:tcPr>
            <w:tcW w:w="3510" w:type="dxa"/>
            <w:noWrap w:val="0"/>
            <w:vAlign w:val="top"/>
          </w:tcPr>
          <w:p>
            <w:pPr>
              <w:pStyle w:val="100"/>
              <w:rPr>
                <w:ins w:id="564" w:author="CMCC" w:date="2023-04-10T05:25:15Z"/>
                <w:del w:id="565" w:author="CMCC2" w:date="2023-04-19T07:14:32Z"/>
                <w:rFonts w:hint="eastAsia" w:eastAsia="宋体"/>
                <w:highlight w:val="none"/>
                <w:lang w:val="en-US" w:eastAsia="zh-CN"/>
              </w:rPr>
            </w:pPr>
            <w:ins w:id="566" w:author="CMCC" w:date="2023-04-10T05:25:15Z">
              <w:del w:id="567" w:author="CMCC2" w:date="2023-04-19T07:14:32Z">
                <w:r>
                  <w:rPr>
                    <w:rFonts w:hint="eastAsia"/>
                    <w:highlight w:val="none"/>
                    <w:lang w:val="en-US" w:eastAsia="zh-CN"/>
                  </w:rPr>
                  <w:delText>Indicates t</w:delText>
                </w:r>
              </w:del>
            </w:ins>
            <w:ins w:id="568" w:author="CMCC" w:date="2023-04-10T05:25:15Z">
              <w:del w:id="569" w:author="CMCC2" w:date="2023-04-19T07:14:32Z">
                <w:r>
                  <w:rPr>
                    <w:highlight w:val="none"/>
                    <w:lang w:eastAsia="ko-KR"/>
                  </w:rPr>
                  <w:delText>he PDU Set Delay Budget</w:delText>
                </w:r>
              </w:del>
            </w:ins>
            <w:ins w:id="570" w:author="CMCC" w:date="2023-04-10T05:25:15Z">
              <w:del w:id="571" w:author="CMCC2" w:date="2023-04-19T07:14:32Z">
                <w:r>
                  <w:rPr>
                    <w:highlight w:val="none"/>
                    <w:lang w:eastAsia="zh-CN"/>
                  </w:rPr>
                  <w:delText xml:space="preserve"> (</w:delText>
                </w:r>
              </w:del>
            </w:ins>
            <w:ins w:id="572" w:author="CMCC" w:date="2023-04-10T05:25:15Z">
              <w:del w:id="573" w:author="CMCC2" w:date="2023-04-19T07:14:32Z">
                <w:r>
                  <w:rPr>
                    <w:highlight w:val="none"/>
                  </w:rPr>
                  <w:delText>see clauses 5.7.</w:delText>
                </w:r>
              </w:del>
            </w:ins>
            <w:ins w:id="574" w:author="CMCC" w:date="2023-04-10T05:25:15Z">
              <w:del w:id="575" w:author="CMCC2" w:date="2023-04-19T07:14:32Z">
                <w:r>
                  <w:rPr>
                    <w:rFonts w:hint="eastAsia" w:eastAsia="宋体"/>
                    <w:highlight w:val="none"/>
                    <w:lang w:val="en-US" w:eastAsia="zh-CN"/>
                  </w:rPr>
                  <w:delText>7</w:delText>
                </w:r>
              </w:del>
            </w:ins>
            <w:ins w:id="576" w:author="CMCC" w:date="2023-04-10T05:25:15Z">
              <w:del w:id="577" w:author="CMCC2" w:date="2023-04-19T07:14:32Z">
                <w:r>
                  <w:rPr>
                    <w:highlight w:val="none"/>
                  </w:rPr>
                  <w:delText>.</w:delText>
                </w:r>
              </w:del>
            </w:ins>
            <w:ins w:id="578" w:author="CMCC" w:date="2023-04-10T05:25:15Z">
              <w:del w:id="579" w:author="CMCC2" w:date="2023-04-19T07:14:32Z">
                <w:r>
                  <w:rPr>
                    <w:rFonts w:hint="eastAsia" w:eastAsia="宋体"/>
                    <w:highlight w:val="none"/>
                    <w:lang w:val="en-US" w:eastAsia="zh-CN"/>
                  </w:rPr>
                  <w:delText>2</w:delText>
                </w:r>
              </w:del>
            </w:ins>
            <w:ins w:id="580" w:author="CMCC" w:date="2023-04-10T05:25:15Z">
              <w:del w:id="581" w:author="CMCC2" w:date="2023-04-19T07:14:32Z">
                <w:r>
                  <w:rPr>
                    <w:highlight w:val="none"/>
                  </w:rPr>
                  <w:delText xml:space="preserve"> </w:delText>
                </w:r>
              </w:del>
            </w:ins>
            <w:ins w:id="582" w:author="CMCC" w:date="2023-04-10T05:25:15Z">
              <w:del w:id="583" w:author="CMCC2" w:date="2023-04-19T07:14:32Z">
                <w:r>
                  <w:rPr>
                    <w:highlight w:val="none"/>
                    <w:lang w:eastAsia="zh-CN"/>
                  </w:rPr>
                  <w:delText>of 3GPP TS 23.501 [</w:delText>
                </w:r>
              </w:del>
            </w:ins>
            <w:ins w:id="584" w:author="CMCC" w:date="2023-04-10T05:25:15Z">
              <w:del w:id="585" w:author="CMCC2" w:date="2023-04-19T07:14:32Z">
                <w:r>
                  <w:rPr>
                    <w:rFonts w:hint="eastAsia"/>
                    <w:highlight w:val="none"/>
                    <w:lang w:val="en-US" w:eastAsia="zh-CN"/>
                  </w:rPr>
                  <w:delText>2</w:delText>
                </w:r>
              </w:del>
            </w:ins>
            <w:ins w:id="586" w:author="CMCC" w:date="2023-04-10T05:25:15Z">
              <w:del w:id="587" w:author="CMCC2" w:date="2023-04-19T07:14:32Z">
                <w:r>
                  <w:rPr>
                    <w:highlight w:val="none"/>
                    <w:lang w:eastAsia="zh-CN"/>
                  </w:rPr>
                  <w:delText xml:space="preserve">])), </w:delText>
                </w:r>
              </w:del>
            </w:ins>
            <w:ins w:id="588" w:author="CMCC" w:date="2023-04-10T05:25:15Z">
              <w:del w:id="589" w:author="CMCC2" w:date="2023-04-19T07:14:32Z">
                <w:r>
                  <w:rPr>
                    <w:highlight w:val="none"/>
                  </w:rPr>
                  <w:delText>expressed in milliseconds.</w:delText>
                </w:r>
              </w:del>
            </w:ins>
          </w:p>
        </w:tc>
        <w:tc>
          <w:tcPr>
            <w:tcW w:w="1331" w:type="dxa"/>
            <w:noWrap w:val="0"/>
            <w:vAlign w:val="top"/>
          </w:tcPr>
          <w:p>
            <w:pPr>
              <w:pStyle w:val="100"/>
              <w:rPr>
                <w:ins w:id="590" w:author="CMCC" w:date="2023-04-10T05:25:15Z"/>
                <w:del w:id="591" w:author="CMCC2" w:date="2023-04-19T07:14:32Z"/>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ins w:id="592" w:author="CMCC" w:date="2023-04-10T05:25:15Z"/>
          <w:del w:id="593" w:author="CMCC2" w:date="2023-04-19T07:14:32Z"/>
        </w:trPr>
        <w:tc>
          <w:tcPr>
            <w:tcW w:w="1755" w:type="dxa"/>
            <w:noWrap w:val="0"/>
            <w:vAlign w:val="top"/>
          </w:tcPr>
          <w:p>
            <w:pPr>
              <w:pStyle w:val="100"/>
              <w:rPr>
                <w:ins w:id="594" w:author="CMCC" w:date="2023-04-10T05:25:15Z"/>
                <w:del w:id="595" w:author="CMCC2" w:date="2023-04-19T07:14:32Z"/>
                <w:highlight w:val="none"/>
              </w:rPr>
            </w:pPr>
            <w:ins w:id="596" w:author="CMCC" w:date="2023-04-10T05:25:15Z">
              <w:del w:id="597" w:author="CMCC2" w:date="2023-04-19T07:14:32Z">
                <w:r>
                  <w:rPr>
                    <w:rFonts w:hint="eastAsia" w:eastAsia="宋体"/>
                    <w:highlight w:val="none"/>
                    <w:lang w:val="en-US" w:eastAsia="zh-CN"/>
                  </w:rPr>
                  <w:delText>pduSetErrorRate</w:delText>
                </w:r>
              </w:del>
            </w:ins>
          </w:p>
        </w:tc>
        <w:tc>
          <w:tcPr>
            <w:tcW w:w="1506" w:type="dxa"/>
            <w:noWrap w:val="0"/>
            <w:vAlign w:val="top"/>
          </w:tcPr>
          <w:p>
            <w:pPr>
              <w:pStyle w:val="100"/>
              <w:rPr>
                <w:ins w:id="598" w:author="CMCC" w:date="2023-04-10T05:25:15Z"/>
                <w:del w:id="599" w:author="CMCC2" w:date="2023-04-19T07:14:32Z"/>
                <w:rFonts w:hint="default" w:eastAsia="宋体"/>
                <w:highlight w:val="none"/>
                <w:lang w:val="en-US" w:eastAsia="zh-CN"/>
              </w:rPr>
            </w:pPr>
            <w:ins w:id="600" w:author="CMCC" w:date="2023-04-10T05:25:15Z">
              <w:del w:id="601" w:author="CMCC2" w:date="2023-04-19T07:14:32Z">
                <w:r>
                  <w:rPr>
                    <w:highlight w:val="none"/>
                  </w:rPr>
                  <w:delText>string</w:delText>
                </w:r>
              </w:del>
            </w:ins>
          </w:p>
        </w:tc>
        <w:tc>
          <w:tcPr>
            <w:tcW w:w="384" w:type="dxa"/>
            <w:noWrap w:val="0"/>
            <w:vAlign w:val="top"/>
          </w:tcPr>
          <w:p>
            <w:pPr>
              <w:pStyle w:val="99"/>
              <w:rPr>
                <w:ins w:id="602" w:author="CMCC" w:date="2023-04-10T05:25:15Z"/>
                <w:del w:id="603" w:author="CMCC2" w:date="2023-04-19T07:14:32Z"/>
                <w:highlight w:val="none"/>
              </w:rPr>
            </w:pPr>
            <w:ins w:id="604" w:author="CMCC" w:date="2023-04-10T05:25:15Z">
              <w:del w:id="605" w:author="CMCC2" w:date="2023-04-19T07:14:32Z">
                <w:r>
                  <w:rPr>
                    <w:highlight w:val="none"/>
                  </w:rPr>
                  <w:delText>O</w:delText>
                </w:r>
              </w:del>
            </w:ins>
          </w:p>
        </w:tc>
        <w:tc>
          <w:tcPr>
            <w:tcW w:w="1170" w:type="dxa"/>
            <w:noWrap w:val="0"/>
            <w:vAlign w:val="top"/>
          </w:tcPr>
          <w:p>
            <w:pPr>
              <w:pStyle w:val="99"/>
              <w:rPr>
                <w:ins w:id="606" w:author="CMCC" w:date="2023-04-10T05:25:15Z"/>
                <w:del w:id="607" w:author="CMCC2" w:date="2023-04-19T07:14:32Z"/>
                <w:highlight w:val="none"/>
              </w:rPr>
            </w:pPr>
            <w:ins w:id="608" w:author="CMCC" w:date="2023-04-10T05:25:15Z">
              <w:del w:id="609" w:author="CMCC2" w:date="2023-04-19T07:14:32Z">
                <w:r>
                  <w:rPr>
                    <w:highlight w:val="none"/>
                  </w:rPr>
                  <w:delText>0..1</w:delText>
                </w:r>
              </w:del>
            </w:ins>
          </w:p>
        </w:tc>
        <w:tc>
          <w:tcPr>
            <w:tcW w:w="3510" w:type="dxa"/>
            <w:noWrap w:val="0"/>
            <w:vAlign w:val="top"/>
          </w:tcPr>
          <w:p>
            <w:pPr>
              <w:pStyle w:val="100"/>
              <w:rPr>
                <w:ins w:id="610" w:author="CMCC" w:date="2023-04-10T05:25:15Z"/>
                <w:del w:id="611" w:author="CMCC2" w:date="2023-04-19T07:14:32Z"/>
                <w:highlight w:val="none"/>
              </w:rPr>
            </w:pPr>
            <w:ins w:id="612" w:author="CMCC" w:date="2023-04-10T05:25:15Z">
              <w:del w:id="613" w:author="CMCC2" w:date="2023-04-19T07:14:32Z">
                <w:r>
                  <w:rPr>
                    <w:rFonts w:hint="eastAsia"/>
                    <w:highlight w:val="none"/>
                    <w:lang w:val="en-US" w:eastAsia="zh-CN"/>
                  </w:rPr>
                  <w:delText>Indicated the</w:delText>
                </w:r>
              </w:del>
            </w:ins>
            <w:ins w:id="614" w:author="CMCC" w:date="2023-04-10T05:25:15Z">
              <w:del w:id="615" w:author="CMCC2" w:date="2023-04-19T07:14:32Z">
                <w:r>
                  <w:rPr>
                    <w:highlight w:val="none"/>
                    <w:lang w:eastAsia="zh-CN"/>
                  </w:rPr>
                  <w:delText xml:space="preserve"> </w:delText>
                </w:r>
              </w:del>
            </w:ins>
            <w:ins w:id="616" w:author="CMCC" w:date="2023-04-10T05:25:15Z">
              <w:del w:id="617" w:author="CMCC2" w:date="2023-04-19T07:14:32Z">
                <w:r>
                  <w:rPr>
                    <w:highlight w:val="none"/>
                    <w:lang w:eastAsia="ko-KR"/>
                  </w:rPr>
                  <w:delText>PDU Set</w:delText>
                </w:r>
              </w:del>
            </w:ins>
            <w:ins w:id="618" w:author="CMCC" w:date="2023-04-10T05:25:15Z">
              <w:del w:id="619" w:author="CMCC2" w:date="2023-04-19T07:14:32Z">
                <w:r>
                  <w:rPr>
                    <w:highlight w:val="none"/>
                    <w:lang w:eastAsia="zh-CN"/>
                  </w:rPr>
                  <w:delText xml:space="preserve"> Error Rate </w:delText>
                </w:r>
              </w:del>
            </w:ins>
            <w:ins w:id="620" w:author="CMCC" w:date="2023-04-10T05:25:15Z">
              <w:del w:id="621" w:author="CMCC2" w:date="2023-04-19T07:14:32Z">
                <w:r>
                  <w:rPr>
                    <w:highlight w:val="none"/>
                  </w:rPr>
                  <w:delText>(see clause 5.7.</w:delText>
                </w:r>
              </w:del>
            </w:ins>
            <w:ins w:id="622" w:author="CMCC" w:date="2023-04-10T05:25:15Z">
              <w:del w:id="623" w:author="CMCC2" w:date="2023-04-19T07:14:32Z">
                <w:r>
                  <w:rPr>
                    <w:rFonts w:hint="eastAsia" w:eastAsia="宋体"/>
                    <w:highlight w:val="none"/>
                    <w:lang w:val="en-US" w:eastAsia="zh-CN"/>
                  </w:rPr>
                  <w:delText>7</w:delText>
                </w:r>
              </w:del>
            </w:ins>
            <w:ins w:id="624" w:author="CMCC" w:date="2023-04-10T05:25:15Z">
              <w:del w:id="625" w:author="CMCC2" w:date="2023-04-19T07:14:32Z">
                <w:r>
                  <w:rPr>
                    <w:highlight w:val="none"/>
                  </w:rPr>
                  <w:delText>.</w:delText>
                </w:r>
              </w:del>
            </w:ins>
            <w:ins w:id="626" w:author="CMCC" w:date="2023-04-10T05:25:15Z">
              <w:del w:id="627" w:author="CMCC2" w:date="2023-04-19T07:14:32Z">
                <w:r>
                  <w:rPr>
                    <w:rFonts w:hint="eastAsia" w:eastAsia="宋体"/>
                    <w:highlight w:val="none"/>
                    <w:lang w:val="en-US" w:eastAsia="zh-CN"/>
                  </w:rPr>
                  <w:delText>3</w:delText>
                </w:r>
              </w:del>
            </w:ins>
            <w:ins w:id="628" w:author="CMCC" w:date="2023-04-10T05:25:15Z">
              <w:del w:id="629" w:author="CMCC2" w:date="2023-04-19T07:14:32Z">
                <w:r>
                  <w:rPr>
                    <w:highlight w:val="none"/>
                  </w:rPr>
                  <w:delText xml:space="preserve"> of 3GPP TS 23.501 [</w:delText>
                </w:r>
              </w:del>
            </w:ins>
            <w:ins w:id="630" w:author="CMCC" w:date="2023-04-10T05:25:15Z">
              <w:del w:id="631" w:author="CMCC2" w:date="2023-04-19T07:14:32Z">
                <w:r>
                  <w:rPr>
                    <w:rFonts w:hint="eastAsia" w:eastAsia="宋体"/>
                    <w:highlight w:val="none"/>
                    <w:lang w:val="en-US" w:eastAsia="zh-CN"/>
                  </w:rPr>
                  <w:delText>2</w:delText>
                </w:r>
              </w:del>
            </w:ins>
            <w:ins w:id="632" w:author="CMCC" w:date="2023-04-10T05:25:15Z">
              <w:del w:id="633" w:author="CMCC2" w:date="2023-04-19T07:14:32Z">
                <w:r>
                  <w:rPr>
                    <w:highlight w:val="none"/>
                  </w:rPr>
                  <w:delText xml:space="preserve">]), </w:delText>
                </w:r>
              </w:del>
            </w:ins>
            <w:ins w:id="634" w:author="CMCC" w:date="2023-04-10T05:25:15Z">
              <w:del w:id="635" w:author="CMCC2" w:date="2023-04-19T07:14:32Z">
                <w:r>
                  <w:rPr>
                    <w:rFonts w:cs="Arial"/>
                    <w:szCs w:val="18"/>
                    <w:highlight w:val="none"/>
                  </w:rPr>
                  <w:delText xml:space="preserve">expressed as </w:delText>
                </w:r>
              </w:del>
            </w:ins>
            <w:ins w:id="636" w:author="CMCC" w:date="2023-04-10T05:25:15Z">
              <w:del w:id="637" w:author="CMCC2" w:date="2023-04-19T07:14:32Z">
                <w:r>
                  <w:rPr>
                    <w:szCs w:val="22"/>
                    <w:highlight w:val="none"/>
                  </w:rPr>
                  <w:delText>a "</w:delText>
                </w:r>
              </w:del>
            </w:ins>
            <w:ins w:id="638" w:author="CMCC" w:date="2023-04-10T05:25:15Z">
              <w:del w:id="639" w:author="CMCC2" w:date="2023-04-19T07:14:32Z">
                <w:r>
                  <w:rPr>
                    <w:i/>
                    <w:szCs w:val="22"/>
                    <w:highlight w:val="none"/>
                  </w:rPr>
                  <w:delText>scalar</w:delText>
                </w:r>
              </w:del>
            </w:ins>
            <w:ins w:id="640" w:author="CMCC" w:date="2023-04-10T05:25:15Z">
              <w:del w:id="641" w:author="CMCC2" w:date="2023-04-19T07:14:32Z">
                <w:r>
                  <w:rPr>
                    <w:szCs w:val="22"/>
                    <w:highlight w:val="none"/>
                  </w:rPr>
                  <w:delText xml:space="preserve"> x 10-k" where the scalar and the </w:delText>
                </w:r>
              </w:del>
            </w:ins>
            <w:ins w:id="642" w:author="CMCC" w:date="2023-04-10T05:25:15Z">
              <w:del w:id="643" w:author="CMCC2" w:date="2023-04-19T07:14:32Z">
                <w:r>
                  <w:rPr>
                    <w:i/>
                    <w:szCs w:val="22"/>
                    <w:highlight w:val="none"/>
                  </w:rPr>
                  <w:delText>exponent k are each encoded as one decimal digit</w:delText>
                </w:r>
              </w:del>
            </w:ins>
            <w:ins w:id="644" w:author="CMCC" w:date="2023-04-10T05:25:15Z">
              <w:del w:id="645" w:author="CMCC2" w:date="2023-04-19T07:14:32Z">
                <w:r>
                  <w:rPr>
                    <w:highlight w:val="none"/>
                  </w:rPr>
                  <w:delText>.</w:delText>
                </w:r>
              </w:del>
            </w:ins>
          </w:p>
          <w:p>
            <w:pPr>
              <w:pStyle w:val="100"/>
              <w:rPr>
                <w:ins w:id="646" w:author="CMCC" w:date="2023-04-10T05:25:15Z"/>
                <w:del w:id="647" w:author="CMCC2" w:date="2023-04-19T07:14:32Z"/>
                <w:rFonts w:hint="eastAsia" w:eastAsia="宋体"/>
                <w:highlight w:val="none"/>
                <w:lang w:val="en-US" w:eastAsia="zh-CN"/>
              </w:rPr>
            </w:pPr>
            <w:ins w:id="648" w:author="CMCC" w:date="2023-04-10T05:25:15Z">
              <w:del w:id="649" w:author="CMCC2" w:date="2023-04-19T07:14:32Z">
                <w:r>
                  <w:rPr>
                    <w:highlight w:val="none"/>
                  </w:rPr>
                  <w:delText>Pattern: '^([0-9]E-[0-9])$'</w:delText>
                </w:r>
              </w:del>
            </w:ins>
          </w:p>
        </w:tc>
        <w:tc>
          <w:tcPr>
            <w:tcW w:w="1331" w:type="dxa"/>
            <w:noWrap w:val="0"/>
            <w:vAlign w:val="top"/>
          </w:tcPr>
          <w:p>
            <w:pPr>
              <w:pStyle w:val="100"/>
              <w:rPr>
                <w:ins w:id="650" w:author="CMCC" w:date="2023-04-10T05:25:15Z"/>
                <w:del w:id="651" w:author="CMCC2" w:date="2023-04-19T07:14:32Z"/>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ins w:id="652" w:author="CMCC" w:date="2023-04-10T05:25:15Z"/>
          <w:del w:id="653" w:author="CMCC2" w:date="2023-04-19T07:14:32Z"/>
        </w:trPr>
        <w:tc>
          <w:tcPr>
            <w:tcW w:w="9656" w:type="dxa"/>
            <w:gridSpan w:val="6"/>
            <w:noWrap w:val="0"/>
            <w:vAlign w:val="top"/>
          </w:tcPr>
          <w:p>
            <w:pPr>
              <w:pStyle w:val="113"/>
              <w:rPr>
                <w:ins w:id="654" w:author="CMCC" w:date="2023-04-10T05:25:15Z"/>
                <w:del w:id="655" w:author="CMCC2" w:date="2023-04-19T07:14:32Z"/>
              </w:rPr>
            </w:pPr>
            <w:ins w:id="656" w:author="CMCC" w:date="2023-04-10T05:25:15Z">
              <w:del w:id="657" w:author="CMCC2" w:date="2023-04-19T07:14:32Z">
                <w:r>
                  <w:rPr/>
                  <w:delText>NOTE:</w:delText>
                </w:r>
              </w:del>
            </w:ins>
            <w:ins w:id="658" w:author="CMCC" w:date="2023-04-10T05:25:15Z">
              <w:del w:id="659" w:author="CMCC2" w:date="2023-04-19T07:14:32Z">
                <w:r>
                  <w:rPr/>
                  <w:tab/>
                </w:r>
              </w:del>
            </w:ins>
            <w:ins w:id="660" w:author="CMCC" w:date="2023-04-10T05:25:15Z">
              <w:del w:id="661" w:author="CMCC2" w:date="2023-04-19T07:14:32Z">
                <w:r>
                  <w:rPr/>
                  <w:delText xml:space="preserve">At least one of the attributes shall be present in an instance of the </w:delText>
                </w:r>
              </w:del>
            </w:ins>
            <w:ins w:id="662" w:author="CMCC" w:date="2023-04-10T05:25:15Z">
              <w:del w:id="663" w:author="CMCC2" w:date="2023-04-19T07:14:32Z">
                <w:r>
                  <w:rPr>
                    <w:rFonts w:hint="eastAsia" w:eastAsia="宋体"/>
                    <w:lang w:val="en-US" w:eastAsia="zh-CN"/>
                  </w:rPr>
                  <w:delText>PduSetQosContainer</w:delText>
                </w:r>
              </w:del>
            </w:ins>
            <w:ins w:id="664" w:author="CMCC" w:date="2023-04-10T05:25:15Z">
              <w:del w:id="665" w:author="CMCC2" w:date="2023-04-19T07:14:32Z">
                <w:r>
                  <w:rPr/>
                  <w:delText>.</w:delText>
                </w:r>
              </w:del>
            </w:ins>
          </w:p>
        </w:tc>
      </w:tr>
    </w:tbl>
    <w:p>
      <w:pPr>
        <w:pStyle w:val="123"/>
        <w:ind w:left="0" w:firstLine="0"/>
        <w:rPr>
          <w:del w:id="666" w:author="CMCC2" w:date="2023-04-19T07:14:32Z"/>
        </w:rPr>
      </w:pPr>
    </w:p>
    <w:p>
      <w:pPr>
        <w:pBdr>
          <w:top w:val="single" w:color="auto" w:sz="4" w:space="1"/>
          <w:left w:val="single" w:color="auto" w:sz="4" w:space="4"/>
          <w:bottom w:val="single" w:color="auto" w:sz="4" w:space="0"/>
          <w:right w:val="single" w:color="auto" w:sz="4" w:space="4"/>
        </w:pBdr>
        <w:jc w:val="center"/>
        <w:outlineLvl w:val="0"/>
        <w:rPr>
          <w:del w:id="667" w:author="CMCC2" w:date="2023-04-19T07:14:32Z"/>
          <w:rFonts w:ascii="Arial" w:hAnsi="Arial" w:cs="Arial"/>
          <w:color w:val="0000FF"/>
          <w:sz w:val="28"/>
          <w:szCs w:val="28"/>
        </w:rPr>
      </w:pPr>
      <w:del w:id="668" w:author="CMCC2" w:date="2023-04-19T07:14:32Z">
        <w:r>
          <w:rPr>
            <w:rFonts w:ascii="Arial" w:hAnsi="Arial" w:cs="Arial"/>
            <w:color w:val="0000FF"/>
            <w:sz w:val="28"/>
            <w:szCs w:val="28"/>
          </w:rPr>
          <w:delText>*** Next Change ***</w:delText>
        </w:r>
      </w:del>
    </w:p>
    <w:p>
      <w:pPr>
        <w:pStyle w:val="6"/>
        <w:rPr>
          <w:ins w:id="669" w:author="CMCC" w:date="2023-04-10T05:25:29Z"/>
          <w:del w:id="670" w:author="CMCC2" w:date="2023-04-19T07:14:32Z"/>
          <w:rFonts w:hint="default" w:eastAsia="宋体"/>
          <w:lang w:val="en-US" w:eastAsia="zh-CN"/>
        </w:rPr>
      </w:pPr>
      <w:ins w:id="671" w:author="CMCC" w:date="2023-04-10T05:25:29Z">
        <w:del w:id="672" w:author="CMCC2" w:date="2023-04-19T07:14:32Z">
          <w:r>
            <w:rPr/>
            <w:delText>5.6.2.</w:delText>
          </w:r>
        </w:del>
      </w:ins>
      <w:ins w:id="673" w:author="CMCC" w:date="2023-04-10T05:25:29Z">
        <w:del w:id="674" w:author="CMCC2" w:date="2023-04-19T07:14:32Z">
          <w:r>
            <w:rPr>
              <w:rFonts w:hint="eastAsia" w:eastAsia="宋体"/>
              <w:lang w:val="en-US" w:eastAsia="zh-CN"/>
            </w:rPr>
            <w:delText>X2</w:delText>
          </w:r>
        </w:del>
      </w:ins>
      <w:ins w:id="675" w:author="CMCC" w:date="2023-04-10T05:25:29Z">
        <w:del w:id="676" w:author="CMCC2" w:date="2023-04-19T07:14:32Z">
          <w:r>
            <w:rPr/>
            <w:tab/>
          </w:r>
        </w:del>
      </w:ins>
      <w:ins w:id="677" w:author="CMCC" w:date="2023-04-10T05:25:29Z">
        <w:del w:id="678" w:author="CMCC2" w:date="2023-04-19T07:14:32Z">
          <w:r>
            <w:rPr/>
            <w:delText xml:space="preserve">Type </w:delText>
          </w:r>
        </w:del>
      </w:ins>
      <w:ins w:id="679" w:author="CMCC" w:date="2023-04-10T05:25:29Z">
        <w:del w:id="680" w:author="CMCC2" w:date="2023-04-19T07:14:32Z">
          <w:r>
            <w:rPr>
              <w:rFonts w:hint="eastAsia" w:eastAsia="宋体"/>
              <w:lang w:val="en-US" w:eastAsia="zh-CN"/>
            </w:rPr>
            <w:delText>PduSetQosContainerRm</w:delText>
          </w:r>
        </w:del>
      </w:ins>
    </w:p>
    <w:p>
      <w:pPr>
        <w:rPr>
          <w:ins w:id="681" w:author="CMCC" w:date="2023-04-10T05:25:29Z"/>
          <w:del w:id="682" w:author="CMCC2" w:date="2023-04-19T07:14:32Z"/>
          <w:lang w:val="en-US"/>
        </w:rPr>
      </w:pPr>
      <w:ins w:id="683" w:author="CMCC" w:date="2023-04-10T05:25:29Z">
        <w:del w:id="684" w:author="CMCC2" w:date="2023-04-19T07:14:32Z">
          <w:r>
            <w:rPr/>
            <w:delText>This data type is defined in the same way as the "</w:delText>
          </w:r>
        </w:del>
      </w:ins>
      <w:ins w:id="685" w:author="CMCC" w:date="2023-04-10T05:25:29Z">
        <w:del w:id="686" w:author="CMCC2" w:date="2023-04-19T07:14:32Z">
          <w:r>
            <w:rPr>
              <w:rFonts w:hint="eastAsia" w:eastAsia="宋体"/>
              <w:lang w:val="en-US" w:eastAsia="zh-CN"/>
            </w:rPr>
            <w:delText>PduSetQosContainer</w:delText>
          </w:r>
        </w:del>
      </w:ins>
      <w:ins w:id="687" w:author="CMCC" w:date="2023-04-10T05:25:29Z">
        <w:del w:id="688" w:author="CMCC2" w:date="2023-04-19T07:14:32Z">
          <w:r>
            <w:rPr/>
            <w:delText>" data type, but with the OpenAPI "nullable: true" property for each of the attributes as well as for the entire data type.</w:delText>
          </w:r>
        </w:del>
      </w:ins>
    </w:p>
    <w:p>
      <w:pPr>
        <w:pStyle w:val="123"/>
        <w:ind w:left="0" w:firstLine="0"/>
      </w:pPr>
    </w:p>
    <w:p>
      <w:pPr>
        <w:pStyle w:val="123"/>
        <w:ind w:left="0" w:firstLine="0"/>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121"/>
        <w:overflowPunct w:val="0"/>
        <w:autoSpaceDE w:val="0"/>
        <w:autoSpaceDN w:val="0"/>
        <w:adjustRightInd w:val="0"/>
        <w:ind w:left="1559" w:hanging="1276"/>
        <w:textAlignment w:val="baseline"/>
      </w:pPr>
      <w:bookmarkStart w:id="90" w:name="_Hlk128586859"/>
      <w:r>
        <w:rPr>
          <w:lang w:eastAsia="en-GB"/>
        </w:rPr>
        <w:t>Editor’s note:</w:t>
      </w:r>
      <w:r>
        <w:rPr>
          <w:lang w:eastAsia="en-GB"/>
        </w:rPr>
        <w:tab/>
      </w:r>
      <w:r>
        <w:rPr>
          <w:lang w:eastAsia="en-GB"/>
        </w:rPr>
        <w:t>The "lowerBound" and "upperBound" attributes detail description is FFS.</w:t>
      </w:r>
    </w:p>
    <w:bookmarkEnd w:id="90"/>
    <w:p>
      <w:pPr>
        <w:pBdr>
          <w:top w:val="single" w:color="auto" w:sz="4" w:space="1"/>
          <w:left w:val="single" w:color="auto" w:sz="4" w:space="4"/>
          <w:bottom w:val="single" w:color="auto" w:sz="4" w:space="1"/>
          <w:right w:val="single" w:color="auto" w:sz="4" w:space="4"/>
        </w:pBdr>
        <w:jc w:val="center"/>
        <w:outlineLvl w:val="0"/>
        <w:rPr>
          <w:del w:id="689" w:author="Nokia" w:date="2023-04-03T16:11:00Z"/>
          <w:rFonts w:eastAsia="等线"/>
          <w:color w:val="0000FF"/>
          <w:sz w:val="28"/>
          <w:szCs w:val="28"/>
        </w:rPr>
      </w:pPr>
    </w:p>
    <w:p>
      <w:pPr>
        <w:pStyle w:val="6"/>
      </w:pPr>
      <w:bookmarkStart w:id="91" w:name="_Toc129338977"/>
      <w:bookmarkStart w:id="92" w:name="_Toc130291846"/>
      <w:r>
        <w:t>5.6.2.49</w:t>
      </w:r>
      <w:r>
        <w:tab/>
      </w:r>
      <w:r>
        <w:t>Type AfSfcRequirement</w:t>
      </w:r>
      <w:bookmarkEnd w:id="91"/>
      <w:bookmarkEnd w:id="92"/>
    </w:p>
    <w:p>
      <w:pPr>
        <w:pStyle w:val="102"/>
      </w:pPr>
      <w:r>
        <w:t>Table 5.6.2.49-1: Definition of type AfSfcRequirement</w:t>
      </w:r>
    </w:p>
    <w:tbl>
      <w:tblPr>
        <w:tblStyle w:val="89"/>
        <w:tblW w:w="961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15" w:type="dxa"/>
        </w:tblCellMar>
      </w:tblPr>
      <w:tblGrid>
        <w:gridCol w:w="1127"/>
        <w:gridCol w:w="1198"/>
        <w:gridCol w:w="367"/>
        <w:gridCol w:w="879"/>
        <w:gridCol w:w="2542"/>
        <w:gridCol w:w="350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blHeader/>
          <w:jc w:val="center"/>
        </w:trPr>
        <w:tc>
          <w:tcPr>
            <w:tcW w:w="1127" w:type="dxa"/>
            <w:shd w:val="clear" w:color="auto" w:fill="C0C0C0"/>
          </w:tcPr>
          <w:p>
            <w:pPr>
              <w:pStyle w:val="98"/>
            </w:pPr>
            <w:r>
              <w:t>Attribute name</w:t>
            </w:r>
          </w:p>
        </w:tc>
        <w:tc>
          <w:tcPr>
            <w:tcW w:w="1198" w:type="dxa"/>
            <w:shd w:val="clear" w:color="auto" w:fill="C0C0C0"/>
          </w:tcPr>
          <w:p>
            <w:pPr>
              <w:pStyle w:val="98"/>
            </w:pPr>
            <w:r>
              <w:t>Data type</w:t>
            </w:r>
          </w:p>
        </w:tc>
        <w:tc>
          <w:tcPr>
            <w:tcW w:w="367" w:type="dxa"/>
            <w:shd w:val="clear" w:color="auto" w:fill="C0C0C0"/>
          </w:tcPr>
          <w:p>
            <w:pPr>
              <w:pStyle w:val="98"/>
            </w:pPr>
            <w:r>
              <w:t>P</w:t>
            </w:r>
          </w:p>
        </w:tc>
        <w:tc>
          <w:tcPr>
            <w:tcW w:w="879" w:type="dxa"/>
            <w:shd w:val="clear" w:color="auto" w:fill="C0C0C0"/>
          </w:tcPr>
          <w:p>
            <w:pPr>
              <w:pStyle w:val="98"/>
            </w:pPr>
            <w:r>
              <w:t>Cardinality</w:t>
            </w:r>
          </w:p>
        </w:tc>
        <w:tc>
          <w:tcPr>
            <w:tcW w:w="2542" w:type="dxa"/>
            <w:shd w:val="clear" w:color="auto" w:fill="C0C0C0"/>
          </w:tcPr>
          <w:p>
            <w:pPr>
              <w:pStyle w:val="98"/>
              <w:rPr>
                <w:rFonts w:cs="Arial"/>
                <w:szCs w:val="18"/>
              </w:rPr>
            </w:pPr>
            <w:r>
              <w:rPr>
                <w:rFonts w:cs="Arial"/>
                <w:szCs w:val="18"/>
              </w:rPr>
              <w:t>Description</w:t>
            </w:r>
          </w:p>
        </w:tc>
        <w:tc>
          <w:tcPr>
            <w:tcW w:w="3502" w:type="dxa"/>
            <w:shd w:val="clear" w:color="auto" w:fill="C0C0C0"/>
          </w:tcPr>
          <w:p>
            <w:pPr>
              <w:pStyle w:val="98"/>
              <w:rPr>
                <w:rFonts w:cs="Arial"/>
                <w:szCs w:val="18"/>
              </w:rPr>
            </w:pPr>
            <w:r>
              <w:rPr>
                <w:rFonts w:cs="Arial"/>
                <w:szCs w:val="18"/>
              </w:rPr>
              <w:t>Applicability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127" w:type="dxa"/>
          </w:tcPr>
          <w:p>
            <w:pPr>
              <w:pStyle w:val="100"/>
            </w:pPr>
            <w:r>
              <w:t>sfcIdDl</w:t>
            </w:r>
          </w:p>
          <w:p>
            <w:pPr>
              <w:pStyle w:val="100"/>
            </w:pPr>
            <w:r>
              <w:t>(NOTE)</w:t>
            </w:r>
          </w:p>
        </w:tc>
        <w:tc>
          <w:tcPr>
            <w:tcW w:w="1198" w:type="dxa"/>
          </w:tcPr>
          <w:p>
            <w:pPr>
              <w:pStyle w:val="100"/>
            </w:pPr>
            <w:r>
              <w:t>string</w:t>
            </w:r>
          </w:p>
        </w:tc>
        <w:tc>
          <w:tcPr>
            <w:tcW w:w="367" w:type="dxa"/>
          </w:tcPr>
          <w:p>
            <w:pPr>
              <w:pStyle w:val="99"/>
            </w:pPr>
            <w:r>
              <w:t>O</w:t>
            </w:r>
          </w:p>
        </w:tc>
        <w:tc>
          <w:tcPr>
            <w:tcW w:w="879" w:type="dxa"/>
          </w:tcPr>
          <w:p>
            <w:pPr>
              <w:pStyle w:val="99"/>
            </w:pPr>
            <w:r>
              <w:t>0..1</w:t>
            </w:r>
          </w:p>
        </w:tc>
        <w:tc>
          <w:tcPr>
            <w:tcW w:w="2542" w:type="dxa"/>
          </w:tcPr>
          <w:p>
            <w:pPr>
              <w:pStyle w:val="100"/>
              <w:rPr>
                <w:rFonts w:cs="Arial"/>
                <w:szCs w:val="18"/>
              </w:rPr>
            </w:pPr>
            <w:r>
              <w:t>Reference to a pre-configured service function chain policy for downlink traffic.</w:t>
            </w:r>
          </w:p>
        </w:tc>
        <w:tc>
          <w:tcPr>
            <w:tcW w:w="3502" w:type="dxa"/>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127" w:type="dxa"/>
          </w:tcPr>
          <w:p>
            <w:pPr>
              <w:pStyle w:val="100"/>
            </w:pPr>
            <w:r>
              <w:t>sfcIdUl</w:t>
            </w:r>
          </w:p>
          <w:p>
            <w:pPr>
              <w:pStyle w:val="100"/>
            </w:pPr>
            <w:r>
              <w:t>(NOTE)</w:t>
            </w:r>
          </w:p>
        </w:tc>
        <w:tc>
          <w:tcPr>
            <w:tcW w:w="1198" w:type="dxa"/>
          </w:tcPr>
          <w:p>
            <w:pPr>
              <w:pStyle w:val="100"/>
            </w:pPr>
            <w:r>
              <w:t>string</w:t>
            </w:r>
          </w:p>
        </w:tc>
        <w:tc>
          <w:tcPr>
            <w:tcW w:w="367" w:type="dxa"/>
          </w:tcPr>
          <w:p>
            <w:pPr>
              <w:pStyle w:val="99"/>
            </w:pPr>
            <w:r>
              <w:t>O</w:t>
            </w:r>
          </w:p>
        </w:tc>
        <w:tc>
          <w:tcPr>
            <w:tcW w:w="879" w:type="dxa"/>
          </w:tcPr>
          <w:p>
            <w:pPr>
              <w:pStyle w:val="99"/>
            </w:pPr>
            <w:r>
              <w:t>0..1</w:t>
            </w:r>
          </w:p>
        </w:tc>
        <w:tc>
          <w:tcPr>
            <w:tcW w:w="2542" w:type="dxa"/>
          </w:tcPr>
          <w:p>
            <w:pPr>
              <w:pStyle w:val="100"/>
              <w:rPr>
                <w:rFonts w:cs="Arial"/>
                <w:szCs w:val="18"/>
              </w:rPr>
            </w:pPr>
            <w:r>
              <w:t>Reference to a pre-configured service function chain policy for uplink traffic.</w:t>
            </w:r>
          </w:p>
        </w:tc>
        <w:tc>
          <w:tcPr>
            <w:tcW w:w="3502" w:type="dxa"/>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127" w:type="dxa"/>
          </w:tcPr>
          <w:p>
            <w:pPr>
              <w:pStyle w:val="100"/>
            </w:pPr>
            <w:r>
              <w:t>spVal</w:t>
            </w:r>
          </w:p>
        </w:tc>
        <w:tc>
          <w:tcPr>
            <w:tcW w:w="1198" w:type="dxa"/>
          </w:tcPr>
          <w:p>
            <w:pPr>
              <w:pStyle w:val="100"/>
            </w:pPr>
            <w:r>
              <w:t>SpatialValidityRm</w:t>
            </w:r>
          </w:p>
        </w:tc>
        <w:tc>
          <w:tcPr>
            <w:tcW w:w="367" w:type="dxa"/>
          </w:tcPr>
          <w:p>
            <w:pPr>
              <w:pStyle w:val="99"/>
            </w:pPr>
            <w:r>
              <w:t>O</w:t>
            </w:r>
          </w:p>
        </w:tc>
        <w:tc>
          <w:tcPr>
            <w:tcW w:w="879" w:type="dxa"/>
          </w:tcPr>
          <w:p>
            <w:pPr>
              <w:pStyle w:val="99"/>
            </w:pPr>
            <w:r>
              <w:t>0..1</w:t>
            </w:r>
          </w:p>
        </w:tc>
        <w:tc>
          <w:tcPr>
            <w:tcW w:w="2542" w:type="dxa"/>
          </w:tcPr>
          <w:p>
            <w:pPr>
              <w:pStyle w:val="100"/>
            </w:pPr>
            <w:r>
              <w:rPr>
                <w:rFonts w:cs="Arial"/>
                <w:szCs w:val="18"/>
              </w:rPr>
              <w:t>Indicates where the traffic routing requirements apply. The absence of this attribute indicates no spatial restrictions.</w:t>
            </w:r>
          </w:p>
        </w:tc>
        <w:tc>
          <w:tcPr>
            <w:tcW w:w="3502" w:type="dxa"/>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127" w:type="dxa"/>
          </w:tcPr>
          <w:p>
            <w:pPr>
              <w:pStyle w:val="100"/>
            </w:pPr>
            <w:r>
              <w:rPr>
                <w:rFonts w:cs="Arial"/>
                <w:szCs w:val="18"/>
              </w:rPr>
              <w:t>metadata</w:t>
            </w:r>
          </w:p>
        </w:tc>
        <w:tc>
          <w:tcPr>
            <w:tcW w:w="1198" w:type="dxa"/>
          </w:tcPr>
          <w:p>
            <w:pPr>
              <w:pStyle w:val="100"/>
            </w:pPr>
            <w:r>
              <w:t>Metadata</w:t>
            </w:r>
          </w:p>
        </w:tc>
        <w:tc>
          <w:tcPr>
            <w:tcW w:w="367" w:type="dxa"/>
          </w:tcPr>
          <w:p>
            <w:pPr>
              <w:pStyle w:val="99"/>
            </w:pPr>
            <w:r>
              <w:t>O</w:t>
            </w:r>
          </w:p>
        </w:tc>
        <w:tc>
          <w:tcPr>
            <w:tcW w:w="879" w:type="dxa"/>
          </w:tcPr>
          <w:p>
            <w:pPr>
              <w:pStyle w:val="99"/>
            </w:pPr>
            <w:r>
              <w:t>0..1</w:t>
            </w:r>
          </w:p>
        </w:tc>
        <w:tc>
          <w:tcPr>
            <w:tcW w:w="2542" w:type="dxa"/>
          </w:tcPr>
          <w:p>
            <w:pPr>
              <w:pStyle w:val="100"/>
            </w:pPr>
            <w:r>
              <w:t>Contains opaque information for the service functions in the N6-LAN that is provided by AF and transparently sent to UPF.</w:t>
            </w:r>
          </w:p>
        </w:tc>
        <w:tc>
          <w:tcPr>
            <w:tcW w:w="3502" w:type="dxa"/>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9615" w:type="dxa"/>
            <w:gridSpan w:val="6"/>
          </w:tcPr>
          <w:p>
            <w:pPr>
              <w:pStyle w:val="113"/>
              <w:ind w:left="400" w:hanging="400"/>
            </w:pPr>
            <w:r>
              <w:t xml:space="preserve">NOTE: </w:t>
            </w:r>
            <w:r>
              <w:tab/>
            </w:r>
            <w:r>
              <w:t>Either "sfcIdDl“, "sfcIdUl” or both shall be present when AfSfcRequirement is initially provided.</w:t>
            </w:r>
          </w:p>
        </w:tc>
      </w:tr>
    </w:tbl>
    <w:p>
      <w:pPr>
        <w:pStyle w:val="123"/>
        <w:ind w:left="0" w:firstLine="0"/>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4"/>
        <w:rPr>
          <w:lang w:eastAsia="zh-CN"/>
        </w:rPr>
      </w:pPr>
      <w:r>
        <w:t>5.8</w:t>
      </w:r>
      <w:r>
        <w:rPr>
          <w:lang w:eastAsia="zh-CN"/>
        </w:rPr>
        <w:tab/>
      </w:r>
      <w:r>
        <w:rPr>
          <w:lang w:eastAsia="zh-CN"/>
        </w:rPr>
        <w:t>Feature negotiation</w:t>
      </w:r>
    </w:p>
    <w:p>
      <w:r>
        <w:t>The optional features in table 5.8-1 are defined for the Npcf_PolicyAuthorization API. They shall be negotiated using the extensibility mechanism defined in clause 6.6.2 of 3GPP TS 29.500 [5].</w:t>
      </w:r>
    </w:p>
    <w:p>
      <w:r>
        <w:t>When requesting the PCF to create an Individual Application Session Context resource the NF service consumer shall indicate the optional features the NF service consumer supports for the Npcf_PolicyAuthorization service by including the "suppFeat" attribute in the "AppSessionContextReqData" data type of the HTTP POST request.</w:t>
      </w:r>
    </w:p>
    <w:p>
      <w:r>
        <w:t>The PCF shall determine the supported features for the created Individual Application Session Context resource as specified in clause 6.6.2 of 3GPP TS 29.500 [5]. The PCF shall indicate the supported features in the HTTP response confirming the creation of the Individual Application Session Context resource by including the "suppFeat" attribute in the "AppSessionContextRespData" data type.</w:t>
      </w:r>
    </w:p>
    <w:p>
      <w:pPr>
        <w:pStyle w:val="102"/>
      </w:pPr>
      <w:r>
        <w:t>Table 5.8-1: Supported Features</w:t>
      </w:r>
    </w:p>
    <w:tbl>
      <w:tblPr>
        <w:tblStyle w:val="8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15" w:type="dxa"/>
        </w:tblCellMar>
      </w:tblPr>
      <w:tblGrid>
        <w:gridCol w:w="1484"/>
        <w:gridCol w:w="2798"/>
        <w:gridCol w:w="549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tblHeader/>
          <w:jc w:val="center"/>
        </w:trPr>
        <w:tc>
          <w:tcPr>
            <w:tcW w:w="1484" w:type="dxa"/>
            <w:shd w:val="clear" w:color="auto" w:fill="C0C0C0"/>
            <w:noWrap w:val="0"/>
            <w:vAlign w:val="top"/>
          </w:tcPr>
          <w:p>
            <w:pPr>
              <w:pStyle w:val="98"/>
            </w:pPr>
            <w:r>
              <w:t>Feature number</w:t>
            </w:r>
          </w:p>
        </w:tc>
        <w:tc>
          <w:tcPr>
            <w:tcW w:w="2798" w:type="dxa"/>
            <w:shd w:val="clear" w:color="auto" w:fill="C0C0C0"/>
            <w:noWrap w:val="0"/>
            <w:vAlign w:val="top"/>
          </w:tcPr>
          <w:p>
            <w:pPr>
              <w:pStyle w:val="98"/>
            </w:pPr>
            <w:r>
              <w:t>Feature Name</w:t>
            </w:r>
          </w:p>
        </w:tc>
        <w:tc>
          <w:tcPr>
            <w:tcW w:w="5490" w:type="dxa"/>
            <w:shd w:val="clear" w:color="auto" w:fill="C0C0C0"/>
            <w:noWrap w:val="0"/>
            <w:vAlign w:val="top"/>
          </w:tcPr>
          <w:p>
            <w:pPr>
              <w:pStyle w:val="98"/>
            </w:pPr>
            <w:r>
              <w:t>Description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w:t>
            </w:r>
          </w:p>
        </w:tc>
        <w:tc>
          <w:tcPr>
            <w:tcW w:w="2798" w:type="dxa"/>
            <w:noWrap w:val="0"/>
            <w:vAlign w:val="top"/>
          </w:tcPr>
          <w:p>
            <w:pPr>
              <w:pStyle w:val="100"/>
            </w:pPr>
            <w:r>
              <w:t>InfluenceOnTrafficRouting</w:t>
            </w:r>
          </w:p>
        </w:tc>
        <w:tc>
          <w:tcPr>
            <w:tcW w:w="5490" w:type="dxa"/>
            <w:noWrap w:val="0"/>
            <w:vAlign w:val="top"/>
          </w:tcPr>
          <w:p>
            <w:pPr>
              <w:pStyle w:val="100"/>
              <w:rPr>
                <w:rFonts w:cs="Arial"/>
                <w:szCs w:val="18"/>
              </w:rPr>
            </w:pPr>
            <w:r>
              <w:rPr>
                <w:rFonts w:cs="Arial"/>
                <w:szCs w:val="18"/>
              </w:rPr>
              <w:t xml:space="preserve">Indicates support of Application Function influence on traffic routing. If the PCF supports this feature, the </w:t>
            </w:r>
            <w:r>
              <w:t>NF service consumer</w:t>
            </w:r>
            <w:r>
              <w:rPr>
                <w:rFonts w:cs="Arial"/>
                <w:szCs w:val="18"/>
              </w:rPr>
              <w:t xml:space="preserve"> may influence SMF routing to applications or subscribe to notifications of UP path management for the traffic flows of an active PDU session.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w:t>
            </w:r>
          </w:p>
        </w:tc>
        <w:tc>
          <w:tcPr>
            <w:tcW w:w="2798" w:type="dxa"/>
            <w:noWrap w:val="0"/>
            <w:vAlign w:val="top"/>
          </w:tcPr>
          <w:p>
            <w:pPr>
              <w:pStyle w:val="100"/>
            </w:pPr>
            <w:r>
              <w:t>SponsoredConnectivity</w:t>
            </w:r>
          </w:p>
        </w:tc>
        <w:tc>
          <w:tcPr>
            <w:tcW w:w="5490" w:type="dxa"/>
            <w:noWrap w:val="0"/>
            <w:vAlign w:val="top"/>
          </w:tcPr>
          <w:p>
            <w:pPr>
              <w:pStyle w:val="100"/>
              <w:rPr>
                <w:rFonts w:cs="Arial"/>
                <w:szCs w:val="18"/>
              </w:rPr>
            </w:pPr>
            <w:r>
              <w:rPr>
                <w:rFonts w:cs="Arial"/>
                <w:szCs w:val="18"/>
              </w:rPr>
              <w:t xml:space="preserve">Indicates support of sponsored data connectivity. If the PCF supports this feature, the </w:t>
            </w:r>
            <w:r>
              <w:t>NF service consumer</w:t>
            </w:r>
            <w:r>
              <w:rPr>
                <w:rFonts w:cs="Arial"/>
                <w:szCs w:val="18"/>
              </w:rPr>
              <w:t xml:space="preserve"> may provide sponsored data connectivity to the SUPI.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w:t>
            </w:r>
          </w:p>
        </w:tc>
        <w:tc>
          <w:tcPr>
            <w:tcW w:w="2798" w:type="dxa"/>
            <w:noWrap w:val="0"/>
            <w:vAlign w:val="top"/>
          </w:tcPr>
          <w:p>
            <w:pPr>
              <w:pStyle w:val="100"/>
            </w:pPr>
            <w:r>
              <w:t>MediaComponentVersioning</w:t>
            </w:r>
          </w:p>
        </w:tc>
        <w:tc>
          <w:tcPr>
            <w:tcW w:w="5490" w:type="dxa"/>
            <w:noWrap w:val="0"/>
            <w:vAlign w:val="top"/>
          </w:tcPr>
          <w:p>
            <w:pPr>
              <w:pStyle w:val="100"/>
              <w:rPr>
                <w:rFonts w:cs="Arial"/>
                <w:szCs w:val="18"/>
              </w:rPr>
            </w:pPr>
            <w:r>
              <w:rPr>
                <w:rFonts w:cs="Arial"/>
                <w:szCs w:val="18"/>
              </w:rPr>
              <w:t>Indicates the support of the media component versioning.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4</w:t>
            </w:r>
          </w:p>
        </w:tc>
        <w:tc>
          <w:tcPr>
            <w:tcW w:w="2798" w:type="dxa"/>
            <w:noWrap w:val="0"/>
            <w:vAlign w:val="top"/>
          </w:tcPr>
          <w:p>
            <w:pPr>
              <w:pStyle w:val="100"/>
            </w:pPr>
            <w:r>
              <w:t>URLLC</w:t>
            </w:r>
          </w:p>
        </w:tc>
        <w:tc>
          <w:tcPr>
            <w:tcW w:w="5490" w:type="dxa"/>
            <w:noWrap w:val="0"/>
            <w:vAlign w:val="top"/>
          </w:tcPr>
          <w:p>
            <w:pPr>
              <w:pStyle w:val="100"/>
              <w:rPr>
                <w:rFonts w:cs="Arial"/>
                <w:szCs w:val="18"/>
              </w:rPr>
            </w:pPr>
            <w:r>
              <w:rPr>
                <w:lang w:eastAsia="zh-CN"/>
              </w:rPr>
              <w:t xml:space="preserve">Indicates support of </w:t>
            </w:r>
            <w:r>
              <w:rPr>
                <w:rFonts w:eastAsia="等线"/>
                <w:lang w:eastAsia="zh-CN"/>
              </w:rPr>
              <w:t xml:space="preserve">Ultra-Reliable Low-Latency Communication (URLLC) </w:t>
            </w:r>
            <w:r>
              <w:rPr>
                <w:lang w:eastAsia="zh-CN"/>
              </w:rPr>
              <w:t xml:space="preserve">requirements, i.e. AF application relocation acknowledgement and UE address(es) preservation. The </w:t>
            </w:r>
            <w:r>
              <w:t>InfluenceOnTrafficRouting</w:t>
            </w:r>
            <w:r>
              <w:rPr>
                <w:lang w:eastAsia="zh-CN"/>
              </w:rPr>
              <w:t xml:space="preserve"> feature shall be supported in order to support this feature.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5</w:t>
            </w:r>
          </w:p>
        </w:tc>
        <w:tc>
          <w:tcPr>
            <w:tcW w:w="2798" w:type="dxa"/>
            <w:noWrap w:val="0"/>
            <w:vAlign w:val="top"/>
          </w:tcPr>
          <w:p>
            <w:pPr>
              <w:pStyle w:val="100"/>
            </w:pPr>
            <w:r>
              <w:t>IMS_SBI</w:t>
            </w:r>
          </w:p>
        </w:tc>
        <w:tc>
          <w:tcPr>
            <w:tcW w:w="5490" w:type="dxa"/>
            <w:noWrap w:val="0"/>
            <w:vAlign w:val="top"/>
          </w:tcPr>
          <w:p>
            <w:pPr>
              <w:pStyle w:val="100"/>
              <w:rPr>
                <w:lang w:eastAsia="zh-CN"/>
              </w:rPr>
            </w:pPr>
            <w:r>
              <w:rPr>
                <w:lang w:eastAsia="zh-CN"/>
              </w:rPr>
              <w:t xml:space="preserve">Indicates support of the communication with the </w:t>
            </w:r>
            <w:r>
              <w:t>5GC IMS NF service consumer via Service Based Interfaces</w:t>
            </w:r>
            <w:r>
              <w:rPr>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6</w:t>
            </w:r>
          </w:p>
        </w:tc>
        <w:tc>
          <w:tcPr>
            <w:tcW w:w="2798" w:type="dxa"/>
            <w:noWrap w:val="0"/>
            <w:vAlign w:val="top"/>
          </w:tcPr>
          <w:p>
            <w:pPr>
              <w:pStyle w:val="100"/>
            </w:pPr>
            <w:r>
              <w:t>NetLoc</w:t>
            </w:r>
          </w:p>
        </w:tc>
        <w:tc>
          <w:tcPr>
            <w:tcW w:w="5490" w:type="dxa"/>
            <w:noWrap w:val="0"/>
            <w:vAlign w:val="top"/>
          </w:tcPr>
          <w:p>
            <w:pPr>
              <w:pStyle w:val="100"/>
              <w:rPr>
                <w:lang w:eastAsia="zh-CN"/>
              </w:rPr>
            </w:pPr>
            <w:r>
              <w:rPr>
                <w:rFonts w:cs="Arial"/>
                <w:szCs w:val="18"/>
              </w:rPr>
              <w:t>Indicates the support of access network information reporting.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7</w:t>
            </w:r>
          </w:p>
        </w:tc>
        <w:tc>
          <w:tcPr>
            <w:tcW w:w="2798" w:type="dxa"/>
            <w:noWrap w:val="0"/>
            <w:vAlign w:val="top"/>
          </w:tcPr>
          <w:p>
            <w:pPr>
              <w:pStyle w:val="100"/>
              <w:rPr>
                <w:rFonts w:cs="Arial"/>
                <w:szCs w:val="18"/>
              </w:rPr>
            </w:pPr>
            <w:r>
              <w:rPr>
                <w:rFonts w:cs="Arial"/>
                <w:szCs w:val="18"/>
              </w:rPr>
              <w:t>ProvAFsignalFlow</w:t>
            </w:r>
          </w:p>
        </w:tc>
        <w:tc>
          <w:tcPr>
            <w:tcW w:w="5490" w:type="dxa"/>
            <w:noWrap w:val="0"/>
            <w:vAlign w:val="top"/>
          </w:tcPr>
          <w:p>
            <w:pPr>
              <w:pStyle w:val="100"/>
            </w:pPr>
            <w:r>
              <w:t>This indicates support for the feature of provisioning of AF signalling flow information as described in clauses 4.2.2.16 and 4.2.3.17. If the PCF supports this feature the NF service consumer may provision AF signalling flow information.</w:t>
            </w:r>
          </w:p>
          <w:p>
            <w:pPr>
              <w:pStyle w:val="100"/>
            </w:pPr>
          </w:p>
          <w:p>
            <w:pPr>
              <w:pStyle w:val="100"/>
              <w:rPr>
                <w:rFonts w:eastAsia="Batang"/>
              </w:rPr>
            </w:pPr>
            <w:r>
              <w:rPr>
                <w:rFonts w:eastAsia="Batang"/>
              </w:rPr>
              <w:t>NOTE:</w:t>
            </w:r>
            <w:r>
              <w:rPr>
                <w:rFonts w:eastAsia="Batang"/>
              </w:rPr>
              <w:tab/>
            </w:r>
            <w:r>
              <w:rPr>
                <w:rFonts w:eastAsia="Batang"/>
              </w:rPr>
              <w:t>This feature is used by the IMS Restoration Procedures to provide to the SMF the address of the P-CSCF selected by the UE, refer to 3GPP TS 23.380 [39].</w:t>
            </w:r>
          </w:p>
          <w:p>
            <w:pPr>
              <w:pStyle w:val="100"/>
            </w:pPr>
          </w:p>
          <w:p>
            <w:pPr>
              <w:pStyle w:val="100"/>
            </w:pPr>
            <w:r>
              <w:t>The IMS_SBI feature shall be supported in order to support this feature</w:t>
            </w:r>
            <w:r>
              <w:rPr>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8</w:t>
            </w:r>
          </w:p>
        </w:tc>
        <w:tc>
          <w:tcPr>
            <w:tcW w:w="2798" w:type="dxa"/>
            <w:noWrap w:val="0"/>
            <w:vAlign w:val="top"/>
          </w:tcPr>
          <w:p>
            <w:pPr>
              <w:pStyle w:val="100"/>
              <w:rPr>
                <w:rFonts w:cs="Arial"/>
                <w:szCs w:val="18"/>
              </w:rPr>
            </w:pPr>
            <w:r>
              <w:t>ResourceSharing</w:t>
            </w:r>
          </w:p>
        </w:tc>
        <w:tc>
          <w:tcPr>
            <w:tcW w:w="5490" w:type="dxa"/>
            <w:noWrap w:val="0"/>
            <w:vAlign w:val="top"/>
          </w:tcPr>
          <w:p>
            <w:pPr>
              <w:pStyle w:val="100"/>
            </w:pPr>
            <w:r>
              <w:rPr>
                <w:rFonts w:cs="Arial"/>
                <w:szCs w:val="18"/>
                <w:lang w:eastAsia="es-ES"/>
              </w:rPr>
              <w:t>This feature indicates the support of resource sharing across several "Individual Application Session Context" resources. The IMS_SBI feature shall be supported in order to support this feature</w:t>
            </w:r>
            <w:r>
              <w:rPr>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9</w:t>
            </w:r>
          </w:p>
        </w:tc>
        <w:tc>
          <w:tcPr>
            <w:tcW w:w="2798" w:type="dxa"/>
            <w:noWrap w:val="0"/>
            <w:vAlign w:val="top"/>
          </w:tcPr>
          <w:p>
            <w:pPr>
              <w:pStyle w:val="100"/>
              <w:rPr>
                <w:rFonts w:cs="Arial"/>
                <w:szCs w:val="18"/>
              </w:rPr>
            </w:pPr>
            <w:r>
              <w:t>MCPTT</w:t>
            </w:r>
          </w:p>
        </w:tc>
        <w:tc>
          <w:tcPr>
            <w:tcW w:w="5490" w:type="dxa"/>
            <w:noWrap w:val="0"/>
            <w:vAlign w:val="top"/>
          </w:tcPr>
          <w:p>
            <w:pPr>
              <w:pStyle w:val="100"/>
              <w:rPr>
                <w:rFonts w:cs="Arial"/>
                <w:szCs w:val="18"/>
                <w:lang w:eastAsia="es-ES"/>
              </w:rPr>
            </w:pPr>
            <w:r>
              <w:rPr>
                <w:rFonts w:cs="Arial"/>
                <w:szCs w:val="18"/>
                <w:lang w:eastAsia="es-ES"/>
              </w:rPr>
              <w:t>This feature indicates the support of Mission Critical Push To Talk services as described in 3GPP TS 24.379 [41].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10</w:t>
            </w:r>
          </w:p>
        </w:tc>
        <w:tc>
          <w:tcPr>
            <w:tcW w:w="2798" w:type="dxa"/>
            <w:noWrap w:val="0"/>
            <w:vAlign w:val="top"/>
          </w:tcPr>
          <w:p>
            <w:pPr>
              <w:pStyle w:val="100"/>
            </w:pPr>
            <w:r>
              <w:t>MCVideo</w:t>
            </w:r>
          </w:p>
        </w:tc>
        <w:tc>
          <w:tcPr>
            <w:tcW w:w="5490" w:type="dxa"/>
            <w:noWrap w:val="0"/>
            <w:vAlign w:val="top"/>
          </w:tcPr>
          <w:p>
            <w:pPr>
              <w:pStyle w:val="100"/>
              <w:rPr>
                <w:rFonts w:cs="Arial"/>
                <w:szCs w:val="18"/>
                <w:lang w:eastAsia="es-ES"/>
              </w:rPr>
            </w:pPr>
            <w:r>
              <w:rPr>
                <w:rFonts w:cs="Arial"/>
                <w:szCs w:val="18"/>
                <w:lang w:eastAsia="es-ES"/>
              </w:rPr>
              <w:t xml:space="preserve">This feature indicates the support of Mission Critical Video services as described in </w:t>
            </w:r>
            <w:r>
              <w:rPr>
                <w:rFonts w:cs="Arial"/>
                <w:szCs w:val="18"/>
              </w:rPr>
              <w:t>3GPP TS 24.281 [43].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11</w:t>
            </w:r>
          </w:p>
        </w:tc>
        <w:tc>
          <w:tcPr>
            <w:tcW w:w="2798" w:type="dxa"/>
            <w:noWrap w:val="0"/>
            <w:vAlign w:val="top"/>
          </w:tcPr>
          <w:p>
            <w:pPr>
              <w:pStyle w:val="100"/>
            </w:pPr>
            <w:r>
              <w:t>PrioritySharing</w:t>
            </w:r>
          </w:p>
        </w:tc>
        <w:tc>
          <w:tcPr>
            <w:tcW w:w="5490" w:type="dxa"/>
            <w:noWrap w:val="0"/>
            <w:vAlign w:val="top"/>
          </w:tcPr>
          <w:p>
            <w:pPr>
              <w:pStyle w:val="100"/>
              <w:rPr>
                <w:rFonts w:cs="Arial"/>
                <w:szCs w:val="18"/>
                <w:lang w:eastAsia="es-ES"/>
              </w:rPr>
            </w:pPr>
            <w:r>
              <w:rPr>
                <w:rFonts w:cs="Arial"/>
                <w:szCs w:val="18"/>
                <w:lang w:eastAsia="es-ES"/>
              </w:rPr>
              <w:t>This feature indicates that Priority Sharing is supported as described in 3GPP TS 23.503 [4], clause 6.1.3.15.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12</w:t>
            </w:r>
          </w:p>
        </w:tc>
        <w:tc>
          <w:tcPr>
            <w:tcW w:w="2798" w:type="dxa"/>
            <w:noWrap w:val="0"/>
            <w:vAlign w:val="top"/>
          </w:tcPr>
          <w:p>
            <w:pPr>
              <w:pStyle w:val="100"/>
            </w:pPr>
            <w:r>
              <w:t>MCPTT-Preemption</w:t>
            </w:r>
          </w:p>
        </w:tc>
        <w:tc>
          <w:tcPr>
            <w:tcW w:w="5490" w:type="dxa"/>
            <w:noWrap w:val="0"/>
            <w:vAlign w:val="top"/>
          </w:tcPr>
          <w:p>
            <w:pPr>
              <w:pStyle w:val="100"/>
              <w:rPr>
                <w:rFonts w:cs="Arial"/>
                <w:szCs w:val="18"/>
                <w:lang w:eastAsia="es-ES"/>
              </w:rPr>
            </w:pPr>
            <w:r>
              <w:rPr>
                <w:rFonts w:cs="Arial"/>
                <w:szCs w:val="18"/>
                <w:lang w:eastAsia="es-ES"/>
              </w:rPr>
              <w:t xml:space="preserve">This feature indicates the support of service pre-emption based on the information provided by the </w:t>
            </w:r>
            <w:r>
              <w:t>NF service consumer</w:t>
            </w:r>
            <w:r>
              <w:rPr>
                <w:rFonts w:cs="Arial"/>
                <w:szCs w:val="18"/>
                <w:lang w:eastAsia="es-ES"/>
              </w:rPr>
              <w:t>. It requires that both PrioritySharing and MCPTT features are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13</w:t>
            </w:r>
          </w:p>
        </w:tc>
        <w:tc>
          <w:tcPr>
            <w:tcW w:w="2798" w:type="dxa"/>
            <w:noWrap w:val="0"/>
            <w:vAlign w:val="top"/>
          </w:tcPr>
          <w:p>
            <w:pPr>
              <w:pStyle w:val="100"/>
            </w:pPr>
            <w:r>
              <w:t>MacAddressRange</w:t>
            </w:r>
          </w:p>
        </w:tc>
        <w:tc>
          <w:tcPr>
            <w:tcW w:w="5490" w:type="dxa"/>
            <w:noWrap w:val="0"/>
            <w:vAlign w:val="top"/>
          </w:tcPr>
          <w:p>
            <w:pPr>
              <w:pStyle w:val="100"/>
              <w:rPr>
                <w:rFonts w:cs="Arial"/>
                <w:szCs w:val="18"/>
                <w:lang w:eastAsia="es-ES"/>
              </w:rPr>
            </w:pPr>
            <w:r>
              <w:rPr>
                <w:rFonts w:cs="Arial"/>
                <w:szCs w:val="18"/>
                <w:lang w:eastAsia="es-ES"/>
              </w:rPr>
              <w:t>Indicates the support of a set of MAC addresses with a specific range in the traffic filter</w:t>
            </w:r>
            <w:r>
              <w:rPr>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14</w:t>
            </w:r>
          </w:p>
        </w:tc>
        <w:tc>
          <w:tcPr>
            <w:tcW w:w="2798" w:type="dxa"/>
            <w:noWrap w:val="0"/>
            <w:vAlign w:val="top"/>
          </w:tcPr>
          <w:p>
            <w:pPr>
              <w:pStyle w:val="100"/>
            </w:pPr>
            <w:r>
              <w:t>RAN-NAS-Cause</w:t>
            </w:r>
          </w:p>
        </w:tc>
        <w:tc>
          <w:tcPr>
            <w:tcW w:w="5490" w:type="dxa"/>
            <w:noWrap w:val="0"/>
            <w:vAlign w:val="top"/>
          </w:tcPr>
          <w:p>
            <w:pPr>
              <w:pStyle w:val="100"/>
              <w:rPr>
                <w:rFonts w:cs="Arial"/>
                <w:szCs w:val="18"/>
                <w:lang w:eastAsia="es-ES"/>
              </w:rPr>
            </w:pPr>
            <w:r>
              <w:rPr>
                <w:rFonts w:cs="Arial"/>
                <w:szCs w:val="18"/>
                <w:lang w:eastAsia="es-ES"/>
              </w:rPr>
              <w:t>This feature indicates the support for the release cause code information from the access network.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15</w:t>
            </w:r>
          </w:p>
        </w:tc>
        <w:tc>
          <w:tcPr>
            <w:tcW w:w="2798" w:type="dxa"/>
            <w:noWrap w:val="0"/>
            <w:vAlign w:val="top"/>
          </w:tcPr>
          <w:p>
            <w:pPr>
              <w:pStyle w:val="100"/>
            </w:pPr>
            <w:r>
              <w:t>EnhancedSubscriptionToNotification</w:t>
            </w:r>
          </w:p>
        </w:tc>
        <w:tc>
          <w:tcPr>
            <w:tcW w:w="5490" w:type="dxa"/>
            <w:noWrap w:val="0"/>
            <w:vAlign w:val="top"/>
          </w:tcPr>
          <w:p>
            <w:pPr>
              <w:pStyle w:val="100"/>
              <w:rPr>
                <w:rFonts w:cs="Arial"/>
                <w:szCs w:val="18"/>
                <w:lang w:eastAsia="es-ES"/>
              </w:rPr>
            </w:pPr>
            <w:r>
              <w:rPr>
                <w:rFonts w:cs="Arial"/>
                <w:szCs w:val="18"/>
                <w:lang w:eastAsia="es-ES"/>
              </w:rPr>
              <w:t>Indicates the support of:</w:t>
            </w:r>
          </w:p>
          <w:p>
            <w:pPr>
              <w:pStyle w:val="100"/>
              <w:ind w:left="284"/>
              <w:rPr>
                <w:rFonts w:cs="Arial"/>
                <w:szCs w:val="18"/>
                <w:lang w:eastAsia="es-ES"/>
              </w:rPr>
            </w:pPr>
            <w:r>
              <w:rPr>
                <w:rFonts w:cs="Arial"/>
                <w:szCs w:val="18"/>
                <w:lang w:eastAsia="es-ES"/>
              </w:rPr>
              <w:t>-</w:t>
            </w:r>
            <w:r>
              <w:rPr>
                <w:rFonts w:cs="Arial"/>
              </w:rPr>
              <w:tab/>
            </w:r>
            <w:r>
              <w:rPr>
                <w:rFonts w:cs="Arial"/>
                <w:szCs w:val="18"/>
                <w:lang w:eastAsia="es-ES"/>
              </w:rPr>
              <w:t>Subscription to periodic notifications.</w:t>
            </w:r>
          </w:p>
          <w:p>
            <w:pPr>
              <w:pStyle w:val="100"/>
              <w:ind w:left="284"/>
              <w:rPr>
                <w:rFonts w:cs="Arial"/>
                <w:szCs w:val="18"/>
                <w:lang w:eastAsia="es-ES"/>
              </w:rPr>
            </w:pPr>
            <w:r>
              <w:rPr>
                <w:rFonts w:cs="Arial"/>
                <w:szCs w:val="18"/>
                <w:lang w:eastAsia="es-ES"/>
              </w:rPr>
              <w:t>-</w:t>
            </w:r>
            <w:r>
              <w:rPr>
                <w:rFonts w:cs="Arial"/>
              </w:rPr>
              <w:tab/>
            </w:r>
            <w:r>
              <w:rPr>
                <w:rFonts w:cs="Arial"/>
                <w:szCs w:val="18"/>
                <w:lang w:eastAsia="es-ES"/>
              </w:rPr>
              <w:t>Definition of a waiting time between the reporting of two event triggered events.</w:t>
            </w:r>
          </w:p>
          <w:p>
            <w:pPr>
              <w:pStyle w:val="100"/>
              <w:ind w:left="284"/>
              <w:rPr>
                <w:rFonts w:cs="Arial"/>
                <w:szCs w:val="18"/>
                <w:lang w:eastAsia="es-ES"/>
              </w:rPr>
            </w:pPr>
            <w:r>
              <w:rPr>
                <w:rFonts w:cs="Arial"/>
                <w:szCs w:val="18"/>
                <w:lang w:eastAsia="es-ES"/>
              </w:rPr>
              <w:t>-</w:t>
            </w:r>
            <w:r>
              <w:rPr>
                <w:rFonts w:cs="Arial"/>
              </w:rPr>
              <w:tab/>
            </w:r>
            <w:r>
              <w:rPr>
                <w:rFonts w:cs="Arial"/>
                <w:szCs w:val="18"/>
                <w:lang w:eastAsia="es-ES"/>
              </w:rPr>
              <w:t>Indication of whether the event has to be reported at PDU Session termination.</w:t>
            </w:r>
          </w:p>
          <w:p>
            <w:pPr>
              <w:pStyle w:val="100"/>
              <w:ind w:left="284"/>
              <w:rPr>
                <w:rFonts w:cs="Arial"/>
                <w:szCs w:val="18"/>
                <w:lang w:eastAsia="es-ES"/>
              </w:rPr>
            </w:pPr>
            <w:r>
              <w:rPr>
                <w:rFonts w:cs="Arial"/>
                <w:szCs w:val="18"/>
                <w:lang w:eastAsia="es-ES"/>
              </w:rPr>
              <w:t>-</w:t>
            </w:r>
            <w:r>
              <w:rPr>
                <w:rFonts w:cs="Arial"/>
              </w:rPr>
              <w:tab/>
            </w:r>
            <w:r>
              <w:rPr>
                <w:rFonts w:cs="Arial"/>
                <w:szCs w:val="18"/>
                <w:lang w:eastAsia="es-ES"/>
              </w:rPr>
              <w:t>Notification Correlation Id for a subscription to an event.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16</w:t>
            </w:r>
          </w:p>
        </w:tc>
        <w:tc>
          <w:tcPr>
            <w:tcW w:w="2798" w:type="dxa"/>
            <w:noWrap w:val="0"/>
            <w:vAlign w:val="top"/>
          </w:tcPr>
          <w:p>
            <w:pPr>
              <w:pStyle w:val="100"/>
            </w:pPr>
            <w:r>
              <w:t>QoSMonitoring</w:t>
            </w:r>
          </w:p>
        </w:tc>
        <w:tc>
          <w:tcPr>
            <w:tcW w:w="5490" w:type="dxa"/>
            <w:noWrap w:val="0"/>
            <w:vAlign w:val="top"/>
          </w:tcPr>
          <w:p>
            <w:pPr>
              <w:pStyle w:val="100"/>
              <w:rPr>
                <w:rFonts w:cs="Arial"/>
                <w:szCs w:val="18"/>
                <w:lang w:eastAsia="es-ES"/>
              </w:rPr>
            </w:pPr>
            <w:r>
              <w:rPr>
                <w:rFonts w:cs="Arial"/>
                <w:szCs w:val="18"/>
                <w:lang w:eastAsia="es-ES"/>
              </w:rPr>
              <w:t>Indicates the support of QoS monitoring functionality and the report of packet delay monitoring. This feature requires the support of the EnhancedSubscriptionToNotification feature.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17</w:t>
            </w:r>
          </w:p>
        </w:tc>
        <w:tc>
          <w:tcPr>
            <w:tcW w:w="2798" w:type="dxa"/>
            <w:noWrap w:val="0"/>
            <w:vAlign w:val="top"/>
          </w:tcPr>
          <w:p>
            <w:pPr>
              <w:pStyle w:val="100"/>
            </w:pPr>
            <w:r>
              <w:t>AuthorizationWithRequiredQoS</w:t>
            </w:r>
          </w:p>
        </w:tc>
        <w:tc>
          <w:tcPr>
            <w:tcW w:w="5490" w:type="dxa"/>
            <w:noWrap w:val="0"/>
            <w:vAlign w:val="top"/>
          </w:tcPr>
          <w:p>
            <w:pPr>
              <w:pStyle w:val="100"/>
              <w:rPr>
                <w:rFonts w:cs="Arial"/>
                <w:szCs w:val="18"/>
                <w:lang w:eastAsia="es-ES"/>
              </w:rPr>
            </w:pPr>
            <w:r>
              <w:rPr>
                <w:rFonts w:cs="Arial"/>
                <w:szCs w:val="18"/>
                <w:lang w:eastAsia="es-ES"/>
              </w:rPr>
              <w:t>Indicates support of policy authorization for the AF session with required QoS.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18</w:t>
            </w:r>
          </w:p>
        </w:tc>
        <w:tc>
          <w:tcPr>
            <w:tcW w:w="2798" w:type="dxa"/>
            <w:noWrap w:val="0"/>
            <w:vAlign w:val="top"/>
          </w:tcPr>
          <w:p>
            <w:pPr>
              <w:pStyle w:val="100"/>
            </w:pPr>
            <w:r>
              <w:t>TimeSensitiveNetworking</w:t>
            </w:r>
          </w:p>
        </w:tc>
        <w:tc>
          <w:tcPr>
            <w:tcW w:w="5490" w:type="dxa"/>
            <w:noWrap w:val="0"/>
            <w:vAlign w:val="top"/>
          </w:tcPr>
          <w:p>
            <w:pPr>
              <w:pStyle w:val="100"/>
              <w:rPr>
                <w:rFonts w:cs="Arial"/>
                <w:szCs w:val="18"/>
                <w:lang w:eastAsia="es-ES"/>
              </w:rPr>
            </w:pPr>
            <w:r>
              <w:rPr>
                <w:rFonts w:cs="Arial"/>
                <w:szCs w:val="18"/>
                <w:lang w:eastAsia="es-ES"/>
              </w:rPr>
              <w:t>Indicates that the 5G System is integrated within the external network as a TSN bridge.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19</w:t>
            </w:r>
          </w:p>
        </w:tc>
        <w:tc>
          <w:tcPr>
            <w:tcW w:w="2798" w:type="dxa"/>
            <w:noWrap w:val="0"/>
            <w:vAlign w:val="top"/>
          </w:tcPr>
          <w:p>
            <w:pPr>
              <w:pStyle w:val="100"/>
            </w:pPr>
            <w:r>
              <w:t>PCSCF-Restoration-Enhancement</w:t>
            </w:r>
          </w:p>
        </w:tc>
        <w:tc>
          <w:tcPr>
            <w:tcW w:w="5490" w:type="dxa"/>
            <w:noWrap w:val="0"/>
            <w:vAlign w:val="top"/>
          </w:tcPr>
          <w:p>
            <w:pPr>
              <w:pStyle w:val="100"/>
              <w:rPr>
                <w:rFonts w:cs="Arial"/>
                <w:szCs w:val="18"/>
                <w:lang w:eastAsia="es-ES"/>
              </w:rPr>
            </w:pPr>
            <w:r>
              <w:rPr>
                <w:rFonts w:cs="Arial"/>
                <w:szCs w:val="18"/>
                <w:lang w:eastAsia="es-ES"/>
              </w:rPr>
              <w:t xml:space="preserve">This feature indicates support of P-CSCF Restoration Enhancement. It is used for </w:t>
            </w:r>
            <w:r>
              <w:rPr>
                <w:rFonts w:eastAsia="Times New Roman" w:cs="Arial"/>
                <w:szCs w:val="18"/>
                <w:lang w:eastAsia="es-ES"/>
              </w:rPr>
              <w:t xml:space="preserve">the </w:t>
            </w:r>
            <w:r>
              <w:rPr>
                <w:rFonts w:cs="Arial"/>
                <w:szCs w:val="18"/>
                <w:lang w:eastAsia="es-ES"/>
              </w:rPr>
              <w:t xml:space="preserve">PCF </w:t>
            </w:r>
            <w:r>
              <w:rPr>
                <w:rFonts w:eastAsia="Times New Roman" w:cs="Arial"/>
                <w:szCs w:val="18"/>
                <w:lang w:eastAsia="es-ES"/>
              </w:rPr>
              <w:t xml:space="preserve">and the P-CSCF to </w:t>
            </w:r>
            <w:r>
              <w:rPr>
                <w:rFonts w:cs="Arial"/>
                <w:szCs w:val="18"/>
                <w:lang w:eastAsia="es-ES"/>
              </w:rPr>
              <w:t xml:space="preserve">indicate if </w:t>
            </w:r>
            <w:r>
              <w:rPr>
                <w:rFonts w:eastAsia="Times New Roman" w:cs="Arial"/>
                <w:szCs w:val="18"/>
                <w:lang w:eastAsia="es-ES"/>
              </w:rPr>
              <w:t>they</w:t>
            </w:r>
            <w:r>
              <w:rPr>
                <w:rFonts w:cs="Arial"/>
                <w:szCs w:val="18"/>
                <w:lang w:eastAsia="es-ES"/>
              </w:rPr>
              <w:t xml:space="preserve"> support P-CSCF Restoration Enhancement</w:t>
            </w:r>
            <w: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20</w:t>
            </w:r>
          </w:p>
        </w:tc>
        <w:tc>
          <w:tcPr>
            <w:tcW w:w="2798" w:type="dxa"/>
            <w:noWrap w:val="0"/>
            <w:vAlign w:val="top"/>
          </w:tcPr>
          <w:p>
            <w:pPr>
              <w:pStyle w:val="100"/>
            </w:pPr>
            <w:r>
              <w:rPr>
                <w:rFonts w:cs="Arial"/>
                <w:szCs w:val="18"/>
              </w:rPr>
              <w:t>CHEM</w:t>
            </w:r>
          </w:p>
        </w:tc>
        <w:tc>
          <w:tcPr>
            <w:tcW w:w="5490" w:type="dxa"/>
            <w:noWrap w:val="0"/>
            <w:vAlign w:val="top"/>
          </w:tcPr>
          <w:p>
            <w:pPr>
              <w:pStyle w:val="100"/>
              <w:rPr>
                <w:rFonts w:cs="Arial"/>
                <w:szCs w:val="18"/>
                <w:lang w:eastAsia="es-ES"/>
              </w:rPr>
            </w:pPr>
            <w:r>
              <w:rPr>
                <w:rFonts w:cs="Arial"/>
                <w:szCs w:val="18"/>
                <w:lang w:eastAsia="zh-CN"/>
              </w:rPr>
              <w:t>This feature indicates the support of Coverage and Handover Enhancements for Media (CHEM).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21</w:t>
            </w:r>
          </w:p>
        </w:tc>
        <w:tc>
          <w:tcPr>
            <w:tcW w:w="2798" w:type="dxa"/>
            <w:noWrap w:val="0"/>
            <w:vAlign w:val="top"/>
          </w:tcPr>
          <w:p>
            <w:pPr>
              <w:pStyle w:val="100"/>
              <w:rPr>
                <w:rFonts w:cs="Arial"/>
                <w:szCs w:val="18"/>
              </w:rPr>
            </w:pPr>
            <w:r>
              <w:rPr>
                <w:rFonts w:cs="Arial"/>
                <w:szCs w:val="18"/>
              </w:rPr>
              <w:t>FLUS</w:t>
            </w:r>
          </w:p>
        </w:tc>
        <w:tc>
          <w:tcPr>
            <w:tcW w:w="5490" w:type="dxa"/>
            <w:noWrap w:val="0"/>
            <w:vAlign w:val="top"/>
          </w:tcPr>
          <w:p>
            <w:pPr>
              <w:pStyle w:val="100"/>
              <w:rPr>
                <w:rFonts w:cs="Arial"/>
                <w:szCs w:val="18"/>
                <w:lang w:eastAsia="zh-CN"/>
              </w:rPr>
            </w:pPr>
            <w:r>
              <w:rPr>
                <w:lang w:eastAsia="zh-CN"/>
              </w:rPr>
              <w:t>This feature indicates the support of FLUS functionality as described in 3GPP TS 26.238 [51].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22</w:t>
            </w:r>
          </w:p>
        </w:tc>
        <w:tc>
          <w:tcPr>
            <w:tcW w:w="2798" w:type="dxa"/>
            <w:noWrap w:val="0"/>
            <w:vAlign w:val="top"/>
          </w:tcPr>
          <w:p>
            <w:pPr>
              <w:pStyle w:val="100"/>
              <w:rPr>
                <w:rFonts w:cs="Arial"/>
                <w:szCs w:val="18"/>
              </w:rPr>
            </w:pPr>
            <w:r>
              <w:rPr>
                <w:rFonts w:cs="Arial"/>
                <w:szCs w:val="18"/>
              </w:rPr>
              <w:t>EPSFallbackReport</w:t>
            </w:r>
          </w:p>
        </w:tc>
        <w:tc>
          <w:tcPr>
            <w:tcW w:w="5490" w:type="dxa"/>
            <w:noWrap w:val="0"/>
            <w:vAlign w:val="top"/>
          </w:tcPr>
          <w:p>
            <w:pPr>
              <w:pStyle w:val="100"/>
              <w:rPr>
                <w:lang w:eastAsia="zh-CN"/>
              </w:rPr>
            </w:pPr>
            <w:r>
              <w:rPr>
                <w:rFonts w:cs="Arial"/>
                <w:szCs w:val="18"/>
                <w:lang w:eastAsia="zh-CN"/>
              </w:rPr>
              <w:t xml:space="preserve">This feature indicates the support of the report of EPS Fallback as defined in </w:t>
            </w:r>
            <w:r>
              <w:t>clauses 4.2.2.30, 4.2.3.29 and 4.2.5.15.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23</w:t>
            </w:r>
          </w:p>
        </w:tc>
        <w:tc>
          <w:tcPr>
            <w:tcW w:w="2798" w:type="dxa"/>
            <w:noWrap w:val="0"/>
            <w:vAlign w:val="top"/>
          </w:tcPr>
          <w:p>
            <w:pPr>
              <w:pStyle w:val="100"/>
              <w:rPr>
                <w:rFonts w:cs="Arial"/>
                <w:szCs w:val="18"/>
              </w:rPr>
            </w:pPr>
            <w:r>
              <w:t>ATSSS</w:t>
            </w:r>
          </w:p>
        </w:tc>
        <w:tc>
          <w:tcPr>
            <w:tcW w:w="5490" w:type="dxa"/>
            <w:noWrap w:val="0"/>
            <w:vAlign w:val="top"/>
          </w:tcPr>
          <w:p>
            <w:pPr>
              <w:pStyle w:val="100"/>
              <w:rPr>
                <w:rFonts w:cs="Arial"/>
                <w:szCs w:val="18"/>
                <w:lang w:eastAsia="zh-CN"/>
              </w:rPr>
            </w:pPr>
            <w:r>
              <w:t>Indicates the support of the report of the multiple access types of a MA PDU session.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24</w:t>
            </w:r>
          </w:p>
        </w:tc>
        <w:tc>
          <w:tcPr>
            <w:tcW w:w="2798" w:type="dxa"/>
            <w:noWrap w:val="0"/>
            <w:vAlign w:val="top"/>
          </w:tcPr>
          <w:p>
            <w:pPr>
              <w:pStyle w:val="100"/>
            </w:pPr>
            <w:r>
              <w:t>QoSHint</w:t>
            </w:r>
          </w:p>
        </w:tc>
        <w:tc>
          <w:tcPr>
            <w:tcW w:w="5490" w:type="dxa"/>
            <w:noWrap w:val="0"/>
            <w:vAlign w:val="top"/>
          </w:tcPr>
          <w:p>
            <w:pPr>
              <w:pStyle w:val="100"/>
            </w:pPr>
            <w:r>
              <w:rPr>
                <w:lang w:eastAsia="zh-CN"/>
              </w:rPr>
              <w:t xml:space="preserve">This feature indicates the support of specific QoS hint parameters as described in </w:t>
            </w:r>
            <w:r>
              <w:t>3GPP TS 26.114 [30], clause 6.2.10.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25</w:t>
            </w:r>
          </w:p>
        </w:tc>
        <w:tc>
          <w:tcPr>
            <w:tcW w:w="2798" w:type="dxa"/>
            <w:noWrap w:val="0"/>
            <w:vAlign w:val="top"/>
          </w:tcPr>
          <w:p>
            <w:pPr>
              <w:pStyle w:val="100"/>
            </w:pPr>
            <w:r>
              <w:rPr>
                <w:rFonts w:cs="Arial"/>
                <w:szCs w:val="18"/>
              </w:rPr>
              <w:t>ReallocationOfCredit</w:t>
            </w:r>
          </w:p>
        </w:tc>
        <w:tc>
          <w:tcPr>
            <w:tcW w:w="5490" w:type="dxa"/>
            <w:noWrap w:val="0"/>
            <w:vAlign w:val="top"/>
          </w:tcPr>
          <w:p>
            <w:pPr>
              <w:pStyle w:val="100"/>
              <w:rPr>
                <w:lang w:eastAsia="zh-CN"/>
              </w:rPr>
            </w:pPr>
            <w:r>
              <w:rPr>
                <w:rFonts w:cs="Arial"/>
                <w:szCs w:val="18"/>
                <w:lang w:eastAsia="zh-CN"/>
              </w:rPr>
              <w:t>This feature indicates the support of notifications of reallocation of credits events. It requires the support of IMS_SBI feature.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26</w:t>
            </w:r>
          </w:p>
        </w:tc>
        <w:tc>
          <w:tcPr>
            <w:tcW w:w="2798" w:type="dxa"/>
            <w:noWrap w:val="0"/>
            <w:vAlign w:val="top"/>
          </w:tcPr>
          <w:p>
            <w:pPr>
              <w:pStyle w:val="100"/>
              <w:rPr>
                <w:rFonts w:cs="Arial"/>
                <w:szCs w:val="18"/>
              </w:rPr>
            </w:pPr>
            <w:bookmarkStart w:id="93" w:name="OLE_LINK24"/>
            <w:r>
              <w:rPr>
                <w:rFonts w:cs="Arial"/>
                <w:szCs w:val="18"/>
              </w:rPr>
              <w:t>ES3XX</w:t>
            </w:r>
            <w:bookmarkEnd w:id="93"/>
          </w:p>
        </w:tc>
        <w:tc>
          <w:tcPr>
            <w:tcW w:w="5490" w:type="dxa"/>
            <w:noWrap w:val="0"/>
            <w:vAlign w:val="top"/>
          </w:tcPr>
          <w:p>
            <w:pPr>
              <w:pStyle w:val="100"/>
              <w:rPr>
                <w:rFonts w:cs="Arial"/>
                <w:szCs w:val="18"/>
                <w:lang w:eastAsia="zh-CN"/>
              </w:rPr>
            </w:pPr>
            <w:r>
              <w:rPr>
                <w:rFonts w:cs="Arial"/>
                <w:szCs w:val="18"/>
                <w:lang w:eastAsia="zh-CN"/>
              </w:rPr>
              <w:t xml:space="preserve">Extended Support for 3xx redirections. This feature indicates the support </w:t>
            </w:r>
            <w:r>
              <w:rPr>
                <w:lang w:eastAsia="zh-CN"/>
              </w:rPr>
              <w:t xml:space="preserve">of redirection for any service operation, according to Stateless NF procedures </w:t>
            </w:r>
            <w:r>
              <w:rPr>
                <w:rFonts w:cs="Arial"/>
                <w:szCs w:val="18"/>
                <w:lang w:eastAsia="zh-CN"/>
              </w:rPr>
              <w:t>as specified in</w:t>
            </w:r>
            <w:r>
              <w:t xml:space="preserve"> clauses 6.5.3.2 and 6.5.3.3 of 3GPP TS 29.500 [5] and according to HTTP redirection principles for indirect communication, as specified in clause 6.10.9 of 3GPP TS 29.500 [5].</w:t>
            </w:r>
            <w:r>
              <w:rPr>
                <w:lang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27</w:t>
            </w:r>
          </w:p>
        </w:tc>
        <w:tc>
          <w:tcPr>
            <w:tcW w:w="2798" w:type="dxa"/>
            <w:noWrap w:val="0"/>
            <w:vAlign w:val="top"/>
          </w:tcPr>
          <w:p>
            <w:pPr>
              <w:pStyle w:val="100"/>
              <w:rPr>
                <w:rFonts w:cs="Arial"/>
                <w:szCs w:val="18"/>
              </w:rPr>
            </w:pPr>
            <w:bookmarkStart w:id="94" w:name="OLE_LINK21"/>
            <w:r>
              <w:rPr>
                <w:rFonts w:hint="eastAsia"/>
                <w:lang w:eastAsia="zh-CN"/>
              </w:rPr>
              <w:t>D</w:t>
            </w:r>
            <w:r>
              <w:rPr>
                <w:lang w:eastAsia="zh-CN"/>
              </w:rPr>
              <w:t>isableUENotification</w:t>
            </w:r>
            <w:bookmarkEnd w:id="94"/>
          </w:p>
        </w:tc>
        <w:tc>
          <w:tcPr>
            <w:tcW w:w="5490" w:type="dxa"/>
            <w:noWrap w:val="0"/>
            <w:vAlign w:val="top"/>
          </w:tcPr>
          <w:p>
            <w:pPr>
              <w:pStyle w:val="100"/>
              <w:rPr>
                <w:rFonts w:cs="Arial"/>
                <w:szCs w:val="18"/>
                <w:lang w:eastAsia="zh-CN"/>
              </w:rPr>
            </w:pPr>
            <w:r>
              <w:rPr>
                <w:lang w:eastAsia="zh-CN"/>
              </w:rPr>
              <w:t xml:space="preserve">Indicates the support of </w:t>
            </w:r>
            <w:r>
              <w:rPr>
                <w:szCs w:val="18"/>
              </w:rPr>
              <w:t>disabling QoS flow parameters signalling to the UE when the SMF is notified by the NG-RAN of changes in the fulfilled QoS situation</w:t>
            </w:r>
            <w:r>
              <w:rPr>
                <w:lang w:eastAsia="zh-CN"/>
              </w:rPr>
              <w:t>.</w:t>
            </w:r>
            <w:r>
              <w:rPr>
                <w:rFonts w:eastAsia="Malgun Gothic"/>
                <w:lang w:eastAsia="ja-JP"/>
              </w:rPr>
              <w:t xml:space="preserve"> </w:t>
            </w:r>
            <w:r>
              <w:rPr>
                <w:rFonts w:cs="Arial"/>
                <w:szCs w:val="18"/>
                <w:lang w:eastAsia="zh-CN"/>
              </w:rPr>
              <w:t xml:space="preserve">This feature requires that the </w:t>
            </w:r>
            <w:r>
              <w:t>AuthorizationWithRequiredQoS featute is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28</w:t>
            </w:r>
          </w:p>
        </w:tc>
        <w:tc>
          <w:tcPr>
            <w:tcW w:w="2798" w:type="dxa"/>
            <w:noWrap w:val="0"/>
            <w:vAlign w:val="top"/>
          </w:tcPr>
          <w:p>
            <w:pPr>
              <w:pStyle w:val="100"/>
              <w:rPr>
                <w:rFonts w:hint="eastAsia"/>
                <w:lang w:eastAsia="zh-CN"/>
              </w:rPr>
            </w:pPr>
            <w:r>
              <w:rPr>
                <w:lang w:eastAsia="fr-FR"/>
              </w:rPr>
              <w:t>PatchCorrection</w:t>
            </w:r>
          </w:p>
        </w:tc>
        <w:tc>
          <w:tcPr>
            <w:tcW w:w="5490" w:type="dxa"/>
            <w:noWrap w:val="0"/>
            <w:vAlign w:val="top"/>
          </w:tcPr>
          <w:p>
            <w:pPr>
              <w:pStyle w:val="100"/>
              <w:rPr>
                <w:lang w:eastAsia="fr-FR"/>
              </w:rPr>
            </w:pPr>
            <w:r>
              <w:rPr>
                <w:rFonts w:cs="Arial"/>
                <w:szCs w:val="18"/>
                <w:lang w:eastAsia="fr-FR"/>
              </w:rPr>
              <w:t xml:space="preserve">Indicates </w:t>
            </w:r>
            <w:r>
              <w:rPr>
                <w:lang w:eastAsia="fr-FR"/>
              </w:rPr>
              <w:t>support of the correction to the PATCH method:</w:t>
            </w:r>
          </w:p>
          <w:p>
            <w:pPr>
              <w:pStyle w:val="100"/>
              <w:rPr>
                <w:lang w:eastAsia="zh-CN"/>
              </w:rPr>
            </w:pPr>
            <w:r>
              <w:rPr>
                <w:lang w:eastAsia="zh-CN"/>
              </w:rPr>
              <w:t>When this feature is not supported, the interoperability between a NF service consumer and the PCF can only be ensured when it is not required the update of the Individual Application Session Context resource.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29</w:t>
            </w:r>
          </w:p>
        </w:tc>
        <w:tc>
          <w:tcPr>
            <w:tcW w:w="2798" w:type="dxa"/>
            <w:noWrap w:val="0"/>
            <w:vAlign w:val="top"/>
          </w:tcPr>
          <w:p>
            <w:pPr>
              <w:pStyle w:val="100"/>
              <w:rPr>
                <w:lang w:eastAsia="fr-FR"/>
              </w:rPr>
            </w:pPr>
            <w:r>
              <w:rPr>
                <w:rFonts w:cs="Arial"/>
                <w:szCs w:val="18"/>
              </w:rPr>
              <w:t>MPSforDTS</w:t>
            </w:r>
          </w:p>
        </w:tc>
        <w:tc>
          <w:tcPr>
            <w:tcW w:w="5490" w:type="dxa"/>
            <w:noWrap w:val="0"/>
            <w:vAlign w:val="top"/>
          </w:tcPr>
          <w:p>
            <w:pPr>
              <w:pStyle w:val="100"/>
              <w:rPr>
                <w:rFonts w:cs="Arial"/>
                <w:szCs w:val="18"/>
                <w:lang w:eastAsia="fr-FR"/>
              </w:rPr>
            </w:pPr>
            <w:r>
              <w:rPr>
                <w:rFonts w:cs="Arial"/>
                <w:szCs w:val="18"/>
                <w:lang w:eastAsia="zh-CN"/>
              </w:rPr>
              <w:t>Indicates support for MPS for DTS as described in clauses 4.2.2.12.2 and 4.2.3.12.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30</w:t>
            </w:r>
          </w:p>
        </w:tc>
        <w:tc>
          <w:tcPr>
            <w:tcW w:w="2798" w:type="dxa"/>
            <w:noWrap w:val="0"/>
            <w:vAlign w:val="top"/>
          </w:tcPr>
          <w:p>
            <w:pPr>
              <w:pStyle w:val="100"/>
              <w:rPr>
                <w:rFonts w:cs="Arial"/>
                <w:szCs w:val="18"/>
              </w:rPr>
            </w:pPr>
            <w:r>
              <w:rPr>
                <w:lang w:eastAsia="fr-FR"/>
              </w:rPr>
              <w:t>ApplicationDetectionEvents</w:t>
            </w:r>
          </w:p>
        </w:tc>
        <w:tc>
          <w:tcPr>
            <w:tcW w:w="5490" w:type="dxa"/>
            <w:noWrap w:val="0"/>
            <w:vAlign w:val="top"/>
          </w:tcPr>
          <w:p>
            <w:pPr>
              <w:pStyle w:val="100"/>
              <w:rPr>
                <w:rFonts w:cs="Arial"/>
                <w:szCs w:val="18"/>
                <w:lang w:eastAsia="zh-CN"/>
              </w:rPr>
            </w:pPr>
            <w:r>
              <w:rPr>
                <w:rFonts w:cs="Arial"/>
                <w:szCs w:val="18"/>
                <w:lang w:eastAsia="fr-FR"/>
              </w:rPr>
              <w:t>This feature indicates the support of the subscription to notifications of the detection of the start and stop of an application</w:t>
            </w:r>
            <w:r>
              <w:rPr>
                <w:lang w:eastAsia="zh-CN"/>
              </w:rPr>
              <w:t>'</w:t>
            </w:r>
            <w:r>
              <w:rPr>
                <w:rFonts w:cs="Arial"/>
                <w:szCs w:val="18"/>
                <w:lang w:eastAsia="fr-FR"/>
              </w:rPr>
              <w:t>s traffic.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31</w:t>
            </w:r>
          </w:p>
        </w:tc>
        <w:tc>
          <w:tcPr>
            <w:tcW w:w="2798" w:type="dxa"/>
            <w:noWrap w:val="0"/>
            <w:vAlign w:val="top"/>
          </w:tcPr>
          <w:p>
            <w:pPr>
              <w:pStyle w:val="100"/>
              <w:rPr>
                <w:lang w:eastAsia="fr-FR"/>
              </w:rPr>
            </w:pPr>
            <w:r>
              <w:t>TimeSensitiveCommunication</w:t>
            </w:r>
          </w:p>
        </w:tc>
        <w:tc>
          <w:tcPr>
            <w:tcW w:w="5490" w:type="dxa"/>
            <w:noWrap w:val="0"/>
            <w:vAlign w:val="top"/>
          </w:tcPr>
          <w:p>
            <w:pPr>
              <w:pStyle w:val="100"/>
              <w:rPr>
                <w:rFonts w:cs="Arial"/>
                <w:szCs w:val="18"/>
                <w:lang w:eastAsia="fr-FR"/>
              </w:rPr>
            </w:pPr>
            <w:r>
              <w:t xml:space="preserve">Indicates that the 5G System is integrated within the external network as a </w:t>
            </w:r>
            <w:r>
              <w:rPr>
                <w:lang w:eastAsia="zh-CN"/>
              </w:rPr>
              <w:t xml:space="preserve">TSC </w:t>
            </w:r>
            <w:r>
              <w:t>user plane node to enable Time Sensitive Communication, Time Synchronization and Deterministic Networking.</w:t>
            </w:r>
            <w:r>
              <w:rPr>
                <w:rFonts w:cs="Arial"/>
                <w:szCs w:val="18"/>
                <w:lang w:eastAsia="zh-CN"/>
              </w:rPr>
              <w:t xml:space="preserve"> This feature requires that the </w:t>
            </w:r>
            <w:r>
              <w:t>TimeSensitiveNetworking feature is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32</w:t>
            </w:r>
          </w:p>
        </w:tc>
        <w:tc>
          <w:tcPr>
            <w:tcW w:w="2798" w:type="dxa"/>
            <w:noWrap w:val="0"/>
            <w:vAlign w:val="top"/>
          </w:tcPr>
          <w:p>
            <w:pPr>
              <w:pStyle w:val="100"/>
            </w:pPr>
            <w:bookmarkStart w:id="95" w:name="OLE_LINK23"/>
            <w:r>
              <w:t>ExposureToEAS</w:t>
            </w:r>
            <w:bookmarkEnd w:id="95"/>
          </w:p>
        </w:tc>
        <w:tc>
          <w:tcPr>
            <w:tcW w:w="5490" w:type="dxa"/>
            <w:noWrap w:val="0"/>
            <w:vAlign w:val="top"/>
          </w:tcPr>
          <w:p>
            <w:pPr>
              <w:pStyle w:val="100"/>
            </w:pPr>
            <w:r>
              <w:t xml:space="preserve">This feature indicates the support of the indication of direct event notification of QoS monitoring events from the UPF to the Local NEF or AF in 5GC. </w:t>
            </w:r>
            <w:r>
              <w:rPr>
                <w:rFonts w:cs="Arial"/>
                <w:szCs w:val="18"/>
                <w:lang w:eastAsia="zh-CN"/>
              </w:rPr>
              <w:t xml:space="preserve">This indication requires that the </w:t>
            </w:r>
            <w:r>
              <w:t>QoSMonitoring feature is supported.</w:t>
            </w:r>
          </w:p>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33</w:t>
            </w:r>
          </w:p>
        </w:tc>
        <w:tc>
          <w:tcPr>
            <w:tcW w:w="2798" w:type="dxa"/>
            <w:noWrap w:val="0"/>
            <w:vAlign w:val="top"/>
          </w:tcPr>
          <w:p>
            <w:pPr>
              <w:pStyle w:val="100"/>
            </w:pPr>
            <w:r>
              <w:rPr>
                <w:lang w:eastAsia="fr-FR"/>
              </w:rPr>
              <w:t>SatelliteBackhaul</w:t>
            </w:r>
          </w:p>
        </w:tc>
        <w:tc>
          <w:tcPr>
            <w:tcW w:w="5490" w:type="dxa"/>
            <w:noWrap w:val="0"/>
            <w:vAlign w:val="top"/>
          </w:tcPr>
          <w:p>
            <w:pPr>
              <w:pStyle w:val="100"/>
            </w:pPr>
            <w:r>
              <w:rPr>
                <w:rFonts w:cs="Arial"/>
                <w:szCs w:val="18"/>
                <w:lang w:eastAsia="fr-FR"/>
              </w:rPr>
              <w:t>Indicates the support of the report of the satellite or non-satellite backhaul category of the PDU session.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34</w:t>
            </w:r>
          </w:p>
        </w:tc>
        <w:tc>
          <w:tcPr>
            <w:tcW w:w="2798" w:type="dxa"/>
            <w:noWrap w:val="0"/>
            <w:vAlign w:val="top"/>
          </w:tcPr>
          <w:p>
            <w:pPr>
              <w:pStyle w:val="100"/>
              <w:rPr>
                <w:lang w:eastAsia="fr-FR"/>
              </w:rPr>
            </w:pPr>
            <w:r>
              <w:rPr>
                <w:lang w:eastAsia="zh-CN"/>
              </w:rPr>
              <w:t>RoutingReqOutcome</w:t>
            </w:r>
          </w:p>
        </w:tc>
        <w:tc>
          <w:tcPr>
            <w:tcW w:w="5490" w:type="dxa"/>
            <w:noWrap w:val="0"/>
            <w:vAlign w:val="top"/>
          </w:tcPr>
          <w:p>
            <w:pPr>
              <w:pStyle w:val="100"/>
              <w:rPr>
                <w:rFonts w:cs="Arial"/>
                <w:szCs w:val="18"/>
                <w:lang w:eastAsia="fr-FR"/>
              </w:rPr>
            </w:pPr>
            <w:r>
              <w:rPr>
                <w:rFonts w:cs="Arial"/>
                <w:szCs w:val="18"/>
                <w:lang w:eastAsia="fr-FR"/>
              </w:rPr>
              <w:t>Indicates the support of:</w:t>
            </w:r>
          </w:p>
          <w:p>
            <w:pPr>
              <w:pStyle w:val="100"/>
              <w:rPr>
                <w:rFonts w:cs="Arial"/>
                <w:szCs w:val="18"/>
                <w:lang w:eastAsia="fr-FR"/>
              </w:rPr>
            </w:pPr>
            <w:r>
              <w:rPr>
                <w:rFonts w:cs="Arial"/>
                <w:szCs w:val="18"/>
                <w:lang w:eastAsia="fr-FR"/>
              </w:rPr>
              <w:t>-</w:t>
            </w:r>
            <w:r>
              <w:tab/>
            </w:r>
            <w:r>
              <w:rPr>
                <w:rFonts w:cs="Arial"/>
                <w:szCs w:val="18"/>
                <w:lang w:eastAsia="fr-FR"/>
              </w:rPr>
              <w:t xml:space="preserve">the report of UP path change failures; and </w:t>
            </w:r>
          </w:p>
          <w:p>
            <w:pPr>
              <w:pStyle w:val="100"/>
              <w:rPr>
                <w:rFonts w:cs="Arial"/>
                <w:szCs w:val="18"/>
                <w:lang w:eastAsia="fr-FR"/>
              </w:rPr>
            </w:pPr>
            <w:r>
              <w:rPr>
                <w:rFonts w:cs="Arial"/>
                <w:szCs w:val="18"/>
                <w:lang w:eastAsia="fr-FR"/>
              </w:rPr>
              <w:t>-</w:t>
            </w:r>
            <w:r>
              <w:tab/>
            </w:r>
            <w:r>
              <w:rPr>
                <w:rFonts w:cs="Arial"/>
                <w:szCs w:val="18"/>
                <w:lang w:eastAsia="fr-FR"/>
              </w:rPr>
              <w:t>the indication of whether AF routing requirements are applied.</w:t>
            </w:r>
          </w:p>
          <w:p>
            <w:pPr>
              <w:pStyle w:val="100"/>
              <w:rPr>
                <w:rFonts w:cs="Arial"/>
                <w:szCs w:val="18"/>
                <w:lang w:eastAsia="fr-FR"/>
              </w:rPr>
            </w:pPr>
            <w:r>
              <w:rPr>
                <w:rFonts w:cs="Arial"/>
                <w:szCs w:val="18"/>
                <w:lang w:eastAsia="fr-FR"/>
              </w:rPr>
              <w:t>It requires the support of I</w:t>
            </w:r>
            <w:r>
              <w:t>nfluenceOnTrafficRouting feature.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35</w:t>
            </w:r>
          </w:p>
        </w:tc>
        <w:tc>
          <w:tcPr>
            <w:tcW w:w="2798" w:type="dxa"/>
            <w:noWrap w:val="0"/>
            <w:vAlign w:val="top"/>
          </w:tcPr>
          <w:p>
            <w:pPr>
              <w:pStyle w:val="100"/>
              <w:rPr>
                <w:lang w:eastAsia="zh-CN"/>
              </w:rPr>
            </w:pPr>
            <w:r>
              <w:rPr>
                <w:lang w:eastAsia="zh-CN"/>
              </w:rPr>
              <w:t>EASDiscovery</w:t>
            </w:r>
          </w:p>
        </w:tc>
        <w:tc>
          <w:tcPr>
            <w:tcW w:w="5490" w:type="dxa"/>
            <w:noWrap w:val="0"/>
            <w:vAlign w:val="top"/>
          </w:tcPr>
          <w:p>
            <w:pPr>
              <w:pStyle w:val="100"/>
              <w:rPr>
                <w:rFonts w:cs="Arial"/>
                <w:szCs w:val="18"/>
                <w:lang w:eastAsia="fr-FR"/>
              </w:rPr>
            </w:pPr>
            <w:r>
              <w:t xml:space="preserve">This feature indicates the support of </w:t>
            </w:r>
            <w:r>
              <w:rPr>
                <w:rFonts w:hint="eastAsia"/>
                <w:lang w:eastAsia="zh-CN"/>
              </w:rPr>
              <w:t>EAS</w:t>
            </w:r>
            <w:r>
              <w:t xml:space="preserve"> (re)discovery.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36</w:t>
            </w:r>
          </w:p>
        </w:tc>
        <w:tc>
          <w:tcPr>
            <w:tcW w:w="2798" w:type="dxa"/>
            <w:noWrap w:val="0"/>
            <w:vAlign w:val="top"/>
          </w:tcPr>
          <w:p>
            <w:pPr>
              <w:pStyle w:val="100"/>
              <w:rPr>
                <w:lang w:eastAsia="zh-CN"/>
              </w:rPr>
            </w:pPr>
            <w:r>
              <w:rPr>
                <w:rFonts w:eastAsia="Times New Roman"/>
                <w:lang w:val="en-US"/>
              </w:rPr>
              <w:t>AltSerReqsWithIndQoS</w:t>
            </w:r>
          </w:p>
        </w:tc>
        <w:tc>
          <w:tcPr>
            <w:tcW w:w="5490" w:type="dxa"/>
            <w:noWrap w:val="0"/>
            <w:vAlign w:val="top"/>
          </w:tcPr>
          <w:p>
            <w:pPr>
              <w:pStyle w:val="100"/>
            </w:pPr>
            <w:r>
              <w:rPr>
                <w:rFonts w:cs="Arial"/>
                <w:szCs w:val="18"/>
                <w:lang w:eastAsia="fr-FR"/>
              </w:rPr>
              <w:t xml:space="preserve">Indicates the support of provisioning </w:t>
            </w:r>
            <w:r>
              <w:rPr>
                <w:rFonts w:eastAsia="Times New Roman"/>
                <w:lang w:val="en-US"/>
              </w:rPr>
              <w:t xml:space="preserve">Alternative Service Requirements with individual QoS parameters. </w:t>
            </w:r>
            <w:r>
              <w:rPr>
                <w:rFonts w:cs="Arial"/>
                <w:szCs w:val="18"/>
                <w:lang w:eastAsia="zh-CN"/>
              </w:rPr>
              <w:t xml:space="preserve">This feature requires that the </w:t>
            </w:r>
            <w:r>
              <w:t>AuthorizationWithRequiredQoS feature is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37</w:t>
            </w:r>
          </w:p>
        </w:tc>
        <w:tc>
          <w:tcPr>
            <w:tcW w:w="2798" w:type="dxa"/>
            <w:noWrap w:val="0"/>
            <w:vAlign w:val="top"/>
          </w:tcPr>
          <w:p>
            <w:pPr>
              <w:pStyle w:val="100"/>
              <w:rPr>
                <w:rFonts w:eastAsia="Times New Roman"/>
                <w:lang w:val="en-US"/>
              </w:rPr>
            </w:pPr>
            <w:r>
              <w:rPr>
                <w:lang w:eastAsia="zh-CN"/>
              </w:rPr>
              <w:t>SimultConnectivity</w:t>
            </w:r>
          </w:p>
        </w:tc>
        <w:tc>
          <w:tcPr>
            <w:tcW w:w="5490" w:type="dxa"/>
            <w:noWrap w:val="0"/>
            <w:vAlign w:val="top"/>
          </w:tcPr>
          <w:p>
            <w:pPr>
              <w:pStyle w:val="100"/>
              <w:rPr>
                <w:rFonts w:cs="Arial"/>
                <w:szCs w:val="18"/>
                <w:lang w:eastAsia="fr-FR"/>
              </w:rPr>
            </w:pPr>
            <w:r>
              <w:rPr>
                <w:lang w:eastAsia="fr-FR"/>
              </w:rPr>
              <w:t>This feature indicates the support of the indication of temporary simultaneous connectivity over source and target PSA at edge relocation. This indication requires that the InfluenceOnTrafficRouting feature is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38</w:t>
            </w:r>
          </w:p>
        </w:tc>
        <w:tc>
          <w:tcPr>
            <w:tcW w:w="2798" w:type="dxa"/>
            <w:noWrap w:val="0"/>
            <w:vAlign w:val="top"/>
          </w:tcPr>
          <w:p>
            <w:pPr>
              <w:pStyle w:val="100"/>
              <w:rPr>
                <w:rFonts w:eastAsia="Times New Roman"/>
                <w:lang w:val="en-US"/>
              </w:rPr>
            </w:pPr>
            <w:r>
              <w:rPr>
                <w:lang w:eastAsia="zh-CN"/>
              </w:rPr>
              <w:t>EASIPreplacement</w:t>
            </w:r>
          </w:p>
        </w:tc>
        <w:tc>
          <w:tcPr>
            <w:tcW w:w="5490" w:type="dxa"/>
            <w:noWrap w:val="0"/>
            <w:vAlign w:val="top"/>
          </w:tcPr>
          <w:p>
            <w:pPr>
              <w:pStyle w:val="100"/>
              <w:rPr>
                <w:rFonts w:cs="Arial"/>
                <w:szCs w:val="18"/>
                <w:lang w:eastAsia="fr-FR"/>
              </w:rPr>
            </w:pPr>
            <w:r>
              <w:rPr>
                <w:lang w:eastAsia="fr-FR"/>
              </w:rPr>
              <w:t xml:space="preserve">This feature indicates the support of </w:t>
            </w:r>
            <w:r>
              <w:rPr>
                <w:lang w:val="en-US" w:eastAsia="fr-FR"/>
              </w:rPr>
              <w:t>provisioning of EAS IP replacement info. This support requires that InfluenceOnTrafficRouting feature is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39</w:t>
            </w:r>
          </w:p>
        </w:tc>
        <w:tc>
          <w:tcPr>
            <w:tcW w:w="2798" w:type="dxa"/>
            <w:noWrap w:val="0"/>
            <w:vAlign w:val="top"/>
          </w:tcPr>
          <w:p>
            <w:pPr>
              <w:pStyle w:val="100"/>
              <w:rPr>
                <w:lang w:eastAsia="zh-CN"/>
              </w:rPr>
            </w:pPr>
            <w:r>
              <w:rPr>
                <w:lang w:eastAsia="zh-CN"/>
              </w:rPr>
              <w:t>AccNetChargId_String</w:t>
            </w:r>
          </w:p>
        </w:tc>
        <w:tc>
          <w:tcPr>
            <w:tcW w:w="5490" w:type="dxa"/>
            <w:noWrap w:val="0"/>
            <w:vAlign w:val="top"/>
          </w:tcPr>
          <w:p>
            <w:pPr>
              <w:pStyle w:val="100"/>
              <w:rPr>
                <w:lang w:eastAsia="fr-FR"/>
              </w:rPr>
            </w:pPr>
            <w:r>
              <w:t>This feature indicates the support of long character strings as access network charging identifier.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40</w:t>
            </w:r>
          </w:p>
        </w:tc>
        <w:tc>
          <w:tcPr>
            <w:tcW w:w="2798" w:type="dxa"/>
            <w:noWrap w:val="0"/>
            <w:vAlign w:val="top"/>
          </w:tcPr>
          <w:p>
            <w:pPr>
              <w:pStyle w:val="100"/>
              <w:rPr>
                <w:lang w:eastAsia="zh-CN"/>
              </w:rPr>
            </w:pPr>
            <w:r>
              <w:t>WLAN_Location</w:t>
            </w:r>
          </w:p>
        </w:tc>
        <w:tc>
          <w:tcPr>
            <w:tcW w:w="5490" w:type="dxa"/>
            <w:noWrap w:val="0"/>
            <w:vAlign w:val="top"/>
          </w:tcPr>
          <w:p>
            <w:pPr>
              <w:pStyle w:val="100"/>
            </w:pPr>
            <w:r>
              <w:t>This feature indicates the support of the report of the WLAN location information received from the ePDG/EPC, if available. It is only applicable to EPS interworking scenarios as described in 3GPP TS 29.512 [8], Annex 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41</w:t>
            </w:r>
          </w:p>
        </w:tc>
        <w:tc>
          <w:tcPr>
            <w:tcW w:w="2798" w:type="dxa"/>
            <w:noWrap w:val="0"/>
            <w:vAlign w:val="top"/>
          </w:tcPr>
          <w:p>
            <w:pPr>
              <w:pStyle w:val="100"/>
            </w:pPr>
            <w:r>
              <w:rPr>
                <w:lang w:eastAsia="zh-CN"/>
              </w:rPr>
              <w:t>AF_latency</w:t>
            </w:r>
          </w:p>
        </w:tc>
        <w:tc>
          <w:tcPr>
            <w:tcW w:w="5490" w:type="dxa"/>
            <w:noWrap w:val="0"/>
            <w:vAlign w:val="top"/>
          </w:tcPr>
          <w:p>
            <w:pPr>
              <w:pStyle w:val="100"/>
            </w:pPr>
            <w:r>
              <w:rPr>
                <w:rFonts w:eastAsia="Times New Roman"/>
              </w:rPr>
              <w:t xml:space="preserve">This feature indicates support for </w:t>
            </w:r>
            <w:r>
              <w:rPr>
                <w:bCs/>
              </w:rPr>
              <w:t>edge relocation considering user plane latency.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42</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rPr>
                <w:lang w:eastAsia="zh-CN"/>
              </w:rPr>
              <w:t>UEUnreachable</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eastAsia="Times New Roman"/>
              </w:rPr>
            </w:pPr>
            <w:r>
              <w:rPr>
                <w:rFonts w:eastAsia="Times New Roman"/>
              </w:rPr>
              <w:t>This feature indicates the support for the reporting of UE temporary unavailable.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43</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rPr>
                <w:lang w:eastAsia="zh-CN"/>
              </w:rPr>
              <w:t>AltQoSProfilesSupportReport</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eastAsia="Times New Roman"/>
              </w:rPr>
            </w:pPr>
            <w:r>
              <w:rPr>
                <w:rFonts w:eastAsia="Times New Roman"/>
              </w:rPr>
              <w:t>This feature indicates the support of the report of whether Alternative QoS parameters are supported by NG-RAN. This feature requires that AuthorizationWithRequiredQoS feature is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44</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rPr>
                <w:lang w:eastAsia="fr-FR"/>
              </w:rPr>
              <w:t>PacketDelayFailureReport</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eastAsia="Times New Roman"/>
              </w:rPr>
            </w:pPr>
            <w:r>
              <w:rPr>
                <w:lang w:eastAsia="zh-CN"/>
              </w:rPr>
              <w:t>Indicates the support of packet delay failure report as part of QoS Monitoring procedures. This feature requires that QoSMonitoring feature is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45</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t>EnTSCAC</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cs="Arial"/>
                <w:szCs w:val="18"/>
                <w:lang w:eastAsia="es-ES"/>
              </w:rPr>
            </w:pPr>
            <w:r>
              <w:rPr>
                <w:rFonts w:cs="Arial"/>
                <w:szCs w:val="18"/>
                <w:lang w:eastAsia="es-ES"/>
              </w:rPr>
              <w:t>Indicates the support of extensions to TSCAC, e.g. burst arrival time window adaptation, periodicity adjustment.</w:t>
            </w:r>
          </w:p>
          <w:p>
            <w:pPr>
              <w:pStyle w:val="100"/>
              <w:rPr>
                <w:rFonts w:eastAsia="Times New Roman"/>
              </w:rPr>
            </w:pPr>
            <w:r>
              <w:rPr>
                <w:rFonts w:eastAsia="Malgun Gothic"/>
                <w:lang w:eastAsia="ja-JP"/>
              </w:rPr>
              <w:t xml:space="preserve">This feature </w:t>
            </w:r>
            <w:r>
              <w:rPr>
                <w:rFonts w:cs="Arial"/>
                <w:szCs w:val="18"/>
                <w:lang w:eastAsia="zh-CN"/>
              </w:rPr>
              <w:t xml:space="preserve">requires that the </w:t>
            </w:r>
            <w:r>
              <w:t>TimeSensitiveCommunication feature is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46</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pPr>
            <w:r>
              <w:rPr>
                <w:lang w:eastAsia="zh-CN"/>
              </w:rPr>
              <w:t>SignalingPathValidation</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cs="Arial"/>
                <w:szCs w:val="18"/>
                <w:lang w:eastAsia="es-ES"/>
              </w:rPr>
            </w:pPr>
            <w:r>
              <w:t>This feature indicates the support of the validation of the NF type that originates the Npcf_PolicyAuthorization_Create request.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47</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rPr>
                <w:lang w:eastAsia="zh-CN"/>
              </w:rPr>
              <w:t>ExtQoS</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pPr>
            <w:r>
              <w:rPr>
                <w:rFonts w:eastAsia="Times New Roman"/>
              </w:rPr>
              <w:t xml:space="preserve">This feature indicates </w:t>
            </w:r>
            <w:r>
              <w:rPr>
                <w:rFonts w:hint="eastAsia"/>
                <w:lang w:eastAsia="ja-JP"/>
              </w:rPr>
              <w:t>t</w:t>
            </w:r>
            <w:r>
              <w:rPr>
                <w:lang w:eastAsia="ja-JP"/>
              </w:rPr>
              <w:t>he</w:t>
            </w:r>
            <w:r>
              <w:rPr>
                <w:rFonts w:eastAsia="Times New Roman"/>
              </w:rPr>
              <w:t xml:space="preserve"> support for the extensions to the QoS mechanisms.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rPr>
                <w:lang w:eastAsia="zh-CN"/>
              </w:rPr>
              <w:t>48</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rPr>
                <w:rFonts w:cs="Arial"/>
                <w:szCs w:val="18"/>
                <w:lang w:eastAsia="zh-CN"/>
              </w:rPr>
              <w:t>CommonEASDNAI</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eastAsia="Times New Roman"/>
              </w:rPr>
            </w:pPr>
            <w:r>
              <w:t>This feature controls the support of the common EAS</w:t>
            </w:r>
            <w:r>
              <w:rPr>
                <w:rFonts w:hint="eastAsia"/>
                <w:lang w:eastAsia="zh-CN"/>
              </w:rPr>
              <w:t>/</w:t>
            </w:r>
            <w:r>
              <w:rPr>
                <w:lang w:eastAsia="zh-CN"/>
              </w:rPr>
              <w:t>DNAI</w:t>
            </w:r>
            <w:r>
              <w:t xml:space="preserve"> selection.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rPr>
                <w:color w:val="auto"/>
                <w:lang w:eastAsia="zh-CN"/>
              </w:rPr>
            </w:pPr>
            <w:r>
              <w:rPr>
                <w:color w:val="auto"/>
              </w:rPr>
              <w:t>49</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rFonts w:cs="Arial"/>
                <w:color w:val="auto"/>
                <w:szCs w:val="18"/>
                <w:lang w:eastAsia="zh-CN"/>
              </w:rPr>
            </w:pPr>
            <w:r>
              <w:rPr>
                <w:color w:val="auto"/>
                <w:lang w:eastAsia="zh-CN"/>
              </w:rPr>
              <w:t>SFC</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color w:val="auto"/>
              </w:rPr>
            </w:pPr>
            <w:r>
              <w:rPr>
                <w:rFonts w:eastAsia="Times New Roman"/>
                <w:color w:val="auto"/>
              </w:rPr>
              <w:t>This feature indicates support of Service Function Chaining functionality.</w:t>
            </w:r>
            <w:r>
              <w:rPr>
                <w:color w:val="auto"/>
                <w:lang w:eastAsia="fr-FR"/>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rPr>
                <w:color w:val="auto"/>
              </w:rPr>
            </w:pPr>
            <w:r>
              <w:rPr>
                <w:color w:val="auto"/>
              </w:rPr>
              <w:t>50</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color w:val="auto"/>
                <w:lang w:eastAsia="zh-CN"/>
              </w:rPr>
            </w:pPr>
            <w:r>
              <w:rPr>
                <w:color w:val="auto"/>
              </w:rPr>
              <w:t>XRM_5G</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ins w:id="690" w:author="CMCC-r2" w:date="2023-04-20T18:57:30Z"/>
                <w:rFonts w:hint="eastAsia" w:eastAsia="宋体"/>
                <w:color w:val="auto"/>
                <w:lang w:val="en-US" w:eastAsia="zh-CN"/>
              </w:rPr>
            </w:pPr>
            <w:r>
              <w:rPr>
                <w:color w:val="auto"/>
              </w:rPr>
              <w:t>This feature indicates the support of</w:t>
            </w:r>
            <w:del w:id="691" w:author="CMCC-r2" w:date="2023-04-20T18:57:24Z">
              <w:r>
                <w:rPr>
                  <w:color w:val="auto"/>
                </w:rPr>
                <w:delText xml:space="preserve"> </w:delText>
              </w:r>
            </w:del>
            <w:del w:id="692" w:author="CMCC-r2" w:date="2023-04-20T18:57:21Z">
              <w:r>
                <w:rPr>
                  <w:color w:val="auto"/>
                </w:rPr>
                <w:delText>multi-modal communication service for</w:delText>
              </w:r>
            </w:del>
            <w:r>
              <w:rPr>
                <w:color w:val="auto"/>
              </w:rPr>
              <w:t xml:space="preserve"> extended reality (XR) and interactive media services</w:t>
            </w:r>
            <w:ins w:id="693" w:author="CMCC" w:date="2023-04-10T18:42:38Z">
              <w:r>
                <w:rPr>
                  <w:rFonts w:hint="eastAsia" w:eastAsia="宋体"/>
                  <w:color w:val="auto"/>
                  <w:lang w:val="en-US" w:eastAsia="zh-CN"/>
                </w:rPr>
                <w:t>,</w:t>
              </w:r>
            </w:ins>
            <w:ins w:id="694" w:author="CMCC" w:date="2023-04-10T18:42:39Z">
              <w:r>
                <w:rPr>
                  <w:rFonts w:hint="eastAsia" w:eastAsia="宋体"/>
                  <w:color w:val="auto"/>
                  <w:lang w:val="en-US" w:eastAsia="zh-CN"/>
                </w:rPr>
                <w:t xml:space="preserve"> </w:t>
              </w:r>
            </w:ins>
          </w:p>
          <w:p>
            <w:pPr>
              <w:pStyle w:val="100"/>
              <w:rPr>
                <w:ins w:id="695" w:author="CMCC-r2" w:date="2023-04-20T18:57:29Z"/>
                <w:rFonts w:hint="eastAsia" w:eastAsia="宋体"/>
                <w:color w:val="auto"/>
                <w:lang w:val="en-US" w:eastAsia="zh-CN"/>
              </w:rPr>
            </w:pPr>
            <w:ins w:id="696" w:author="CMCC-r2" w:date="2023-04-20T18:57:36Z">
              <w:r>
                <w:rPr>
                  <w:rFonts w:hint="eastAsia" w:eastAsia="宋体"/>
                  <w:color w:val="auto"/>
                  <w:lang w:val="en-US" w:eastAsia="zh-CN"/>
                </w:rPr>
                <w:t>e.g.</w:t>
              </w:r>
            </w:ins>
            <w:ins w:id="697" w:author="CMCC-r2" w:date="2023-04-20T18:57:37Z">
              <w:r>
                <w:rPr>
                  <w:rFonts w:hint="eastAsia" w:eastAsia="宋体"/>
                  <w:color w:val="auto"/>
                  <w:lang w:val="en-US" w:eastAsia="zh-CN"/>
                </w:rPr>
                <w:t xml:space="preserve"> </w:t>
              </w:r>
            </w:ins>
            <w:ins w:id="698" w:author="CMCC-r2" w:date="2023-04-20T18:57:41Z">
              <w:r>
                <w:rPr>
                  <w:rFonts w:hint="eastAsia" w:eastAsia="宋体"/>
                  <w:color w:val="auto"/>
                  <w:lang w:val="en-US" w:eastAsia="zh-CN"/>
                </w:rPr>
                <w:t>the s</w:t>
              </w:r>
            </w:ins>
            <w:ins w:id="699" w:author="CMCC-r2" w:date="2023-04-20T18:57:42Z">
              <w:r>
                <w:rPr>
                  <w:rFonts w:hint="eastAsia" w:eastAsia="宋体"/>
                  <w:color w:val="auto"/>
                  <w:lang w:val="en-US" w:eastAsia="zh-CN"/>
                </w:rPr>
                <w:t>up</w:t>
              </w:r>
            </w:ins>
            <w:ins w:id="700" w:author="CMCC-r2" w:date="2023-04-20T18:57:43Z">
              <w:r>
                <w:rPr>
                  <w:rFonts w:hint="eastAsia" w:eastAsia="宋体"/>
                  <w:color w:val="auto"/>
                  <w:lang w:val="en-US" w:eastAsia="zh-CN"/>
                </w:rPr>
                <w:t>port o</w:t>
              </w:r>
            </w:ins>
            <w:ins w:id="701" w:author="CMCC-r2" w:date="2023-04-20T18:57:44Z">
              <w:r>
                <w:rPr>
                  <w:rFonts w:hint="eastAsia" w:eastAsia="宋体"/>
                  <w:color w:val="auto"/>
                  <w:lang w:val="en-US" w:eastAsia="zh-CN"/>
                </w:rPr>
                <w:t xml:space="preserve">f </w:t>
              </w:r>
            </w:ins>
            <w:ins w:id="702" w:author="CMCC-r2" w:date="2023-04-20T18:57:37Z">
              <w:r>
                <w:rPr>
                  <w:color w:val="auto"/>
                </w:rPr>
                <w:t>multi-modal communication service</w:t>
              </w:r>
            </w:ins>
            <w:ins w:id="703" w:author="CMCC-r2" w:date="2023-04-20T18:57:49Z">
              <w:r>
                <w:rPr>
                  <w:rFonts w:hint="eastAsia" w:eastAsia="宋体"/>
                  <w:color w:val="auto"/>
                  <w:lang w:val="en-US" w:eastAsia="zh-CN"/>
                </w:rPr>
                <w:t>;</w:t>
              </w:r>
            </w:ins>
          </w:p>
          <w:p>
            <w:pPr>
              <w:pStyle w:val="100"/>
              <w:rPr>
                <w:color w:val="auto"/>
              </w:rPr>
            </w:pPr>
            <w:ins w:id="704" w:author="CMCC" w:date="2023-04-10T18:42:42Z">
              <w:r>
                <w:rPr>
                  <w:rFonts w:hint="eastAsia" w:eastAsia="宋体"/>
                  <w:color w:val="auto"/>
                  <w:lang w:val="en-US" w:eastAsia="zh-CN"/>
                </w:rPr>
                <w:t>e.g</w:t>
              </w:r>
            </w:ins>
            <w:ins w:id="705" w:author="CMCC" w:date="2023-04-10T18:42:43Z">
              <w:r>
                <w:rPr>
                  <w:rFonts w:hint="eastAsia" w:eastAsia="宋体"/>
                  <w:color w:val="auto"/>
                  <w:lang w:val="en-US" w:eastAsia="zh-CN"/>
                </w:rPr>
                <w:t xml:space="preserve">. </w:t>
              </w:r>
            </w:ins>
            <w:ins w:id="706" w:author="CMCC" w:date="2023-04-10T18:42:43Z">
              <w:r>
                <w:rPr>
                  <w:rFonts w:hint="eastAsia" w:eastAsia="宋体"/>
                  <w:lang w:val="en-US" w:eastAsia="zh-CN"/>
                </w:rPr>
                <w:t xml:space="preserve">the support for the PDU set </w:t>
              </w:r>
            </w:ins>
            <w:ins w:id="707" w:author="CMCC2" w:date="2023-04-19T07:05:39Z">
              <w:r>
                <w:rPr>
                  <w:rFonts w:hint="eastAsia" w:eastAsia="宋体"/>
                  <w:lang w:val="en-US" w:eastAsia="zh-CN"/>
                </w:rPr>
                <w:t>Q</w:t>
              </w:r>
            </w:ins>
            <w:ins w:id="708" w:author="CMCC2" w:date="2023-04-19T07:05:40Z">
              <w:r>
                <w:rPr>
                  <w:rFonts w:hint="eastAsia" w:eastAsia="宋体"/>
                  <w:lang w:val="en-US" w:eastAsia="zh-CN"/>
                </w:rPr>
                <w:t>oS</w:t>
              </w:r>
            </w:ins>
            <w:ins w:id="709" w:author="CMCC2" w:date="2023-04-19T07:05:41Z">
              <w:r>
                <w:rPr>
                  <w:rFonts w:hint="eastAsia" w:eastAsia="宋体"/>
                  <w:lang w:val="en-US" w:eastAsia="zh-CN"/>
                </w:rPr>
                <w:t xml:space="preserve"> </w:t>
              </w:r>
            </w:ins>
            <w:ins w:id="710" w:author="CMCC" w:date="2023-04-10T18:42:43Z">
              <w:r>
                <w:rPr>
                  <w:rFonts w:hint="eastAsia" w:eastAsia="宋体"/>
                  <w:lang w:val="en-US" w:eastAsia="zh-CN"/>
                </w:rPr>
                <w:t>handling.</w:t>
              </w:r>
            </w:ins>
            <w:del w:id="711" w:author="CMCC" w:date="2023-04-10T18:42:37Z">
              <w:r>
                <w:rPr>
                  <w:color w:val="auto"/>
                </w:rPr>
                <w:delText>.</w:delText>
              </w:r>
            </w:del>
          </w:p>
          <w:p>
            <w:pPr>
              <w:pStyle w:val="100"/>
              <w:rPr>
                <w:rFonts w:eastAsia="Times New Roman"/>
                <w:color w:val="auto"/>
              </w:rPr>
            </w:pPr>
            <w:r>
              <w:rPr>
                <w:color w:val="auto"/>
              </w:rPr>
              <w:t xml:space="preserve">Editor’s Note: Feature name and </w:t>
            </w:r>
            <w:del w:id="712" w:author="CMCC-r2" w:date="2023-04-20T18:58:29Z">
              <w:r>
                <w:rPr>
                  <w:rFonts w:hint="default"/>
                  <w:color w:val="auto"/>
                  <w:lang w:val="en-US"/>
                </w:rPr>
                <w:delText>granartulity</w:delText>
              </w:r>
            </w:del>
            <w:ins w:id="713" w:author="CMCC-r2" w:date="2023-04-20T18:58:29Z">
              <w:r>
                <w:rPr>
                  <w:rFonts w:hint="eastAsia" w:eastAsia="宋体"/>
                  <w:color w:val="auto"/>
                  <w:lang w:val="en-US" w:eastAsia="zh-CN"/>
                </w:rPr>
                <w:t>gra</w:t>
              </w:r>
            </w:ins>
            <w:ins w:id="714" w:author="CMCC-r2" w:date="2023-04-20T18:58:31Z">
              <w:r>
                <w:rPr>
                  <w:rFonts w:hint="eastAsia" w:eastAsia="宋体"/>
                  <w:color w:val="auto"/>
                  <w:lang w:val="en-US" w:eastAsia="zh-CN"/>
                </w:rPr>
                <w:t>nula</w:t>
              </w:r>
            </w:ins>
            <w:ins w:id="715" w:author="CMCC-r2" w:date="2023-04-20T18:58:34Z">
              <w:r>
                <w:rPr>
                  <w:rFonts w:hint="eastAsia" w:eastAsia="宋体"/>
                  <w:color w:val="auto"/>
                  <w:lang w:val="en-US" w:eastAsia="zh-CN"/>
                </w:rPr>
                <w:t>rity</w:t>
              </w:r>
            </w:ins>
            <w:r>
              <w:rPr>
                <w:color w:val="auto"/>
              </w:rPr>
              <w:t xml:space="preserve"> is FFS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rPr>
                <w:color w:val="auto"/>
              </w:rPr>
            </w:pPr>
            <w:r>
              <w:rPr>
                <w:color w:val="auto"/>
              </w:rPr>
              <w:t>51</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color w:val="auto"/>
              </w:rPr>
            </w:pPr>
            <w:r>
              <w:rPr>
                <w:color w:val="auto"/>
              </w:rPr>
              <w:t>EnSatBackhaulCatChg</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eastAsia="Times New Roman"/>
                <w:color w:val="auto"/>
              </w:rPr>
            </w:pPr>
            <w:r>
              <w:rPr>
                <w:rFonts w:eastAsia="Times New Roman"/>
                <w:color w:val="auto"/>
              </w:rPr>
              <w:t>This feature indicates the support also of the report of the dynamic</w:t>
            </w:r>
          </w:p>
          <w:p>
            <w:pPr>
              <w:pStyle w:val="100"/>
              <w:rPr>
                <w:color w:val="auto"/>
              </w:rPr>
            </w:pPr>
            <w:r>
              <w:rPr>
                <w:rFonts w:cs="Arial"/>
                <w:color w:val="auto"/>
                <w:szCs w:val="18"/>
                <w:lang w:eastAsia="fr-FR"/>
              </w:rPr>
              <w:t>satellite backhaul category of the PDU session.</w:t>
            </w:r>
            <w:r>
              <w:rPr>
                <w:rFonts w:eastAsia="Times New Roman"/>
                <w:color w:val="auto"/>
              </w:rPr>
              <w:t xml:space="preserve"> This feature requires the support of </w:t>
            </w:r>
            <w:r>
              <w:rPr>
                <w:color w:val="auto"/>
              </w:rPr>
              <w:t>SatelliteBackhaul feature.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rPr>
                <w:color w:val="auto"/>
              </w:rPr>
            </w:pPr>
            <w:r>
              <w:rPr>
                <w:color w:val="auto"/>
              </w:rPr>
              <w:t>52</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color w:val="auto"/>
              </w:rPr>
            </w:pPr>
            <w:r>
              <w:rPr>
                <w:color w:val="auto"/>
                <w:lang w:eastAsia="zh-CN"/>
              </w:rPr>
              <w:t>MTU_Size</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eastAsia="Times New Roman"/>
                <w:color w:val="auto"/>
              </w:rPr>
            </w:pPr>
            <w:r>
              <w:rPr>
                <w:color w:val="auto"/>
                <w:lang w:eastAsia="zh-CN"/>
              </w:rPr>
              <w:t>This feature indicates the support of the report of the MTU size of the device side port. This feature requires that the TimeSensitiveCommunication feature is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53</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t>ExtraUEaddrReport</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t>This feature indicates the support of the report of additional IP addresses or address ranges allocated for the given PDU session resulting from framed routes or IPv6 prefix delegation.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54</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pPr>
            <w:r>
              <w:rPr>
                <w:lang w:eastAsia="zh-CN"/>
              </w:rPr>
              <w:t>AuthorizationForMpsSignalling</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pPr>
            <w:r>
              <w:t>This feature indicates support for use of the "mpsAction" attribute to signal that the UE's MPS subscription shall be checked by the PCF prior to enabling MPS for AF signalling.</w:t>
            </w:r>
          </w:p>
        </w:tc>
      </w:tr>
    </w:tbl>
    <w:p>
      <w:pPr>
        <w:rPr>
          <w:lang w:eastAsia="zh-CN"/>
        </w:rPr>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3"/>
      </w:pPr>
      <w:bookmarkStart w:id="96" w:name="_Toc129339011"/>
      <w:bookmarkStart w:id="97" w:name="_Toc45133755"/>
      <w:bookmarkStart w:id="98" w:name="_Toc59017081"/>
      <w:bookmarkStart w:id="99" w:name="_Toc130291880"/>
      <w:bookmarkStart w:id="100" w:name="_Toc51762509"/>
      <w:bookmarkStart w:id="101" w:name="_Toc36038484"/>
      <w:bookmarkStart w:id="102" w:name="_Toc28012521"/>
      <w:bookmarkStart w:id="103" w:name="OLE_LINK19"/>
      <w:r>
        <w:t>A.2</w:t>
      </w:r>
      <w:r>
        <w:tab/>
      </w:r>
      <w:r>
        <w:t>Npcf_PolicyAuthorization API</w:t>
      </w:r>
      <w:bookmarkEnd w:id="96"/>
      <w:bookmarkEnd w:id="97"/>
      <w:bookmarkEnd w:id="98"/>
      <w:bookmarkEnd w:id="99"/>
      <w:bookmarkEnd w:id="100"/>
      <w:bookmarkEnd w:id="101"/>
      <w:bookmarkEnd w:id="102"/>
    </w:p>
    <w:p>
      <w:pPr>
        <w:pStyle w:val="111"/>
        <w:rPr>
          <w:rFonts w:cs="Courier New"/>
          <w:szCs w:val="16"/>
        </w:rPr>
      </w:pPr>
      <w:bookmarkStart w:id="104" w:name="_Hlk93938371"/>
    </w:p>
    <w:p>
      <w:pPr>
        <w:pStyle w:val="111"/>
        <w:rPr>
          <w:rFonts w:cs="Courier New"/>
          <w:szCs w:val="16"/>
        </w:rPr>
      </w:pPr>
      <w:r>
        <w:rPr>
          <w:rFonts w:cs="Courier New"/>
          <w:szCs w:val="16"/>
        </w:rPr>
        <w:t>openapi: 3.0.0</w:t>
      </w:r>
    </w:p>
    <w:p>
      <w:pPr>
        <w:pStyle w:val="111"/>
        <w:rPr>
          <w:rFonts w:cs="Courier New"/>
          <w:szCs w:val="16"/>
        </w:rPr>
      </w:pPr>
    </w:p>
    <w:p>
      <w:pPr>
        <w:pStyle w:val="111"/>
        <w:rPr>
          <w:rFonts w:cs="Courier New"/>
          <w:szCs w:val="16"/>
        </w:rPr>
      </w:pPr>
      <w:r>
        <w:rPr>
          <w:rFonts w:cs="Courier New"/>
          <w:szCs w:val="16"/>
        </w:rPr>
        <w:t>info:</w:t>
      </w:r>
    </w:p>
    <w:p>
      <w:pPr>
        <w:pStyle w:val="111"/>
        <w:rPr>
          <w:rFonts w:cs="Courier New"/>
          <w:szCs w:val="16"/>
        </w:rPr>
      </w:pPr>
      <w:r>
        <w:rPr>
          <w:rFonts w:cs="Courier New"/>
          <w:szCs w:val="16"/>
        </w:rPr>
        <w:t xml:space="preserve">  title: Npcf_PolicyAuthorization Service API</w:t>
      </w:r>
    </w:p>
    <w:p>
      <w:pPr>
        <w:pStyle w:val="111"/>
        <w:rPr>
          <w:rFonts w:cs="Courier New"/>
          <w:szCs w:val="16"/>
        </w:rPr>
      </w:pPr>
      <w:r>
        <w:rPr>
          <w:rFonts w:cs="Courier New"/>
          <w:szCs w:val="16"/>
        </w:rPr>
        <w:t xml:space="preserve">  version: 1.3.0-alpha.2</w:t>
      </w:r>
    </w:p>
    <w:p>
      <w:pPr>
        <w:pStyle w:val="111"/>
      </w:pPr>
      <w:r>
        <w:rPr>
          <w:rFonts w:cs="Courier New"/>
          <w:szCs w:val="16"/>
        </w:rPr>
        <w:t xml:space="preserve">  description: </w:t>
      </w:r>
      <w:r>
        <w:t>|</w:t>
      </w:r>
    </w:p>
    <w:p>
      <w:pPr>
        <w:pStyle w:val="111"/>
      </w:pPr>
      <w:r>
        <w:t xml:space="preserve">    </w:t>
      </w:r>
      <w:r>
        <w:rPr>
          <w:rFonts w:cs="Courier New"/>
          <w:szCs w:val="16"/>
        </w:rPr>
        <w:t xml:space="preserve">PCF Policy Authorization Service.  </w:t>
      </w:r>
    </w:p>
    <w:p>
      <w:pPr>
        <w:pStyle w:val="111"/>
      </w:pPr>
      <w:r>
        <w:t xml:space="preserve">    © 2023, 3GPP Organizational Partners (ARIB, ATIS, CCSA, ETSI, TSDSI, TTA, TTC).  </w:t>
      </w:r>
    </w:p>
    <w:p>
      <w:pPr>
        <w:pStyle w:val="111"/>
        <w:rPr>
          <w:rFonts w:cs="Courier New"/>
          <w:szCs w:val="16"/>
        </w:rPr>
      </w:pPr>
      <w:r>
        <w:t xml:space="preserve">    All rights reserved.</w:t>
      </w:r>
    </w:p>
    <w:p>
      <w:pPr>
        <w:pStyle w:val="111"/>
        <w:rPr>
          <w:rFonts w:cs="Courier New"/>
          <w:szCs w:val="16"/>
        </w:rPr>
      </w:pPr>
    </w:p>
    <w:p>
      <w:pPr>
        <w:pStyle w:val="111"/>
      </w:pPr>
      <w:r>
        <w:t>externalDocs:</w:t>
      </w:r>
    </w:p>
    <w:p>
      <w:pPr>
        <w:pStyle w:val="111"/>
      </w:pPr>
      <w:r>
        <w:t xml:space="preserve">  description: 3GPP TS 29.514 V18.1.0; 5G System; Policy Authorization Service; Stage 3.</w:t>
      </w:r>
    </w:p>
    <w:p>
      <w:pPr>
        <w:pStyle w:val="111"/>
      </w:pPr>
      <w:r>
        <w:t xml:space="preserve">  url: 'https://www.3gpp.org/ftp/Specs/archive/29_series/29.514/'</w:t>
      </w:r>
    </w:p>
    <w:p>
      <w:pPr>
        <w:pStyle w:val="111"/>
      </w:pPr>
    </w:p>
    <w:p>
      <w:pPr>
        <w:pStyle w:val="111"/>
        <w:rPr>
          <w:rFonts w:cs="Courier New"/>
          <w:szCs w:val="16"/>
        </w:rPr>
      </w:pPr>
      <w:r>
        <w:rPr>
          <w:rFonts w:cs="Courier New"/>
          <w:szCs w:val="16"/>
        </w:rPr>
        <w:t>servers:</w:t>
      </w:r>
    </w:p>
    <w:p>
      <w:pPr>
        <w:pStyle w:val="111"/>
        <w:rPr>
          <w:rFonts w:cs="Courier New"/>
          <w:szCs w:val="16"/>
        </w:rPr>
      </w:pPr>
      <w:r>
        <w:rPr>
          <w:rFonts w:cs="Courier New"/>
          <w:szCs w:val="16"/>
        </w:rPr>
        <w:t xml:space="preserve">  - url: '{apiRoot}/npcf-policyauthorization/v1'</w:t>
      </w:r>
    </w:p>
    <w:p>
      <w:pPr>
        <w:pStyle w:val="111"/>
        <w:rPr>
          <w:rFonts w:cs="Courier New"/>
          <w:szCs w:val="16"/>
        </w:rPr>
      </w:pPr>
      <w:r>
        <w:rPr>
          <w:rFonts w:cs="Courier New"/>
          <w:szCs w:val="16"/>
        </w:rPr>
        <w:t xml:space="preserve">    variables:</w:t>
      </w:r>
    </w:p>
    <w:p>
      <w:pPr>
        <w:pStyle w:val="111"/>
        <w:rPr>
          <w:rFonts w:cs="Courier New"/>
          <w:szCs w:val="16"/>
        </w:rPr>
      </w:pPr>
      <w:r>
        <w:rPr>
          <w:rFonts w:cs="Courier New"/>
          <w:szCs w:val="16"/>
        </w:rPr>
        <w:t xml:space="preserve">      apiRoot:</w:t>
      </w:r>
    </w:p>
    <w:p>
      <w:pPr>
        <w:pStyle w:val="111"/>
        <w:rPr>
          <w:rFonts w:cs="Courier New"/>
          <w:szCs w:val="16"/>
        </w:rPr>
      </w:pPr>
      <w:r>
        <w:rPr>
          <w:rFonts w:cs="Courier New"/>
          <w:szCs w:val="16"/>
        </w:rPr>
        <w:t xml:space="preserve">        default: </w:t>
      </w:r>
      <w:r>
        <w:t>https://example.com</w:t>
      </w:r>
    </w:p>
    <w:p>
      <w:pPr>
        <w:pStyle w:val="111"/>
        <w:rPr>
          <w:rFonts w:cs="Courier New"/>
          <w:szCs w:val="16"/>
        </w:rPr>
      </w:pPr>
      <w:r>
        <w:rPr>
          <w:rFonts w:cs="Courier New"/>
          <w:szCs w:val="16"/>
        </w:rPr>
        <w:t xml:space="preserve">        description: apiRoot as defined in clause 4.4 of 3GPP TS 29.501</w:t>
      </w:r>
    </w:p>
    <w:p>
      <w:pPr>
        <w:pStyle w:val="111"/>
        <w:rPr>
          <w:rFonts w:cs="Courier New"/>
          <w:szCs w:val="16"/>
        </w:rPr>
      </w:pPr>
    </w:p>
    <w:p>
      <w:pPr>
        <w:pStyle w:val="111"/>
      </w:pPr>
      <w:r>
        <w:t>security:</w:t>
      </w:r>
    </w:p>
    <w:p>
      <w:pPr>
        <w:pStyle w:val="111"/>
      </w:pPr>
      <w:r>
        <w:t xml:space="preserve">  - {}</w:t>
      </w:r>
    </w:p>
    <w:p>
      <w:pPr>
        <w:pStyle w:val="111"/>
      </w:pPr>
      <w:r>
        <w:t xml:space="preserve">  - oAuth2ClientCredentials:</w:t>
      </w:r>
    </w:p>
    <w:p>
      <w:pPr>
        <w:pStyle w:val="111"/>
      </w:pPr>
      <w:r>
        <w:t xml:space="preserve">    - npcf-policyauthorization</w:t>
      </w:r>
    </w:p>
    <w:p>
      <w:pPr>
        <w:pStyle w:val="111"/>
        <w:rPr>
          <w:rFonts w:cs="Courier New"/>
          <w:szCs w:val="16"/>
        </w:rPr>
      </w:pPr>
    </w:p>
    <w:p>
      <w:pPr>
        <w:pStyle w:val="111"/>
        <w:rPr>
          <w:rFonts w:cs="Courier New"/>
          <w:szCs w:val="16"/>
        </w:rPr>
      </w:pPr>
      <w:r>
        <w:rPr>
          <w:rFonts w:cs="Courier New"/>
          <w:szCs w:val="16"/>
        </w:rPr>
        <w:t>paths:</w:t>
      </w:r>
    </w:p>
    <w:p>
      <w:pPr>
        <w:pStyle w:val="111"/>
        <w:rPr>
          <w:rFonts w:cs="Courier New"/>
          <w:szCs w:val="16"/>
        </w:rPr>
      </w:pPr>
      <w:r>
        <w:rPr>
          <w:rFonts w:cs="Courier New"/>
          <w:szCs w:val="16"/>
        </w:rPr>
        <w:t xml:space="preserve">  /app-sessions:</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summary: Creates a new Individual Application Session Context resource</w:t>
      </w:r>
    </w:p>
    <w:p>
      <w:pPr>
        <w:pStyle w:val="111"/>
        <w:rPr>
          <w:rFonts w:cs="Courier New"/>
          <w:szCs w:val="16"/>
        </w:rPr>
      </w:pPr>
      <w:r>
        <w:rPr>
          <w:rFonts w:cs="Courier New"/>
          <w:szCs w:val="16"/>
        </w:rPr>
        <w:t xml:space="preserve">      operationId: PostAppSessions</w:t>
      </w:r>
    </w:p>
    <w:p>
      <w:pPr>
        <w:pStyle w:val="111"/>
        <w:rPr>
          <w:rFonts w:cs="Courier New"/>
          <w:szCs w:val="16"/>
        </w:rPr>
      </w:pPr>
      <w:r>
        <w:rPr>
          <w:rFonts w:cs="Courier New"/>
          <w:szCs w:val="16"/>
        </w:rPr>
        <w:t xml:space="preserve">      tags:</w:t>
      </w:r>
    </w:p>
    <w:p>
      <w:pPr>
        <w:pStyle w:val="111"/>
        <w:rPr>
          <w:rFonts w:cs="Courier New"/>
          <w:szCs w:val="16"/>
        </w:rPr>
      </w:pPr>
      <w:r>
        <w:rPr>
          <w:rFonts w:cs="Courier New"/>
          <w:szCs w:val="16"/>
        </w:rPr>
        <w:t xml:space="preserve">        - Application Sessions (Collection)</w:t>
      </w:r>
    </w:p>
    <w:p>
      <w:pPr>
        <w:pStyle w:val="111"/>
      </w:pPr>
      <w:r>
        <w:t xml:space="preserve">      security:</w:t>
      </w:r>
    </w:p>
    <w:p>
      <w:pPr>
        <w:pStyle w:val="111"/>
      </w:pPr>
      <w:r>
        <w:t xml:space="preserve">        - {}</w:t>
      </w:r>
    </w:p>
    <w:p>
      <w:pPr>
        <w:pStyle w:val="111"/>
      </w:pPr>
      <w:r>
        <w:t xml:space="preserve">        - oAuth2ClientCredentials:</w:t>
      </w:r>
    </w:p>
    <w:p>
      <w:pPr>
        <w:pStyle w:val="111"/>
      </w:pPr>
      <w:r>
        <w:t xml:space="preserve">          - npcf-policyauthorization</w:t>
      </w:r>
    </w:p>
    <w:p>
      <w:pPr>
        <w:pStyle w:val="111"/>
      </w:pPr>
      <w:r>
        <w:t xml:space="preserve">        - oAuth2ClientCredentials:</w:t>
      </w:r>
    </w:p>
    <w:p>
      <w:pPr>
        <w:pStyle w:val="111"/>
      </w:pPr>
      <w:r>
        <w:t xml:space="preserve">          - npcf-policyauthorization</w:t>
      </w:r>
    </w:p>
    <w:p>
      <w:pPr>
        <w:pStyle w:val="111"/>
      </w:pPr>
      <w:r>
        <w:t xml:space="preserve">          - npcf-policyauthorization:policy-auth-mgmt</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Contains the information for the creation the resource.</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'#/components/schemas/AppSessionContext'</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'201':</w:t>
      </w:r>
    </w:p>
    <w:p>
      <w:pPr>
        <w:pStyle w:val="111"/>
        <w:rPr>
          <w:rFonts w:cs="Courier New"/>
          <w:szCs w:val="16"/>
        </w:rPr>
      </w:pPr>
      <w:r>
        <w:rPr>
          <w:rFonts w:cs="Courier New"/>
          <w:szCs w:val="16"/>
        </w:rPr>
        <w:t xml:space="preserve">          description: Successful creation of the resource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'#/components/schemas/AppSessionContext'</w:t>
      </w:r>
    </w:p>
    <w:p>
      <w:pPr>
        <w:pStyle w:val="111"/>
      </w:pPr>
      <w:r>
        <w:t xml:space="preserve">          headers:</w:t>
      </w:r>
    </w:p>
    <w:p>
      <w:pPr>
        <w:pStyle w:val="111"/>
      </w:pPr>
      <w:r>
        <w:t xml:space="preserve">            Location:</w:t>
      </w:r>
    </w:p>
    <w:p>
      <w:pPr>
        <w:pStyle w:val="111"/>
      </w:pPr>
      <w:r>
        <w:t xml:space="preserve">              description: &gt;</w:t>
      </w:r>
    </w:p>
    <w:p>
      <w:pPr>
        <w:pStyle w:val="111"/>
      </w:pPr>
      <w:r>
        <w:t xml:space="preserve">                Contains the URI of the created individual application session context resource,</w:t>
      </w:r>
    </w:p>
    <w:p>
      <w:pPr>
        <w:pStyle w:val="111"/>
      </w:pPr>
      <w:r>
        <w:t xml:space="preserve">                according to the structure</w:t>
      </w:r>
    </w:p>
    <w:p>
      <w:pPr>
        <w:pStyle w:val="111"/>
      </w:pPr>
      <w:r>
        <w:t xml:space="preserve">                {apiRoot}/npcf-policyauthorization/v1/app-sessions/{appSessionId}</w:t>
      </w:r>
    </w:p>
    <w:p>
      <w:pPr>
        <w:pStyle w:val="111"/>
      </w:pPr>
      <w:r>
        <w:t xml:space="preserve">                or the URI of the created </w:t>
      </w:r>
      <w:r>
        <w:rPr>
          <w:rFonts w:cs="Courier New"/>
          <w:szCs w:val="16"/>
        </w:rPr>
        <w:t>events subscription sub-</w:t>
      </w:r>
      <w:r>
        <w:t>resource,</w:t>
      </w:r>
    </w:p>
    <w:p>
      <w:pPr>
        <w:pStyle w:val="111"/>
      </w:pPr>
      <w:r>
        <w:t xml:space="preserve">                according to the structure</w:t>
      </w:r>
    </w:p>
    <w:p>
      <w:pPr>
        <w:pStyle w:val="111"/>
      </w:pPr>
      <w:r>
        <w:t xml:space="preserve">                {apiRoot}/npcf-policyauthorization/v1/app-sessions/{appSessionId}</w:t>
      </w:r>
    </w:p>
    <w:p>
      <w:pPr>
        <w:pStyle w:val="111"/>
      </w:pPr>
      <w:r>
        <w:t xml:space="preserve">                /events-subscription</w:t>
      </w:r>
    </w:p>
    <w:p>
      <w:pPr>
        <w:pStyle w:val="111"/>
      </w:pPr>
      <w:r>
        <w:t xml:space="preserve">              required: true</w:t>
      </w:r>
    </w:p>
    <w:p>
      <w:pPr>
        <w:pStyle w:val="111"/>
      </w:pPr>
      <w:r>
        <w:t xml:space="preserve">              schema:</w:t>
      </w:r>
    </w:p>
    <w:p>
      <w:pPr>
        <w:pStyle w:val="111"/>
      </w:pPr>
      <w:r>
        <w:t xml:space="preserve">                type: string</w:t>
      </w:r>
    </w:p>
    <w:p>
      <w:pPr>
        <w:pStyle w:val="111"/>
        <w:rPr>
          <w:rFonts w:cs="Courier New"/>
          <w:szCs w:val="16"/>
        </w:rPr>
      </w:pPr>
      <w:r>
        <w:rPr>
          <w:rFonts w:cs="Courier New"/>
          <w:szCs w:val="16"/>
        </w:rPr>
        <w:t xml:space="preserve">        '303':</w:t>
      </w:r>
    </w:p>
    <w:p>
      <w:pPr>
        <w:pStyle w:val="111"/>
        <w:rPr>
          <w:rFonts w:cs="Courier New"/>
          <w:szCs w:val="16"/>
        </w:rPr>
      </w:pPr>
      <w:r>
        <w:rPr>
          <w:rFonts w:cs="Courier New"/>
          <w:szCs w:val="16"/>
        </w:rPr>
        <w:t xml:space="preserve">          description: &gt;</w:t>
      </w:r>
    </w:p>
    <w:p>
      <w:pPr>
        <w:pStyle w:val="111"/>
      </w:pPr>
      <w:r>
        <w:rPr>
          <w:rFonts w:cs="Courier New"/>
          <w:szCs w:val="16"/>
        </w:rPr>
        <w:t xml:space="preserve">            See Other. </w:t>
      </w:r>
      <w:r>
        <w:t>The result of the HTTP POST request would be equivalent to the existing</w:t>
      </w:r>
    </w:p>
    <w:p>
      <w:pPr>
        <w:pStyle w:val="111"/>
        <w:rPr>
          <w:rFonts w:cs="Courier New"/>
          <w:szCs w:val="16"/>
        </w:rPr>
      </w:pPr>
      <w:r>
        <w:rPr>
          <w:rFonts w:cs="Courier New"/>
          <w:szCs w:val="16"/>
        </w:rPr>
        <w:t xml:space="preserve">            </w:t>
      </w:r>
      <w:r>
        <w:t>Application Session Context.</w:t>
      </w:r>
    </w:p>
    <w:p>
      <w:pPr>
        <w:pStyle w:val="111"/>
      </w:pPr>
      <w:r>
        <w:t xml:space="preserve">          headers:</w:t>
      </w:r>
    </w:p>
    <w:p>
      <w:pPr>
        <w:pStyle w:val="111"/>
      </w:pPr>
      <w:r>
        <w:t xml:space="preserve">            Location:</w:t>
      </w:r>
    </w:p>
    <w:p>
      <w:pPr>
        <w:pStyle w:val="111"/>
      </w:pPr>
      <w:r>
        <w:t xml:space="preserve">              description: &gt;</w:t>
      </w:r>
    </w:p>
    <w:p>
      <w:pPr>
        <w:pStyle w:val="111"/>
      </w:pPr>
      <w:r>
        <w:t xml:space="preserve">                Contains the URI of the existing individual Application Session Context resource.</w:t>
      </w:r>
    </w:p>
    <w:p>
      <w:pPr>
        <w:pStyle w:val="111"/>
      </w:pPr>
      <w:r>
        <w:t xml:space="preserve">              required: true</w:t>
      </w:r>
    </w:p>
    <w:p>
      <w:pPr>
        <w:pStyle w:val="111"/>
      </w:pPr>
      <w:r>
        <w:t xml:space="preserve">              schema:</w:t>
      </w:r>
    </w:p>
    <w:p>
      <w:pPr>
        <w:pStyle w:val="111"/>
      </w:pPr>
      <w:r>
        <w:t xml:space="preserve">                type: string</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description: Forbidden</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application/problem+json: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'#/components/schemas/ExtendedProblemDetails'</w:t>
      </w:r>
    </w:p>
    <w:p>
      <w:pPr>
        <w:pStyle w:val="111"/>
      </w:pPr>
      <w:r>
        <w:t xml:space="preserve">          headers:</w:t>
      </w:r>
    </w:p>
    <w:p>
      <w:pPr>
        <w:pStyle w:val="111"/>
      </w:pPr>
      <w:r>
        <w:t xml:space="preserve">            Retry-After:</w:t>
      </w:r>
    </w:p>
    <w:p>
      <w:pPr>
        <w:pStyle w:val="111"/>
      </w:pPr>
      <w:r>
        <w:t xml:space="preserve">              description: &gt;</w:t>
      </w:r>
    </w:p>
    <w:p>
      <w:pPr>
        <w:pStyle w:val="111"/>
      </w:pPr>
      <w:r>
        <w:t xml:space="preserve">                Indicates the time the AF has to wait before making a new request. It can be a</w:t>
      </w:r>
    </w:p>
    <w:p>
      <w:pPr>
        <w:pStyle w:val="111"/>
      </w:pPr>
      <w:r>
        <w:t xml:space="preserve">                non-negative integer (decimal number) indicating the number of seconds the AF</w:t>
      </w:r>
    </w:p>
    <w:p>
      <w:pPr>
        <w:pStyle w:val="111"/>
      </w:pPr>
      <w:r>
        <w:t xml:space="preserve">                has to wait before making a new request or an HTTP-date after which the AF can</w:t>
      </w:r>
    </w:p>
    <w:p>
      <w:pPr>
        <w:pStyle w:val="111"/>
      </w:pPr>
      <w:r>
        <w:t xml:space="preserve">                retry a new request.</w:t>
      </w:r>
    </w:p>
    <w:p>
      <w:pPr>
        <w:pStyle w:val="111"/>
      </w:pPr>
      <w:r>
        <w:t xml:space="preserve">              schema:</w:t>
      </w:r>
    </w:p>
    <w:p>
      <w:pPr>
        <w:pStyle w:val="111"/>
      </w:pPr>
      <w:r>
        <w:t xml:space="preserve">                anyOf:</w:t>
      </w:r>
    </w:p>
    <w:p>
      <w:pPr>
        <w:pStyle w:val="111"/>
      </w:pPr>
      <w:r>
        <w:t xml:space="preserve">                  - type: integer</w:t>
      </w:r>
    </w:p>
    <w:p>
      <w:pPr>
        <w:pStyle w:val="111"/>
      </w:pPr>
      <w:r>
        <w:t xml:space="preserve">                  - type: string</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pPr>
      <w:r>
        <w:t xml:space="preserve">        '413':</w:t>
      </w:r>
    </w:p>
    <w:p>
      <w:pPr>
        <w:pStyle w:val="111"/>
      </w:pPr>
      <w: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callbacks:</w:t>
      </w:r>
    </w:p>
    <w:p>
      <w:pPr>
        <w:pStyle w:val="111"/>
        <w:rPr>
          <w:rFonts w:cs="Courier New"/>
          <w:szCs w:val="16"/>
        </w:rPr>
      </w:pPr>
      <w:r>
        <w:rPr>
          <w:rFonts w:cs="Courier New"/>
          <w:szCs w:val="16"/>
        </w:rPr>
        <w:t xml:space="preserve">        terminationRequest:</w:t>
      </w:r>
    </w:p>
    <w:p>
      <w:pPr>
        <w:pStyle w:val="111"/>
        <w:rPr>
          <w:rFonts w:cs="Courier New"/>
          <w:szCs w:val="16"/>
        </w:rPr>
      </w:pPr>
      <w:r>
        <w:rPr>
          <w:rFonts w:cs="Courier New"/>
          <w:szCs w:val="16"/>
        </w:rPr>
        <w:t xml:space="preserve">          '{$request.body#/ascReqData/notifUri}/terminate':</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Request of the termination of the Individual Application Session Context.</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'#/components/schemas/TerminationInfo'</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receipt of the notification is acknowledged.</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eventNotification:</w:t>
      </w:r>
    </w:p>
    <w:p>
      <w:pPr>
        <w:pStyle w:val="111"/>
        <w:rPr>
          <w:rFonts w:cs="Courier New"/>
          <w:szCs w:val="16"/>
        </w:rPr>
      </w:pPr>
      <w:r>
        <w:rPr>
          <w:rFonts w:cs="Courier New"/>
          <w:szCs w:val="16"/>
        </w:rPr>
        <w:t xml:space="preserve">          '{$request.body#/ascReqData/evSubsc/notifUri}/notify':</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Notification of an event occurrence in the PCF.</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'#/components/schemas/EventsNotification'</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receipt of the notification is acknowledged.</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detected5GsBridgeForPduSession:</w:t>
      </w:r>
    </w:p>
    <w:p>
      <w:pPr>
        <w:pStyle w:val="111"/>
        <w:rPr>
          <w:rFonts w:cs="Courier New"/>
          <w:szCs w:val="16"/>
        </w:rPr>
      </w:pPr>
      <w:r>
        <w:rPr>
          <w:rFonts w:cs="Courier New"/>
          <w:szCs w:val="16"/>
        </w:rPr>
        <w:t xml:space="preserve">          '{$request.body#/ascReqData/evSubsc/notifUri}/new-bridge':</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Notification of a new TSC user plane node detected in the PCF.</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'#/components/schemas/PduSessionTsnBridge'</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receipt of the notification is acknowledged.</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eventNotificationPduSession:</w:t>
      </w:r>
    </w:p>
    <w:p>
      <w:pPr>
        <w:pStyle w:val="111"/>
        <w:rPr>
          <w:rFonts w:cs="Courier New"/>
          <w:szCs w:val="16"/>
        </w:rPr>
      </w:pPr>
      <w:r>
        <w:rPr>
          <w:rFonts w:cs="Courier New"/>
          <w:szCs w:val="16"/>
        </w:rPr>
        <w:t xml:space="preserve">          '{$request.body#/ascReqData/evSubsc/notifUri}/pdu-session':</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Notification of PDU session established or terminated.</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w:t>
      </w:r>
      <w:r>
        <w:t>PduSessionEventNotification</w:t>
      </w:r>
      <w:r>
        <w:rPr>
          <w:rFonts w:cs="Courier New"/>
          <w:szCs w:val="16"/>
        </w:rPr>
        <w:t>'</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receipt of the notification is acknowledged.</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p>
    <w:p>
      <w:pPr>
        <w:pStyle w:val="111"/>
        <w:rPr>
          <w:rFonts w:cs="Courier New"/>
          <w:szCs w:val="16"/>
        </w:rPr>
      </w:pPr>
      <w:r>
        <w:rPr>
          <w:rFonts w:cs="Courier New"/>
          <w:szCs w:val="16"/>
        </w:rPr>
        <w:t xml:space="preserve">  /app-sessions/pcscf-restoration:</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summary: "Indicates P-CSCF restoration and does not create an Individual Application Session Context"</w:t>
      </w:r>
    </w:p>
    <w:p>
      <w:pPr>
        <w:pStyle w:val="111"/>
        <w:rPr>
          <w:rFonts w:cs="Courier New"/>
          <w:szCs w:val="16"/>
        </w:rPr>
      </w:pPr>
      <w:r>
        <w:rPr>
          <w:rFonts w:cs="Courier New"/>
          <w:szCs w:val="16"/>
        </w:rPr>
        <w:t xml:space="preserve">      operationId: PcscfRestoration</w:t>
      </w:r>
    </w:p>
    <w:p>
      <w:pPr>
        <w:pStyle w:val="111"/>
        <w:rPr>
          <w:rFonts w:cs="Courier New"/>
          <w:szCs w:val="16"/>
        </w:rPr>
      </w:pPr>
      <w:r>
        <w:rPr>
          <w:rFonts w:cs="Courier New"/>
          <w:szCs w:val="16"/>
        </w:rPr>
        <w:t xml:space="preserve">      tags:</w:t>
      </w:r>
    </w:p>
    <w:p>
      <w:pPr>
        <w:pStyle w:val="111"/>
        <w:rPr>
          <w:rFonts w:cs="Courier New"/>
          <w:szCs w:val="16"/>
        </w:rPr>
      </w:pPr>
      <w:r>
        <w:rPr>
          <w:rFonts w:cs="Courier New"/>
          <w:szCs w:val="16"/>
        </w:rPr>
        <w:t xml:space="preserve">        - PCSCF Restoration Indication</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PCSCF Restoration Indication.</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'#/components/schemas/PcscfRestorationRequestData'</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deletion is confirmed without returning additional data.</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p>
    <w:p>
      <w:pPr>
        <w:pStyle w:val="111"/>
        <w:rPr>
          <w:rFonts w:cs="Courier New"/>
          <w:szCs w:val="16"/>
        </w:rPr>
      </w:pPr>
      <w:r>
        <w:rPr>
          <w:rFonts w:cs="Courier New"/>
          <w:szCs w:val="16"/>
        </w:rPr>
        <w:t xml:space="preserve">  /app-sessions/{appSessionId}:</w:t>
      </w:r>
    </w:p>
    <w:p>
      <w:pPr>
        <w:pStyle w:val="111"/>
        <w:rPr>
          <w:rFonts w:cs="Courier New"/>
          <w:szCs w:val="16"/>
        </w:rPr>
      </w:pPr>
      <w:r>
        <w:rPr>
          <w:rFonts w:cs="Courier New"/>
          <w:szCs w:val="16"/>
        </w:rPr>
        <w:t xml:space="preserve">    get:</w:t>
      </w:r>
    </w:p>
    <w:p>
      <w:pPr>
        <w:pStyle w:val="111"/>
        <w:rPr>
          <w:rFonts w:cs="Courier New"/>
          <w:szCs w:val="16"/>
        </w:rPr>
      </w:pPr>
      <w:r>
        <w:rPr>
          <w:rFonts w:cs="Courier New"/>
          <w:szCs w:val="16"/>
        </w:rPr>
        <w:t xml:space="preserve">      summary: "Reads an existing Individual Application Session Context"</w:t>
      </w:r>
    </w:p>
    <w:p>
      <w:pPr>
        <w:pStyle w:val="111"/>
        <w:rPr>
          <w:rFonts w:cs="Courier New"/>
          <w:szCs w:val="16"/>
        </w:rPr>
      </w:pPr>
      <w:r>
        <w:rPr>
          <w:rFonts w:cs="Courier New"/>
          <w:szCs w:val="16"/>
        </w:rPr>
        <w:t xml:space="preserve">      operationId: GetAppSession</w:t>
      </w:r>
    </w:p>
    <w:p>
      <w:pPr>
        <w:pStyle w:val="111"/>
        <w:rPr>
          <w:rFonts w:cs="Courier New"/>
          <w:szCs w:val="16"/>
        </w:rPr>
      </w:pPr>
      <w:r>
        <w:rPr>
          <w:rFonts w:cs="Courier New"/>
          <w:szCs w:val="16"/>
        </w:rPr>
        <w:t xml:space="preserve">      tags:</w:t>
      </w:r>
    </w:p>
    <w:p>
      <w:pPr>
        <w:pStyle w:val="111"/>
        <w:rPr>
          <w:rFonts w:cs="Courier New"/>
          <w:szCs w:val="16"/>
        </w:rPr>
      </w:pPr>
      <w:r>
        <w:rPr>
          <w:rFonts w:cs="Courier New"/>
          <w:szCs w:val="16"/>
        </w:rPr>
        <w:t xml:space="preserve">        - Individual Application Session Context (Document)</w:t>
      </w:r>
    </w:p>
    <w:p>
      <w:pPr>
        <w:pStyle w:val="111"/>
      </w:pPr>
      <w:r>
        <w:t xml:space="preserve">      security:</w:t>
      </w:r>
    </w:p>
    <w:p>
      <w:pPr>
        <w:pStyle w:val="111"/>
      </w:pPr>
      <w:r>
        <w:t xml:space="preserve">        - {}</w:t>
      </w:r>
    </w:p>
    <w:p>
      <w:pPr>
        <w:pStyle w:val="111"/>
      </w:pPr>
      <w:r>
        <w:t xml:space="preserve">        - oAuth2ClientCredentials:</w:t>
      </w:r>
    </w:p>
    <w:p>
      <w:pPr>
        <w:pStyle w:val="111"/>
      </w:pPr>
      <w:r>
        <w:t xml:space="preserve">          - npcf-policyauthorization</w:t>
      </w:r>
    </w:p>
    <w:p>
      <w:pPr>
        <w:pStyle w:val="111"/>
      </w:pPr>
      <w:r>
        <w:t xml:space="preserve">        - oAuth2ClientCredentials:</w:t>
      </w:r>
    </w:p>
    <w:p>
      <w:pPr>
        <w:pStyle w:val="111"/>
      </w:pPr>
      <w:r>
        <w:t xml:space="preserve">          - npcf-policyauthorization</w:t>
      </w:r>
    </w:p>
    <w:p>
      <w:pPr>
        <w:pStyle w:val="111"/>
      </w:pPr>
      <w:r>
        <w:t xml:space="preserve">          - npcf-policyauthorization:policy-auth-mgmt</w:t>
      </w:r>
    </w:p>
    <w:p>
      <w:pPr>
        <w:pStyle w:val="111"/>
        <w:rPr>
          <w:rFonts w:cs="Courier New"/>
          <w:szCs w:val="16"/>
        </w:rPr>
      </w:pPr>
      <w:r>
        <w:rPr>
          <w:rFonts w:cs="Courier New"/>
          <w:szCs w:val="16"/>
        </w:rPr>
        <w:t xml:space="preserve">      parameters:</w:t>
      </w:r>
    </w:p>
    <w:p>
      <w:pPr>
        <w:pStyle w:val="111"/>
        <w:rPr>
          <w:rFonts w:cs="Courier New"/>
          <w:szCs w:val="16"/>
        </w:rPr>
      </w:pPr>
      <w:r>
        <w:rPr>
          <w:rFonts w:cs="Courier New"/>
          <w:szCs w:val="16"/>
        </w:rPr>
        <w:t xml:space="preserve">        - name: appSessionId</w:t>
      </w:r>
    </w:p>
    <w:p>
      <w:pPr>
        <w:pStyle w:val="111"/>
        <w:rPr>
          <w:rFonts w:cs="Courier New"/>
          <w:szCs w:val="16"/>
        </w:rPr>
      </w:pPr>
      <w:r>
        <w:rPr>
          <w:rFonts w:cs="Courier New"/>
          <w:szCs w:val="16"/>
        </w:rPr>
        <w:t xml:space="preserve">          description: String identifying the resource.</w:t>
      </w:r>
    </w:p>
    <w:p>
      <w:pPr>
        <w:pStyle w:val="111"/>
        <w:rPr>
          <w:rFonts w:cs="Courier New"/>
          <w:szCs w:val="16"/>
        </w:rPr>
      </w:pPr>
      <w:r>
        <w:rPr>
          <w:rFonts w:cs="Courier New"/>
          <w:szCs w:val="16"/>
        </w:rPr>
        <w:t xml:space="preserve">          in: path</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'200':</w:t>
      </w:r>
    </w:p>
    <w:p>
      <w:pPr>
        <w:pStyle w:val="111"/>
        <w:rPr>
          <w:rFonts w:cs="Courier New"/>
          <w:szCs w:val="16"/>
        </w:rPr>
      </w:pPr>
      <w:r>
        <w:rPr>
          <w:rFonts w:cs="Courier New"/>
          <w:szCs w:val="16"/>
        </w:rPr>
        <w:t xml:space="preserve">          description: A representation of the resource is returned.</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'#/components/schemas/AppSessionContext'</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pPr>
      <w:r>
        <w:t xml:space="preserve">        '403':</w:t>
      </w:r>
    </w:p>
    <w:p>
      <w:pPr>
        <w:pStyle w:val="111"/>
      </w:pPr>
      <w:r>
        <w:t xml:space="preserve">          $ref: 'TS29571_CommonData.yaml#/components/responses/403'</w:t>
      </w:r>
    </w:p>
    <w:p>
      <w:pPr>
        <w:pStyle w:val="111"/>
      </w:pPr>
      <w:r>
        <w:t xml:space="preserve">        '404':</w:t>
      </w:r>
    </w:p>
    <w:p>
      <w:pPr>
        <w:pStyle w:val="111"/>
      </w:pPr>
      <w:r>
        <w:t xml:space="preserve">          $ref: 'TS29571_CommonData.yaml#/components/responses/404'</w:t>
      </w:r>
    </w:p>
    <w:p>
      <w:pPr>
        <w:pStyle w:val="111"/>
      </w:pPr>
      <w:r>
        <w:t xml:space="preserve">        '406':</w:t>
      </w:r>
    </w:p>
    <w:p>
      <w:pPr>
        <w:pStyle w:val="111"/>
      </w:pPr>
      <w:r>
        <w:t xml:space="preserve">          $ref: 'TS29571_CommonData.yaml#/components/responses/406'</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patch:</w:t>
      </w:r>
    </w:p>
    <w:p>
      <w:pPr>
        <w:pStyle w:val="111"/>
        <w:rPr>
          <w:rFonts w:cs="Courier New"/>
          <w:szCs w:val="16"/>
        </w:rPr>
      </w:pPr>
      <w:r>
        <w:rPr>
          <w:rFonts w:cs="Courier New"/>
          <w:szCs w:val="16"/>
        </w:rPr>
        <w:t xml:space="preserve">      summary: "Modifies an existing Individual Application Session Context"</w:t>
      </w:r>
    </w:p>
    <w:p>
      <w:pPr>
        <w:pStyle w:val="111"/>
        <w:rPr>
          <w:rFonts w:cs="Courier New"/>
          <w:szCs w:val="16"/>
        </w:rPr>
      </w:pPr>
      <w:r>
        <w:rPr>
          <w:rFonts w:cs="Courier New"/>
          <w:szCs w:val="16"/>
        </w:rPr>
        <w:t xml:space="preserve">      operationId: ModAppSession</w:t>
      </w:r>
    </w:p>
    <w:p>
      <w:pPr>
        <w:pStyle w:val="111"/>
        <w:rPr>
          <w:rFonts w:cs="Courier New"/>
          <w:szCs w:val="16"/>
        </w:rPr>
      </w:pPr>
      <w:r>
        <w:rPr>
          <w:rFonts w:cs="Courier New"/>
          <w:szCs w:val="16"/>
        </w:rPr>
        <w:t xml:space="preserve">      tags:</w:t>
      </w:r>
    </w:p>
    <w:p>
      <w:pPr>
        <w:pStyle w:val="111"/>
        <w:rPr>
          <w:rFonts w:cs="Courier New"/>
          <w:szCs w:val="16"/>
        </w:rPr>
      </w:pPr>
      <w:r>
        <w:rPr>
          <w:rFonts w:cs="Courier New"/>
          <w:szCs w:val="16"/>
        </w:rPr>
        <w:t xml:space="preserve">        - Individual Application Session Context (Document)</w:t>
      </w:r>
    </w:p>
    <w:p>
      <w:pPr>
        <w:pStyle w:val="111"/>
      </w:pPr>
      <w:r>
        <w:t xml:space="preserve">      security:</w:t>
      </w:r>
    </w:p>
    <w:p>
      <w:pPr>
        <w:pStyle w:val="111"/>
      </w:pPr>
      <w:r>
        <w:t xml:space="preserve">        - {}</w:t>
      </w:r>
    </w:p>
    <w:p>
      <w:pPr>
        <w:pStyle w:val="111"/>
      </w:pPr>
      <w:r>
        <w:t xml:space="preserve">        - oAuth2ClientCredentials:</w:t>
      </w:r>
    </w:p>
    <w:p>
      <w:pPr>
        <w:pStyle w:val="111"/>
      </w:pPr>
      <w:r>
        <w:t xml:space="preserve">          - npcf-policyauthorization</w:t>
      </w:r>
    </w:p>
    <w:p>
      <w:pPr>
        <w:pStyle w:val="111"/>
      </w:pPr>
      <w:r>
        <w:t xml:space="preserve">        - oAuth2ClientCredentials:</w:t>
      </w:r>
    </w:p>
    <w:p>
      <w:pPr>
        <w:pStyle w:val="111"/>
      </w:pPr>
      <w:r>
        <w:t xml:space="preserve">          - npcf-policyauthorization</w:t>
      </w:r>
    </w:p>
    <w:p>
      <w:pPr>
        <w:pStyle w:val="111"/>
      </w:pPr>
      <w:r>
        <w:t xml:space="preserve">          - npcf-policyauthorization:policy-auth-mgmt</w:t>
      </w:r>
    </w:p>
    <w:p>
      <w:pPr>
        <w:pStyle w:val="111"/>
        <w:rPr>
          <w:rFonts w:cs="Courier New"/>
          <w:szCs w:val="16"/>
        </w:rPr>
      </w:pPr>
      <w:r>
        <w:rPr>
          <w:rFonts w:cs="Courier New"/>
          <w:szCs w:val="16"/>
        </w:rPr>
        <w:t xml:space="preserve">      parameters:</w:t>
      </w:r>
    </w:p>
    <w:p>
      <w:pPr>
        <w:pStyle w:val="111"/>
        <w:rPr>
          <w:rFonts w:cs="Courier New"/>
          <w:szCs w:val="16"/>
        </w:rPr>
      </w:pPr>
      <w:r>
        <w:rPr>
          <w:rFonts w:cs="Courier New"/>
          <w:szCs w:val="16"/>
        </w:rPr>
        <w:t xml:space="preserve">        - name: appSessionId</w:t>
      </w:r>
    </w:p>
    <w:p>
      <w:pPr>
        <w:pStyle w:val="111"/>
        <w:rPr>
          <w:rFonts w:cs="Courier New"/>
          <w:szCs w:val="16"/>
        </w:rPr>
      </w:pPr>
      <w:r>
        <w:rPr>
          <w:rFonts w:cs="Courier New"/>
          <w:szCs w:val="16"/>
        </w:rPr>
        <w:t xml:space="preserve">          description: String identifying the resource.</w:t>
      </w:r>
    </w:p>
    <w:p>
      <w:pPr>
        <w:pStyle w:val="111"/>
        <w:rPr>
          <w:rFonts w:cs="Courier New"/>
          <w:szCs w:val="16"/>
        </w:rPr>
      </w:pPr>
      <w:r>
        <w:rPr>
          <w:rFonts w:cs="Courier New"/>
          <w:szCs w:val="16"/>
        </w:rPr>
        <w:t xml:space="preserve">          in: path</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Modification of the resource.</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application/merge-patch+json: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'#/components/schemas/AppSessionContextUpdateDataPatch'</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'200':</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Successful modification of the resource and a representation of that resource is</w:t>
      </w:r>
    </w:p>
    <w:p>
      <w:pPr>
        <w:pStyle w:val="111"/>
        <w:rPr>
          <w:rFonts w:cs="Courier New"/>
          <w:szCs w:val="16"/>
        </w:rPr>
      </w:pPr>
      <w:r>
        <w:rPr>
          <w:rFonts w:cs="Courier New"/>
          <w:szCs w:val="16"/>
        </w:rPr>
        <w:t xml:space="preserve">            returned.</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'#/components/schemas/AppSessionContext'</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successful modification.</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description: Forbidden</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application/problem+json: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'#/components/schemas/ExtendedProblemDetails'</w:t>
      </w:r>
    </w:p>
    <w:p>
      <w:pPr>
        <w:pStyle w:val="111"/>
      </w:pPr>
      <w:r>
        <w:t xml:space="preserve">          headers:</w:t>
      </w:r>
    </w:p>
    <w:p>
      <w:pPr>
        <w:pStyle w:val="111"/>
      </w:pPr>
      <w:r>
        <w:t xml:space="preserve">            Retry-After:</w:t>
      </w:r>
    </w:p>
    <w:p>
      <w:pPr>
        <w:pStyle w:val="111"/>
      </w:pPr>
      <w:r>
        <w:t xml:space="preserve">              description: &gt;</w:t>
      </w:r>
    </w:p>
    <w:p>
      <w:pPr>
        <w:pStyle w:val="111"/>
      </w:pPr>
      <w:r>
        <w:t xml:space="preserve">                Indicates the time the AF has to wait before making a new request. It can be a</w:t>
      </w:r>
    </w:p>
    <w:p>
      <w:pPr>
        <w:pStyle w:val="111"/>
      </w:pPr>
      <w:r>
        <w:t xml:space="preserve">                non-negative integer (decimal number) indicating the number of seconds the AF has</w:t>
      </w:r>
    </w:p>
    <w:p>
      <w:pPr>
        <w:pStyle w:val="111"/>
      </w:pPr>
      <w:r>
        <w:t xml:space="preserve">                to wait before making a new request or an HTTP-date after which the AF can retry</w:t>
      </w:r>
    </w:p>
    <w:p>
      <w:pPr>
        <w:pStyle w:val="111"/>
      </w:pPr>
      <w:r>
        <w:t xml:space="preserve">                a new request.</w:t>
      </w:r>
    </w:p>
    <w:p>
      <w:pPr>
        <w:pStyle w:val="111"/>
      </w:pPr>
      <w:r>
        <w:t xml:space="preserve">              schema:</w:t>
      </w:r>
    </w:p>
    <w:p>
      <w:pPr>
        <w:pStyle w:val="111"/>
      </w:pPr>
      <w:r>
        <w:t xml:space="preserve">                anyOf:</w:t>
      </w:r>
    </w:p>
    <w:p>
      <w:pPr>
        <w:pStyle w:val="111"/>
      </w:pPr>
      <w:r>
        <w:t xml:space="preserve">                  - type: integer</w:t>
      </w:r>
    </w:p>
    <w:p>
      <w:pPr>
        <w:pStyle w:val="111"/>
      </w:pPr>
      <w:r>
        <w:t xml:space="preserve">                  - type: string</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callbacks:</w:t>
      </w:r>
    </w:p>
    <w:p>
      <w:pPr>
        <w:pStyle w:val="111"/>
        <w:rPr>
          <w:rFonts w:cs="Courier New"/>
          <w:szCs w:val="16"/>
        </w:rPr>
      </w:pPr>
      <w:r>
        <w:rPr>
          <w:rFonts w:cs="Courier New"/>
          <w:szCs w:val="16"/>
        </w:rPr>
        <w:t xml:space="preserve">        eventNotification:</w:t>
      </w:r>
    </w:p>
    <w:p>
      <w:pPr>
        <w:pStyle w:val="111"/>
        <w:rPr>
          <w:rFonts w:cs="Courier New"/>
          <w:szCs w:val="16"/>
        </w:rPr>
      </w:pPr>
      <w:r>
        <w:rPr>
          <w:rFonts w:cs="Courier New"/>
          <w:szCs w:val="16"/>
        </w:rPr>
        <w:t xml:space="preserve">          '{$request.body#/ascReqData/evSubsc/notifUri}/notify':</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Notification of an event occurrence in the PCF.</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'#/components/schemas/EventsNotification'</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receipt of the notification is acknowledged</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p>
    <w:p>
      <w:pPr>
        <w:pStyle w:val="111"/>
        <w:rPr>
          <w:rFonts w:cs="Courier New"/>
          <w:szCs w:val="16"/>
        </w:rPr>
      </w:pPr>
      <w:r>
        <w:rPr>
          <w:rFonts w:cs="Courier New"/>
          <w:szCs w:val="16"/>
        </w:rPr>
        <w:t xml:space="preserve">  /app-sessions/{appSessionId}/delete:</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summary: "Deletes an existing Individual Application Session Context"</w:t>
      </w:r>
    </w:p>
    <w:p>
      <w:pPr>
        <w:pStyle w:val="111"/>
        <w:rPr>
          <w:rFonts w:cs="Courier New"/>
          <w:szCs w:val="16"/>
        </w:rPr>
      </w:pPr>
      <w:r>
        <w:rPr>
          <w:rFonts w:cs="Courier New"/>
          <w:szCs w:val="16"/>
        </w:rPr>
        <w:t xml:space="preserve">      operationId: DeleteAppSession</w:t>
      </w:r>
    </w:p>
    <w:p>
      <w:pPr>
        <w:pStyle w:val="111"/>
        <w:rPr>
          <w:rFonts w:cs="Courier New"/>
          <w:szCs w:val="16"/>
        </w:rPr>
      </w:pPr>
      <w:r>
        <w:rPr>
          <w:rFonts w:cs="Courier New"/>
          <w:szCs w:val="16"/>
        </w:rPr>
        <w:t xml:space="preserve">      tags:</w:t>
      </w:r>
    </w:p>
    <w:p>
      <w:pPr>
        <w:pStyle w:val="111"/>
        <w:rPr>
          <w:rFonts w:cs="Courier New"/>
          <w:szCs w:val="16"/>
        </w:rPr>
      </w:pPr>
      <w:r>
        <w:rPr>
          <w:rFonts w:cs="Courier New"/>
          <w:szCs w:val="16"/>
        </w:rPr>
        <w:t xml:space="preserve">        - Individual Application Session Context (Document)</w:t>
      </w:r>
    </w:p>
    <w:p>
      <w:pPr>
        <w:pStyle w:val="111"/>
      </w:pPr>
      <w:r>
        <w:t xml:space="preserve">      security:</w:t>
      </w:r>
    </w:p>
    <w:p>
      <w:pPr>
        <w:pStyle w:val="111"/>
      </w:pPr>
      <w:r>
        <w:t xml:space="preserve">        - {}</w:t>
      </w:r>
    </w:p>
    <w:p>
      <w:pPr>
        <w:pStyle w:val="111"/>
      </w:pPr>
      <w:r>
        <w:t xml:space="preserve">        - oAuth2ClientCredentials:</w:t>
      </w:r>
    </w:p>
    <w:p>
      <w:pPr>
        <w:pStyle w:val="111"/>
      </w:pPr>
      <w:r>
        <w:t xml:space="preserve">          - npcf-policyauthorization</w:t>
      </w:r>
    </w:p>
    <w:p>
      <w:pPr>
        <w:pStyle w:val="111"/>
      </w:pPr>
      <w:r>
        <w:t xml:space="preserve">        - oAuth2ClientCredentials:</w:t>
      </w:r>
    </w:p>
    <w:p>
      <w:pPr>
        <w:pStyle w:val="111"/>
      </w:pPr>
      <w:r>
        <w:t xml:space="preserve">          - npcf-policyauthorization</w:t>
      </w:r>
    </w:p>
    <w:p>
      <w:pPr>
        <w:pStyle w:val="111"/>
        <w:rPr>
          <w:b/>
          <w:bCs/>
        </w:rPr>
      </w:pPr>
      <w:r>
        <w:t xml:space="preserve">          - npcf-policyauthorization:policy-auth-mgmt</w:t>
      </w:r>
    </w:p>
    <w:p>
      <w:pPr>
        <w:pStyle w:val="111"/>
        <w:rPr>
          <w:rFonts w:cs="Courier New"/>
          <w:szCs w:val="16"/>
        </w:rPr>
      </w:pPr>
      <w:r>
        <w:rPr>
          <w:rFonts w:cs="Courier New"/>
          <w:szCs w:val="16"/>
        </w:rPr>
        <w:t xml:space="preserve">      parameters:</w:t>
      </w:r>
    </w:p>
    <w:p>
      <w:pPr>
        <w:pStyle w:val="111"/>
        <w:rPr>
          <w:rFonts w:cs="Courier New"/>
          <w:szCs w:val="16"/>
        </w:rPr>
      </w:pPr>
      <w:r>
        <w:rPr>
          <w:rFonts w:cs="Courier New"/>
          <w:szCs w:val="16"/>
        </w:rPr>
        <w:t xml:space="preserve">        - name: appSessionId</w:t>
      </w:r>
    </w:p>
    <w:p>
      <w:pPr>
        <w:pStyle w:val="111"/>
        <w:rPr>
          <w:rFonts w:cs="Courier New"/>
          <w:szCs w:val="16"/>
        </w:rPr>
      </w:pPr>
      <w:r>
        <w:rPr>
          <w:rFonts w:cs="Courier New"/>
          <w:szCs w:val="16"/>
        </w:rPr>
        <w:t xml:space="preserve">          description: String identifying the Individual Application Session Context resource.</w:t>
      </w:r>
    </w:p>
    <w:p>
      <w:pPr>
        <w:pStyle w:val="111"/>
        <w:rPr>
          <w:rFonts w:cs="Courier New"/>
          <w:szCs w:val="16"/>
        </w:rPr>
      </w:pPr>
      <w:r>
        <w:rPr>
          <w:rFonts w:cs="Courier New"/>
          <w:szCs w:val="16"/>
        </w:rPr>
        <w:t xml:space="preserve">          in: path</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Deletion of the Individual Application Session Context resource, req notification.</w:t>
      </w:r>
    </w:p>
    <w:p>
      <w:pPr>
        <w:pStyle w:val="111"/>
        <w:rPr>
          <w:rFonts w:cs="Courier New"/>
          <w:szCs w:val="16"/>
        </w:rPr>
      </w:pPr>
      <w:r>
        <w:rPr>
          <w:rFonts w:cs="Courier New"/>
          <w:szCs w:val="16"/>
        </w:rPr>
        <w:t xml:space="preserve">        required: false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'#/components/schemas/EventsSubscReqData'</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'200':</w:t>
      </w:r>
    </w:p>
    <w:p>
      <w:pPr>
        <w:pStyle w:val="111"/>
        <w:rPr>
          <w:rFonts w:cs="Courier New"/>
          <w:szCs w:val="16"/>
        </w:rPr>
      </w:pPr>
      <w:r>
        <w:rPr>
          <w:rFonts w:cs="Courier New"/>
          <w:szCs w:val="16"/>
        </w:rPr>
        <w:t xml:space="preserve">          description: The deletion of the resource is confirmed and a resource is returned.</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'#/components/schemas/AppSessionContext'</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deletion is confirmed without returning additional data.</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p>
    <w:p>
      <w:pPr>
        <w:pStyle w:val="111"/>
        <w:rPr>
          <w:rFonts w:cs="Courier New"/>
          <w:szCs w:val="16"/>
        </w:rPr>
      </w:pPr>
      <w:r>
        <w:rPr>
          <w:rFonts w:cs="Courier New"/>
          <w:szCs w:val="16"/>
        </w:rPr>
        <w:t xml:space="preserve">  /app-sessions/{appSessionId}/events-subscription:</w:t>
      </w:r>
    </w:p>
    <w:p>
      <w:pPr>
        <w:pStyle w:val="111"/>
        <w:rPr>
          <w:rFonts w:cs="Courier New"/>
          <w:szCs w:val="16"/>
        </w:rPr>
      </w:pPr>
      <w:r>
        <w:rPr>
          <w:rFonts w:cs="Courier New"/>
          <w:szCs w:val="16"/>
        </w:rPr>
        <w:t xml:space="preserve">    put:</w:t>
      </w:r>
    </w:p>
    <w:p>
      <w:pPr>
        <w:pStyle w:val="111"/>
        <w:rPr>
          <w:rFonts w:cs="Courier New"/>
          <w:szCs w:val="16"/>
        </w:rPr>
      </w:pPr>
      <w:r>
        <w:rPr>
          <w:rFonts w:cs="Courier New"/>
          <w:szCs w:val="16"/>
        </w:rPr>
        <w:t xml:space="preserve">      summary: "creates or modifies an Events Subscription subresource"</w:t>
      </w:r>
    </w:p>
    <w:p>
      <w:pPr>
        <w:pStyle w:val="111"/>
        <w:rPr>
          <w:rFonts w:cs="Courier New"/>
          <w:szCs w:val="16"/>
        </w:rPr>
      </w:pPr>
      <w:r>
        <w:rPr>
          <w:rFonts w:cs="Courier New"/>
          <w:szCs w:val="16"/>
        </w:rPr>
        <w:t xml:space="preserve">      operationId: updateEventsSubsc</w:t>
      </w:r>
    </w:p>
    <w:p>
      <w:pPr>
        <w:pStyle w:val="111"/>
        <w:rPr>
          <w:rFonts w:cs="Courier New"/>
          <w:szCs w:val="16"/>
        </w:rPr>
      </w:pPr>
      <w:r>
        <w:rPr>
          <w:rFonts w:cs="Courier New"/>
          <w:szCs w:val="16"/>
        </w:rPr>
        <w:t xml:space="preserve">      tags:</w:t>
      </w:r>
    </w:p>
    <w:p>
      <w:pPr>
        <w:pStyle w:val="111"/>
        <w:rPr>
          <w:rFonts w:cs="Courier New"/>
          <w:szCs w:val="16"/>
        </w:rPr>
      </w:pPr>
      <w:r>
        <w:rPr>
          <w:rFonts w:cs="Courier New"/>
          <w:szCs w:val="16"/>
        </w:rPr>
        <w:t xml:space="preserve">        - Events Subscription (Document)</w:t>
      </w:r>
    </w:p>
    <w:p>
      <w:pPr>
        <w:pStyle w:val="111"/>
        <w:rPr>
          <w:rFonts w:cs="Courier New"/>
          <w:szCs w:val="16"/>
        </w:rPr>
      </w:pPr>
      <w:r>
        <w:rPr>
          <w:rFonts w:cs="Courier New"/>
          <w:szCs w:val="16"/>
        </w:rPr>
        <w:t xml:space="preserve">      parameters:</w:t>
      </w:r>
    </w:p>
    <w:p>
      <w:pPr>
        <w:pStyle w:val="111"/>
        <w:rPr>
          <w:rFonts w:cs="Courier New"/>
          <w:szCs w:val="16"/>
        </w:rPr>
      </w:pPr>
      <w:r>
        <w:rPr>
          <w:rFonts w:cs="Courier New"/>
          <w:szCs w:val="16"/>
        </w:rPr>
        <w:t xml:space="preserve">        - name: appSessionId</w:t>
      </w:r>
    </w:p>
    <w:p>
      <w:pPr>
        <w:pStyle w:val="111"/>
        <w:rPr>
          <w:rFonts w:cs="Courier New"/>
          <w:szCs w:val="16"/>
        </w:rPr>
      </w:pPr>
      <w:r>
        <w:rPr>
          <w:rFonts w:cs="Courier New"/>
          <w:szCs w:val="16"/>
        </w:rPr>
        <w:t xml:space="preserve">          description: String identifying the Events Subscription resource.</w:t>
      </w:r>
    </w:p>
    <w:p>
      <w:pPr>
        <w:pStyle w:val="111"/>
        <w:rPr>
          <w:rFonts w:cs="Courier New"/>
          <w:szCs w:val="16"/>
        </w:rPr>
      </w:pPr>
      <w:r>
        <w:rPr>
          <w:rFonts w:cs="Courier New"/>
          <w:szCs w:val="16"/>
        </w:rPr>
        <w:t xml:space="preserve">          in: path</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Creation or modification of an Events Subscription resource.</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'#/components/schemas/EventsSubscReqData'</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'201':</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The creation of the Events Subscription resource is confirmed and its representation is</w:t>
      </w:r>
    </w:p>
    <w:p>
      <w:pPr>
        <w:pStyle w:val="111"/>
        <w:rPr>
          <w:rFonts w:cs="Courier New"/>
          <w:szCs w:val="16"/>
        </w:rPr>
      </w:pPr>
      <w:r>
        <w:rPr>
          <w:rFonts w:cs="Courier New"/>
          <w:szCs w:val="16"/>
        </w:rPr>
        <w:t xml:space="preserve">            returned.</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'#/components/schemas/EventsSubscPutData'</w:t>
      </w:r>
    </w:p>
    <w:p>
      <w:pPr>
        <w:pStyle w:val="111"/>
      </w:pPr>
      <w:r>
        <w:t xml:space="preserve">          headers:</w:t>
      </w:r>
    </w:p>
    <w:p>
      <w:pPr>
        <w:pStyle w:val="111"/>
      </w:pPr>
      <w:r>
        <w:t xml:space="preserve">            Location:</w:t>
      </w:r>
    </w:p>
    <w:p>
      <w:pPr>
        <w:pStyle w:val="111"/>
      </w:pPr>
      <w:r>
        <w:t xml:space="preserve">              description: &gt;</w:t>
      </w:r>
    </w:p>
    <w:p>
      <w:pPr>
        <w:pStyle w:val="111"/>
      </w:pPr>
      <w:r>
        <w:t xml:space="preserve">                Contains the URI of the created </w:t>
      </w:r>
      <w:r>
        <w:rPr>
          <w:rFonts w:cs="Courier New"/>
          <w:szCs w:val="16"/>
        </w:rPr>
        <w:t xml:space="preserve">Events Subscription </w:t>
      </w:r>
      <w:r>
        <w:t>resource,</w:t>
      </w:r>
    </w:p>
    <w:p>
      <w:pPr>
        <w:pStyle w:val="111"/>
      </w:pPr>
      <w:r>
        <w:t xml:space="preserve">                according to the structure</w:t>
      </w:r>
    </w:p>
    <w:p>
      <w:pPr>
        <w:pStyle w:val="111"/>
      </w:pPr>
      <w:r>
        <w:t xml:space="preserve">                {apiRoot}/npcf-policyauthorization/v1/app-sessions/{appSessionId}/</w:t>
      </w:r>
    </w:p>
    <w:p>
      <w:pPr>
        <w:pStyle w:val="111"/>
      </w:pPr>
      <w:r>
        <w:t xml:space="preserve">                events-subscription</w:t>
      </w:r>
    </w:p>
    <w:p>
      <w:pPr>
        <w:pStyle w:val="111"/>
      </w:pPr>
      <w:r>
        <w:t xml:space="preserve">              required: true</w:t>
      </w:r>
    </w:p>
    <w:p>
      <w:pPr>
        <w:pStyle w:val="111"/>
      </w:pPr>
      <w:r>
        <w:t xml:space="preserve">              schema:</w:t>
      </w:r>
    </w:p>
    <w:p>
      <w:pPr>
        <w:pStyle w:val="111"/>
      </w:pPr>
      <w:r>
        <w:t xml:space="preserve">                type: string</w:t>
      </w:r>
    </w:p>
    <w:p>
      <w:pPr>
        <w:pStyle w:val="111"/>
        <w:rPr>
          <w:rFonts w:cs="Courier New"/>
          <w:szCs w:val="16"/>
        </w:rPr>
      </w:pPr>
      <w:r>
        <w:rPr>
          <w:rFonts w:cs="Courier New"/>
          <w:szCs w:val="16"/>
        </w:rPr>
        <w:t xml:space="preserve">        '200':</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The modification of the Events Subscription resource is confirmed its representation is</w:t>
      </w:r>
    </w:p>
    <w:p>
      <w:pPr>
        <w:pStyle w:val="111"/>
        <w:rPr>
          <w:rFonts w:cs="Courier New"/>
          <w:szCs w:val="16"/>
        </w:rPr>
      </w:pPr>
      <w:r>
        <w:rPr>
          <w:rFonts w:cs="Courier New"/>
          <w:szCs w:val="16"/>
        </w:rPr>
        <w:t xml:space="preserve">            returned.</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'#/components/schemas/EventsSubscPutData'</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The modification of the Events Subscription subresource is confirmed without returning</w:t>
      </w:r>
    </w:p>
    <w:p>
      <w:pPr>
        <w:pStyle w:val="111"/>
        <w:rPr>
          <w:rFonts w:cs="Courier New"/>
          <w:szCs w:val="16"/>
        </w:rPr>
      </w:pPr>
      <w:r>
        <w:rPr>
          <w:rFonts w:cs="Courier New"/>
          <w:szCs w:val="16"/>
        </w:rPr>
        <w:t xml:space="preserve">            additional data.</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callbacks:</w:t>
      </w:r>
    </w:p>
    <w:p>
      <w:pPr>
        <w:pStyle w:val="111"/>
        <w:rPr>
          <w:rFonts w:cs="Courier New"/>
          <w:szCs w:val="16"/>
        </w:rPr>
      </w:pPr>
      <w:r>
        <w:rPr>
          <w:rFonts w:cs="Courier New"/>
          <w:szCs w:val="16"/>
        </w:rPr>
        <w:t xml:space="preserve">        eventNotification:</w:t>
      </w:r>
    </w:p>
    <w:p>
      <w:pPr>
        <w:pStyle w:val="111"/>
        <w:rPr>
          <w:rFonts w:cs="Courier New"/>
          <w:szCs w:val="16"/>
        </w:rPr>
      </w:pPr>
      <w:r>
        <w:rPr>
          <w:rFonts w:cs="Courier New"/>
          <w:szCs w:val="16"/>
        </w:rPr>
        <w:t xml:space="preserve">          '{$request.body#/notifUri}/notify':</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Contains the information for the notification of an event occurrence in the PCF.</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'#/components/schemas/EventsNotification'</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receipt of the notification is acknowledged.</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delete:</w:t>
      </w:r>
    </w:p>
    <w:p>
      <w:pPr>
        <w:pStyle w:val="111"/>
        <w:rPr>
          <w:rFonts w:cs="Courier New"/>
          <w:szCs w:val="16"/>
        </w:rPr>
      </w:pPr>
      <w:r>
        <w:rPr>
          <w:rFonts w:cs="Courier New"/>
          <w:szCs w:val="16"/>
        </w:rPr>
        <w:t xml:space="preserve">      summary: deletes the Events Subscription subresource</w:t>
      </w:r>
    </w:p>
    <w:p>
      <w:pPr>
        <w:pStyle w:val="111"/>
        <w:rPr>
          <w:rFonts w:cs="Courier New"/>
          <w:szCs w:val="16"/>
        </w:rPr>
      </w:pPr>
      <w:r>
        <w:rPr>
          <w:rFonts w:cs="Courier New"/>
          <w:szCs w:val="16"/>
        </w:rPr>
        <w:t xml:space="preserve">      operationId: DeleteEventsSubsc</w:t>
      </w:r>
    </w:p>
    <w:p>
      <w:pPr>
        <w:pStyle w:val="111"/>
        <w:rPr>
          <w:rFonts w:cs="Courier New"/>
          <w:szCs w:val="16"/>
        </w:rPr>
      </w:pPr>
      <w:r>
        <w:rPr>
          <w:rFonts w:cs="Courier New"/>
          <w:szCs w:val="16"/>
        </w:rPr>
        <w:t xml:space="preserve">      tags:</w:t>
      </w:r>
    </w:p>
    <w:p>
      <w:pPr>
        <w:pStyle w:val="111"/>
        <w:rPr>
          <w:rFonts w:cs="Courier New"/>
          <w:szCs w:val="16"/>
        </w:rPr>
      </w:pPr>
      <w:r>
        <w:rPr>
          <w:rFonts w:cs="Courier New"/>
          <w:szCs w:val="16"/>
        </w:rPr>
        <w:t xml:space="preserve">        - Events Subscription (Document)</w:t>
      </w:r>
    </w:p>
    <w:p>
      <w:pPr>
        <w:pStyle w:val="111"/>
        <w:rPr>
          <w:rFonts w:cs="Courier New"/>
          <w:szCs w:val="16"/>
        </w:rPr>
      </w:pPr>
      <w:r>
        <w:rPr>
          <w:rFonts w:cs="Courier New"/>
          <w:szCs w:val="16"/>
        </w:rPr>
        <w:t xml:space="preserve">      parameters:</w:t>
      </w:r>
    </w:p>
    <w:p>
      <w:pPr>
        <w:pStyle w:val="111"/>
        <w:rPr>
          <w:rFonts w:cs="Courier New"/>
          <w:szCs w:val="16"/>
        </w:rPr>
      </w:pPr>
      <w:r>
        <w:rPr>
          <w:rFonts w:cs="Courier New"/>
          <w:szCs w:val="16"/>
        </w:rPr>
        <w:t xml:space="preserve">        - name: appSessionId</w:t>
      </w:r>
    </w:p>
    <w:p>
      <w:pPr>
        <w:pStyle w:val="111"/>
        <w:rPr>
          <w:rFonts w:cs="Courier New"/>
          <w:szCs w:val="16"/>
        </w:rPr>
      </w:pPr>
      <w:r>
        <w:rPr>
          <w:rFonts w:cs="Courier New"/>
          <w:szCs w:val="16"/>
        </w:rPr>
        <w:t xml:space="preserve">          description: String identifying the Individual Application Session Context resource.</w:t>
      </w:r>
    </w:p>
    <w:p>
      <w:pPr>
        <w:pStyle w:val="111"/>
        <w:rPr>
          <w:rFonts w:cs="Courier New"/>
          <w:szCs w:val="16"/>
        </w:rPr>
      </w:pPr>
      <w:r>
        <w:rPr>
          <w:rFonts w:cs="Courier New"/>
          <w:szCs w:val="16"/>
        </w:rPr>
        <w:t xml:space="preserve">          in: path</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The deletion of the of the Events Subscription sub-resource is confirmed without</w:t>
      </w:r>
    </w:p>
    <w:p>
      <w:pPr>
        <w:pStyle w:val="111"/>
        <w:rPr>
          <w:rFonts w:cs="Courier New"/>
          <w:szCs w:val="16"/>
        </w:rPr>
      </w:pPr>
      <w:r>
        <w:rPr>
          <w:rFonts w:cs="Courier New"/>
          <w:szCs w:val="16"/>
        </w:rPr>
        <w:t xml:space="preserve">            returning additional data.</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pPr>
      <w:r>
        <w:t xml:space="preserve">        '403':</w:t>
      </w:r>
    </w:p>
    <w:p>
      <w:pPr>
        <w:pStyle w:val="111"/>
      </w:pPr>
      <w: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p>
    <w:p>
      <w:pPr>
        <w:pStyle w:val="111"/>
        <w:rPr>
          <w:rFonts w:cs="Courier New"/>
          <w:szCs w:val="16"/>
        </w:rPr>
      </w:pPr>
      <w:r>
        <w:rPr>
          <w:rFonts w:cs="Courier New"/>
          <w:szCs w:val="16"/>
        </w:rPr>
        <w:t>components:</w:t>
      </w:r>
    </w:p>
    <w:p>
      <w:pPr>
        <w:pStyle w:val="111"/>
      </w:pPr>
    </w:p>
    <w:bookmarkEnd w:id="104"/>
    <w:p>
      <w:pPr>
        <w:pStyle w:val="111"/>
      </w:pPr>
      <w:r>
        <w:t xml:space="preserve">  securitySchemes:</w:t>
      </w:r>
    </w:p>
    <w:p>
      <w:pPr>
        <w:pStyle w:val="111"/>
      </w:pPr>
      <w:r>
        <w:t xml:space="preserve">    oAuth2ClientCredentials:</w:t>
      </w:r>
    </w:p>
    <w:p>
      <w:pPr>
        <w:pStyle w:val="111"/>
      </w:pPr>
      <w:r>
        <w:t xml:space="preserve">      type: oauth2</w:t>
      </w:r>
    </w:p>
    <w:p>
      <w:pPr>
        <w:pStyle w:val="111"/>
      </w:pPr>
      <w:r>
        <w:t xml:space="preserve">      flows:</w:t>
      </w:r>
    </w:p>
    <w:p>
      <w:pPr>
        <w:pStyle w:val="111"/>
      </w:pPr>
      <w:r>
        <w:t xml:space="preserve">        clientCredentials:</w:t>
      </w:r>
    </w:p>
    <w:p>
      <w:pPr>
        <w:pStyle w:val="111"/>
      </w:pPr>
      <w:r>
        <w:t xml:space="preserve">          tokenUrl: '{nrfApiRoot}/oauth2/token'</w:t>
      </w:r>
    </w:p>
    <w:p>
      <w:pPr>
        <w:pStyle w:val="111"/>
      </w:pPr>
      <w:r>
        <w:t xml:space="preserve">          scopes:</w:t>
      </w:r>
    </w:p>
    <w:p>
      <w:pPr>
        <w:pStyle w:val="111"/>
      </w:pPr>
      <w:r>
        <w:t xml:space="preserve">            npcf-policyauthorization: Access to the </w:t>
      </w:r>
      <w:r>
        <w:rPr>
          <w:rFonts w:cs="Courier New"/>
          <w:szCs w:val="16"/>
        </w:rPr>
        <w:t>Npcf_PolicyAuthorization</w:t>
      </w:r>
      <w:r>
        <w:t xml:space="preserve"> API</w:t>
      </w:r>
    </w:p>
    <w:p>
      <w:pPr>
        <w:pStyle w:val="111"/>
      </w:pPr>
      <w:r>
        <w:t xml:space="preserve">            npcf-policyauthorization</w:t>
      </w:r>
      <w:r>
        <w:rPr>
          <w:rFonts w:eastAsia="等线"/>
          <w:lang w:val="en-US"/>
        </w:rPr>
        <w:t>:</w:t>
      </w:r>
      <w:r>
        <w:t>policy-auth-mgmt: &gt;</w:t>
      </w:r>
    </w:p>
    <w:p>
      <w:pPr>
        <w:pStyle w:val="111"/>
      </w:pPr>
      <w:r>
        <w:t xml:space="preserve">              Access to service operations applying to PCF Policy Authorization for creation,</w:t>
      </w:r>
    </w:p>
    <w:p>
      <w:pPr>
        <w:pStyle w:val="111"/>
      </w:pPr>
      <w:r>
        <w:t xml:space="preserve">              updation, deletion, retrieval.</w:t>
      </w:r>
    </w:p>
    <w:p>
      <w:pPr>
        <w:pStyle w:val="111"/>
        <w:rPr>
          <w:rFonts w:cs="Courier New"/>
          <w:szCs w:val="16"/>
        </w:rPr>
      </w:pPr>
    </w:p>
    <w:p>
      <w:pPr>
        <w:pStyle w:val="111"/>
        <w:rPr>
          <w:rFonts w:cs="Courier New"/>
          <w:szCs w:val="16"/>
        </w:rPr>
      </w:pPr>
      <w:r>
        <w:rPr>
          <w:rFonts w:cs="Courier New"/>
          <w:szCs w:val="16"/>
        </w:rPr>
        <w:t xml:space="preserve">  schemas:</w:t>
      </w:r>
    </w:p>
    <w:p>
      <w:pPr>
        <w:pStyle w:val="111"/>
        <w:rPr>
          <w:rFonts w:cs="Courier New"/>
          <w:szCs w:val="16"/>
        </w:rPr>
      </w:pPr>
    </w:p>
    <w:p>
      <w:pPr>
        <w:pStyle w:val="111"/>
        <w:rPr>
          <w:rFonts w:cs="Courier New"/>
          <w:szCs w:val="16"/>
        </w:rPr>
      </w:pPr>
      <w:r>
        <w:rPr>
          <w:rFonts w:cs="Courier New"/>
          <w:szCs w:val="16"/>
        </w:rPr>
        <w:t xml:space="preserve">    AppSessionContext:</w:t>
      </w:r>
    </w:p>
    <w:p>
      <w:pPr>
        <w:pStyle w:val="111"/>
        <w:rPr>
          <w:rFonts w:cs="Courier New"/>
          <w:szCs w:val="16"/>
        </w:rPr>
      </w:pPr>
      <w:r>
        <w:rPr>
          <w:rFonts w:cs="Courier New"/>
          <w:szCs w:val="16"/>
        </w:rPr>
        <w:t xml:space="preserve">      description: Represents an Individual Application Session Context resource.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ascReqData:</w:t>
      </w:r>
    </w:p>
    <w:p>
      <w:pPr>
        <w:pStyle w:val="111"/>
        <w:rPr>
          <w:rFonts w:cs="Courier New"/>
          <w:szCs w:val="16"/>
        </w:rPr>
      </w:pPr>
      <w:r>
        <w:rPr>
          <w:rFonts w:cs="Courier New"/>
          <w:szCs w:val="16"/>
        </w:rPr>
        <w:t xml:space="preserve">          $ref: '#/components/schemas/AppSessionContextReqData'</w:t>
      </w:r>
    </w:p>
    <w:p>
      <w:pPr>
        <w:pStyle w:val="111"/>
        <w:rPr>
          <w:rFonts w:cs="Courier New"/>
          <w:szCs w:val="16"/>
        </w:rPr>
      </w:pPr>
      <w:r>
        <w:rPr>
          <w:rFonts w:cs="Courier New"/>
          <w:szCs w:val="16"/>
        </w:rPr>
        <w:t xml:space="preserve">        ascRespData:</w:t>
      </w:r>
    </w:p>
    <w:p>
      <w:pPr>
        <w:pStyle w:val="111"/>
        <w:rPr>
          <w:rFonts w:cs="Courier New"/>
          <w:szCs w:val="16"/>
        </w:rPr>
      </w:pPr>
      <w:r>
        <w:rPr>
          <w:rFonts w:cs="Courier New"/>
          <w:szCs w:val="16"/>
        </w:rPr>
        <w:t xml:space="preserve">          $ref: '#/components/schemas/AppSessionContextRespData'</w:t>
      </w:r>
    </w:p>
    <w:p>
      <w:pPr>
        <w:pStyle w:val="111"/>
        <w:rPr>
          <w:rFonts w:cs="Courier New"/>
          <w:szCs w:val="16"/>
        </w:rPr>
      </w:pPr>
      <w:r>
        <w:rPr>
          <w:rFonts w:cs="Courier New"/>
          <w:szCs w:val="16"/>
        </w:rPr>
        <w:t xml:space="preserve">        evsNotif:</w:t>
      </w:r>
    </w:p>
    <w:p>
      <w:pPr>
        <w:pStyle w:val="111"/>
        <w:rPr>
          <w:rFonts w:cs="Courier New"/>
          <w:szCs w:val="16"/>
        </w:rPr>
      </w:pPr>
      <w:r>
        <w:rPr>
          <w:rFonts w:cs="Courier New"/>
          <w:szCs w:val="16"/>
        </w:rPr>
        <w:t xml:space="preserve">          $ref: '#/components/schemas/EventsNotification'</w:t>
      </w:r>
    </w:p>
    <w:p>
      <w:pPr>
        <w:pStyle w:val="111"/>
        <w:rPr>
          <w:rFonts w:cs="Courier New"/>
          <w:szCs w:val="16"/>
        </w:rPr>
      </w:pPr>
    </w:p>
    <w:p>
      <w:pPr>
        <w:pStyle w:val="111"/>
        <w:rPr>
          <w:rFonts w:cs="Courier New"/>
          <w:szCs w:val="16"/>
        </w:rPr>
      </w:pPr>
      <w:r>
        <w:rPr>
          <w:rFonts w:cs="Courier New"/>
          <w:szCs w:val="16"/>
        </w:rPr>
        <w:t xml:space="preserve">    AppSessionContextReqData:</w:t>
      </w:r>
    </w:p>
    <w:p>
      <w:pPr>
        <w:pStyle w:val="111"/>
        <w:rPr>
          <w:rFonts w:cs="Courier New"/>
          <w:szCs w:val="16"/>
        </w:rPr>
      </w:pPr>
      <w:r>
        <w:rPr>
          <w:rFonts w:cs="Courier New"/>
          <w:szCs w:val="16"/>
        </w:rPr>
        <w:t xml:space="preserve">      description: Identifies the service requirements of an Individual Application Session Context.</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notifUri</w:t>
      </w:r>
    </w:p>
    <w:p>
      <w:pPr>
        <w:pStyle w:val="111"/>
        <w:rPr>
          <w:rFonts w:cs="Courier New"/>
          <w:szCs w:val="16"/>
        </w:rPr>
      </w:pPr>
      <w:r>
        <w:rPr>
          <w:rFonts w:cs="Courier New"/>
          <w:szCs w:val="16"/>
        </w:rPr>
        <w:t xml:space="preserve">        - suppFeat</w:t>
      </w:r>
    </w:p>
    <w:p>
      <w:pPr>
        <w:pStyle w:val="111"/>
        <w:rPr>
          <w:rFonts w:cs="Courier New"/>
          <w:szCs w:val="16"/>
        </w:rPr>
      </w:pPr>
      <w:r>
        <w:rPr>
          <w:rFonts w:cs="Courier New"/>
          <w:szCs w:val="16"/>
        </w:rPr>
        <w:t xml:space="preserve">      oneOf:</w:t>
      </w:r>
    </w:p>
    <w:p>
      <w:pPr>
        <w:pStyle w:val="111"/>
        <w:rPr>
          <w:rFonts w:cs="Courier New"/>
          <w:szCs w:val="16"/>
        </w:rPr>
      </w:pPr>
      <w:r>
        <w:rPr>
          <w:rFonts w:cs="Courier New"/>
          <w:szCs w:val="16"/>
        </w:rPr>
        <w:t xml:space="preserve">        - required: [ueIpv4]</w:t>
      </w:r>
    </w:p>
    <w:p>
      <w:pPr>
        <w:pStyle w:val="111"/>
        <w:rPr>
          <w:rFonts w:cs="Courier New"/>
          <w:szCs w:val="16"/>
        </w:rPr>
      </w:pPr>
      <w:r>
        <w:rPr>
          <w:rFonts w:cs="Courier New"/>
          <w:szCs w:val="16"/>
        </w:rPr>
        <w:t xml:space="preserve">        - required: [ueIpv6]</w:t>
      </w:r>
    </w:p>
    <w:p>
      <w:pPr>
        <w:pStyle w:val="111"/>
        <w:rPr>
          <w:rFonts w:cs="Courier New"/>
          <w:szCs w:val="16"/>
        </w:rPr>
      </w:pPr>
      <w:r>
        <w:rPr>
          <w:rFonts w:cs="Courier New"/>
          <w:szCs w:val="16"/>
        </w:rPr>
        <w:t xml:space="preserve">        - required: [ueMac]</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afAppId:</w:t>
      </w:r>
    </w:p>
    <w:p>
      <w:pPr>
        <w:pStyle w:val="111"/>
        <w:rPr>
          <w:rFonts w:cs="Courier New"/>
          <w:szCs w:val="16"/>
        </w:rPr>
      </w:pPr>
      <w:r>
        <w:rPr>
          <w:rFonts w:cs="Courier New"/>
          <w:szCs w:val="16"/>
        </w:rPr>
        <w:t xml:space="preserve">          $ref: '#/components/schemas/AfAppId'</w:t>
      </w:r>
    </w:p>
    <w:p>
      <w:pPr>
        <w:pStyle w:val="111"/>
        <w:rPr>
          <w:rFonts w:cs="Courier New"/>
          <w:szCs w:val="16"/>
        </w:rPr>
      </w:pPr>
      <w:r>
        <w:rPr>
          <w:rFonts w:cs="Courier New"/>
          <w:szCs w:val="16"/>
        </w:rPr>
        <w:t xml:space="preserve">        </w:t>
      </w:r>
      <w:r>
        <w:rPr>
          <w:lang w:eastAsia="zh-CN"/>
        </w:rPr>
        <w:t>afChargId</w:t>
      </w:r>
      <w:r>
        <w:rPr>
          <w:rFonts w:cs="Courier New"/>
          <w:szCs w:val="16"/>
        </w:rPr>
        <w:t>:</w:t>
      </w:r>
    </w:p>
    <w:p>
      <w:pPr>
        <w:pStyle w:val="111"/>
        <w:rPr>
          <w:rFonts w:cs="Courier New"/>
          <w:szCs w:val="16"/>
        </w:rPr>
      </w:pPr>
      <w:r>
        <w:rPr>
          <w:rFonts w:cs="Courier New"/>
          <w:szCs w:val="16"/>
        </w:rPr>
        <w:t xml:space="preserve">          $ref: 'TS29571_CommonData.yaml#/components/schemas/ApplicationChargingId'</w:t>
      </w:r>
    </w:p>
    <w:p>
      <w:pPr>
        <w:pStyle w:val="111"/>
        <w:rPr>
          <w:rFonts w:cs="Courier New"/>
          <w:szCs w:val="16"/>
        </w:rPr>
      </w:pPr>
      <w:r>
        <w:rPr>
          <w:rFonts w:cs="Courier New"/>
          <w:szCs w:val="16"/>
        </w:rPr>
        <w:t xml:space="preserve">        afReqData:</w:t>
      </w:r>
    </w:p>
    <w:p>
      <w:pPr>
        <w:pStyle w:val="111"/>
        <w:rPr>
          <w:rFonts w:cs="Courier New"/>
          <w:szCs w:val="16"/>
        </w:rPr>
      </w:pPr>
      <w:r>
        <w:rPr>
          <w:rFonts w:cs="Courier New"/>
          <w:szCs w:val="16"/>
        </w:rPr>
        <w:t xml:space="preserve">          $ref: '#/components/schemas/AfRequestedData'</w:t>
      </w:r>
    </w:p>
    <w:p>
      <w:pPr>
        <w:pStyle w:val="111"/>
        <w:rPr>
          <w:rFonts w:cs="Courier New"/>
          <w:szCs w:val="16"/>
        </w:rPr>
      </w:pPr>
      <w:r>
        <w:rPr>
          <w:rFonts w:cs="Courier New"/>
          <w:szCs w:val="16"/>
        </w:rPr>
        <w:t xml:space="preserve">        afRoutReq:</w:t>
      </w:r>
    </w:p>
    <w:p>
      <w:pPr>
        <w:pStyle w:val="111"/>
        <w:rPr>
          <w:rFonts w:cs="Courier New"/>
          <w:szCs w:val="16"/>
        </w:rPr>
      </w:pPr>
      <w:r>
        <w:rPr>
          <w:rFonts w:cs="Courier New"/>
          <w:szCs w:val="16"/>
        </w:rPr>
        <w:t xml:space="preserve">          $ref: '#/components/schemas/AfRoutingRequirement'</w:t>
      </w:r>
    </w:p>
    <w:p>
      <w:pPr>
        <w:pStyle w:val="111"/>
        <w:rPr>
          <w:rFonts w:cs="Courier New"/>
          <w:szCs w:val="16"/>
        </w:rPr>
      </w:pPr>
      <w:r>
        <w:rPr>
          <w:rFonts w:cs="Courier New"/>
          <w:szCs w:val="16"/>
        </w:rPr>
        <w:t xml:space="preserve">        afSfcReq:</w:t>
      </w:r>
    </w:p>
    <w:p>
      <w:pPr>
        <w:pStyle w:val="111"/>
        <w:rPr>
          <w:rFonts w:cs="Courier New"/>
          <w:szCs w:val="16"/>
        </w:rPr>
      </w:pPr>
      <w:r>
        <w:rPr>
          <w:rFonts w:cs="Courier New"/>
          <w:szCs w:val="16"/>
        </w:rPr>
        <w:t xml:space="preserve">          $ref: '#/components/schemas/AfSfcRequirement'</w:t>
      </w:r>
    </w:p>
    <w:p>
      <w:pPr>
        <w:pStyle w:val="111"/>
        <w:rPr>
          <w:rFonts w:cs="Courier New"/>
          <w:szCs w:val="16"/>
        </w:rPr>
      </w:pPr>
      <w:r>
        <w:rPr>
          <w:rFonts w:cs="Courier New"/>
          <w:szCs w:val="16"/>
        </w:rPr>
        <w:t xml:space="preserve">        aspId:</w:t>
      </w:r>
    </w:p>
    <w:p>
      <w:pPr>
        <w:pStyle w:val="111"/>
        <w:rPr>
          <w:rFonts w:cs="Courier New"/>
          <w:szCs w:val="16"/>
        </w:rPr>
      </w:pPr>
      <w:r>
        <w:rPr>
          <w:rFonts w:cs="Courier New"/>
          <w:szCs w:val="16"/>
        </w:rPr>
        <w:t xml:space="preserve">          $ref: '#/components/schemas/AspId'</w:t>
      </w:r>
    </w:p>
    <w:p>
      <w:pPr>
        <w:pStyle w:val="111"/>
        <w:rPr>
          <w:rFonts w:cs="Courier New"/>
          <w:szCs w:val="16"/>
        </w:rPr>
      </w:pPr>
      <w:r>
        <w:rPr>
          <w:rFonts w:cs="Courier New"/>
          <w:szCs w:val="16"/>
        </w:rPr>
        <w:t xml:space="preserve">        bdtRefId:</w:t>
      </w:r>
    </w:p>
    <w:p>
      <w:pPr>
        <w:pStyle w:val="111"/>
        <w:rPr>
          <w:rFonts w:cs="Courier New"/>
          <w:szCs w:val="16"/>
        </w:rPr>
      </w:pPr>
      <w:r>
        <w:rPr>
          <w:rFonts w:cs="Courier New"/>
          <w:szCs w:val="16"/>
        </w:rPr>
        <w:t xml:space="preserve">          $ref: 'TS29122_CommonData.yaml#/components/schemas/BdtReferenceId'</w:t>
      </w:r>
    </w:p>
    <w:p>
      <w:pPr>
        <w:pStyle w:val="111"/>
        <w:rPr>
          <w:rFonts w:cs="Courier New"/>
          <w:szCs w:val="16"/>
        </w:rPr>
      </w:pPr>
      <w:r>
        <w:rPr>
          <w:rFonts w:cs="Courier New"/>
          <w:szCs w:val="16"/>
        </w:rPr>
        <w:t xml:space="preserve">        dnn:</w:t>
      </w:r>
    </w:p>
    <w:p>
      <w:pPr>
        <w:pStyle w:val="111"/>
        <w:rPr>
          <w:rFonts w:cs="Courier New"/>
          <w:szCs w:val="16"/>
        </w:rPr>
      </w:pPr>
      <w:r>
        <w:rPr>
          <w:rFonts w:cs="Courier New"/>
          <w:szCs w:val="16"/>
        </w:rPr>
        <w:t xml:space="preserve">          $ref: 'TS29571_CommonData.yaml#/components/schemas/Dnn'</w:t>
      </w:r>
    </w:p>
    <w:p>
      <w:pPr>
        <w:pStyle w:val="111"/>
        <w:rPr>
          <w:rFonts w:cs="Courier New"/>
          <w:szCs w:val="16"/>
        </w:rPr>
      </w:pPr>
      <w:r>
        <w:rPr>
          <w:rFonts w:cs="Courier New"/>
          <w:szCs w:val="16"/>
        </w:rPr>
        <w:t xml:space="preserve">        evSubsc:</w:t>
      </w:r>
    </w:p>
    <w:p>
      <w:pPr>
        <w:pStyle w:val="111"/>
        <w:rPr>
          <w:rFonts w:cs="Courier New"/>
          <w:szCs w:val="16"/>
        </w:rPr>
      </w:pPr>
      <w:r>
        <w:rPr>
          <w:rFonts w:cs="Courier New"/>
          <w:szCs w:val="16"/>
        </w:rPr>
        <w:t xml:space="preserve">          $ref: '#/components/schemas/EventsSubscReqData'</w:t>
      </w:r>
    </w:p>
    <w:p>
      <w:pPr>
        <w:pStyle w:val="111"/>
        <w:rPr>
          <w:rFonts w:cs="Courier New"/>
          <w:szCs w:val="16"/>
        </w:rPr>
      </w:pPr>
      <w:r>
        <w:rPr>
          <w:rFonts w:cs="Courier New"/>
          <w:szCs w:val="16"/>
        </w:rPr>
        <w:t xml:space="preserve">        mcpttId:</w:t>
      </w:r>
    </w:p>
    <w:p>
      <w:pPr>
        <w:pStyle w:val="111"/>
        <w:rPr>
          <w:rFonts w:cs="Courier New"/>
          <w:szCs w:val="16"/>
        </w:rPr>
      </w:pPr>
      <w:r>
        <w:rPr>
          <w:rFonts w:cs="Courier New"/>
          <w:szCs w:val="16"/>
        </w:rPr>
        <w:t xml:space="preserve">          description: Indication of MCPTT service request.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mcVideoId:</w:t>
      </w:r>
    </w:p>
    <w:p>
      <w:pPr>
        <w:pStyle w:val="111"/>
        <w:rPr>
          <w:rFonts w:cs="Courier New"/>
          <w:szCs w:val="16"/>
        </w:rPr>
      </w:pPr>
      <w:r>
        <w:rPr>
          <w:rFonts w:cs="Courier New"/>
          <w:szCs w:val="16"/>
        </w:rPr>
        <w:t xml:space="preserve">          description: Indication of MCVideo service request.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medComponents: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additionalProperties:</w:t>
      </w:r>
    </w:p>
    <w:p>
      <w:pPr>
        <w:pStyle w:val="111"/>
        <w:rPr>
          <w:rFonts w:cs="Courier New"/>
          <w:szCs w:val="16"/>
        </w:rPr>
      </w:pPr>
      <w:r>
        <w:rPr>
          <w:rFonts w:cs="Courier New"/>
          <w:szCs w:val="16"/>
        </w:rPr>
        <w:t xml:space="preserve">            $ref: '#/components/schemas/MediaComponent'</w:t>
      </w:r>
    </w:p>
    <w:p>
      <w:pPr>
        <w:pStyle w:val="111"/>
      </w:pPr>
      <w:r>
        <w:t xml:space="preserve">          minProperties: 1</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Contains </w:t>
      </w:r>
      <w:r>
        <w:rPr>
          <w:rFonts w:cs="Arial"/>
          <w:szCs w:val="18"/>
        </w:rPr>
        <w:t xml:space="preserve">media component information. The key of the map is the </w:t>
      </w:r>
      <w:r>
        <w:t xml:space="preserve">medCompN </w:t>
      </w:r>
      <w:r>
        <w:rPr>
          <w:rFonts w:cs="Arial"/>
          <w:szCs w:val="18"/>
        </w:rPr>
        <w:t>attribute</w:t>
      </w:r>
      <w:r>
        <w:t>.</w:t>
      </w:r>
    </w:p>
    <w:p>
      <w:pPr>
        <w:pStyle w:val="111"/>
        <w:rPr>
          <w:rFonts w:cs="Courier New"/>
          <w:szCs w:val="16"/>
        </w:rPr>
      </w:pPr>
      <w:r>
        <w:rPr>
          <w:rFonts w:cs="Courier New"/>
          <w:szCs w:val="16"/>
        </w:rPr>
        <w:t xml:space="preserve">        ipDomain:</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mpsAction:</w:t>
      </w:r>
    </w:p>
    <w:p>
      <w:pPr>
        <w:pStyle w:val="111"/>
        <w:rPr>
          <w:rFonts w:cs="Courier New"/>
          <w:szCs w:val="16"/>
        </w:rPr>
      </w:pPr>
      <w:r>
        <w:rPr>
          <w:rFonts w:cs="Courier New"/>
          <w:szCs w:val="16"/>
        </w:rPr>
        <w:t xml:space="preserve">          $ref: '#/components/schemas/MpsAction'</w:t>
      </w:r>
    </w:p>
    <w:p>
      <w:pPr>
        <w:pStyle w:val="111"/>
        <w:rPr>
          <w:rFonts w:cs="Courier New"/>
          <w:szCs w:val="16"/>
        </w:rPr>
      </w:pPr>
      <w:r>
        <w:rPr>
          <w:rFonts w:cs="Courier New"/>
          <w:szCs w:val="16"/>
        </w:rPr>
        <w:t xml:space="preserve">        mpsId:</w:t>
      </w:r>
    </w:p>
    <w:p>
      <w:pPr>
        <w:pStyle w:val="111"/>
        <w:rPr>
          <w:rFonts w:cs="Courier New"/>
          <w:szCs w:val="16"/>
        </w:rPr>
      </w:pPr>
      <w:r>
        <w:rPr>
          <w:rFonts w:cs="Courier New"/>
          <w:szCs w:val="16"/>
        </w:rPr>
        <w:t xml:space="preserve">          description: Indication of MPS service request.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mcsId:</w:t>
      </w:r>
    </w:p>
    <w:p>
      <w:pPr>
        <w:pStyle w:val="111"/>
        <w:rPr>
          <w:rFonts w:cs="Courier New"/>
          <w:szCs w:val="16"/>
        </w:rPr>
      </w:pPr>
      <w:r>
        <w:rPr>
          <w:rFonts w:cs="Courier New"/>
          <w:szCs w:val="16"/>
        </w:rPr>
        <w:t xml:space="preserve">          description: Indication of MCS service request.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preemptControlInfo:</w:t>
      </w:r>
    </w:p>
    <w:p>
      <w:pPr>
        <w:pStyle w:val="111"/>
        <w:rPr>
          <w:rFonts w:cs="Courier New"/>
          <w:szCs w:val="16"/>
        </w:rPr>
      </w:pPr>
      <w:r>
        <w:rPr>
          <w:rFonts w:cs="Courier New"/>
          <w:szCs w:val="16"/>
        </w:rPr>
        <w:t xml:space="preserve">          $ref: '#/components/schemas/PreemptionControlInformation'</w:t>
      </w:r>
    </w:p>
    <w:p>
      <w:pPr>
        <w:pStyle w:val="111"/>
        <w:rPr>
          <w:rFonts w:cs="Courier New"/>
          <w:szCs w:val="16"/>
        </w:rPr>
      </w:pPr>
      <w:r>
        <w:rPr>
          <w:rFonts w:cs="Courier New"/>
          <w:szCs w:val="16"/>
        </w:rPr>
        <w:t xml:space="preserve">        resPrio:</w:t>
      </w:r>
    </w:p>
    <w:p>
      <w:pPr>
        <w:pStyle w:val="111"/>
        <w:rPr>
          <w:rFonts w:cs="Courier New"/>
          <w:szCs w:val="16"/>
        </w:rPr>
      </w:pPr>
      <w:r>
        <w:rPr>
          <w:rFonts w:cs="Courier New"/>
          <w:szCs w:val="16"/>
        </w:rPr>
        <w:t xml:space="preserve">          $ref: '#/components/schemas/ReservPriority'</w:t>
      </w:r>
    </w:p>
    <w:p>
      <w:pPr>
        <w:pStyle w:val="111"/>
        <w:rPr>
          <w:rFonts w:cs="Courier New"/>
          <w:szCs w:val="16"/>
        </w:rPr>
      </w:pPr>
      <w:r>
        <w:rPr>
          <w:rFonts w:cs="Courier New"/>
          <w:szCs w:val="16"/>
        </w:rPr>
        <w:t xml:space="preserve">        servInfStatus:</w:t>
      </w:r>
    </w:p>
    <w:p>
      <w:pPr>
        <w:pStyle w:val="111"/>
        <w:rPr>
          <w:rFonts w:cs="Courier New"/>
          <w:szCs w:val="16"/>
        </w:rPr>
      </w:pPr>
      <w:r>
        <w:rPr>
          <w:rFonts w:cs="Courier New"/>
          <w:szCs w:val="16"/>
        </w:rPr>
        <w:t xml:space="preserve">          $ref: '#/components/schemas/ServiceInfoStatus'</w:t>
      </w:r>
    </w:p>
    <w:p>
      <w:pPr>
        <w:pStyle w:val="111"/>
        <w:rPr>
          <w:rFonts w:cs="Courier New"/>
          <w:szCs w:val="16"/>
        </w:rPr>
      </w:pPr>
      <w:r>
        <w:rPr>
          <w:rFonts w:cs="Courier New"/>
          <w:szCs w:val="16"/>
        </w:rPr>
        <w:t xml:space="preserve">        notifUri:</w:t>
      </w:r>
    </w:p>
    <w:p>
      <w:pPr>
        <w:pStyle w:val="111"/>
        <w:rPr>
          <w:rFonts w:cs="Courier New"/>
          <w:szCs w:val="16"/>
        </w:rPr>
      </w:pPr>
      <w:r>
        <w:rPr>
          <w:rFonts w:cs="Courier New"/>
          <w:szCs w:val="16"/>
        </w:rPr>
        <w:t xml:space="preserve">          $ref: 'TS29571_CommonData.yaml#/components/schemas/Uri'</w:t>
      </w:r>
    </w:p>
    <w:p>
      <w:pPr>
        <w:pStyle w:val="111"/>
        <w:rPr>
          <w:rFonts w:cs="Courier New"/>
          <w:szCs w:val="16"/>
        </w:rPr>
      </w:pPr>
      <w:r>
        <w:rPr>
          <w:rFonts w:cs="Courier New"/>
          <w:szCs w:val="16"/>
        </w:rPr>
        <w:t xml:space="preserve">        servUrn:</w:t>
      </w:r>
    </w:p>
    <w:p>
      <w:pPr>
        <w:pStyle w:val="111"/>
        <w:rPr>
          <w:rFonts w:cs="Courier New"/>
          <w:szCs w:val="16"/>
        </w:rPr>
      </w:pPr>
      <w:r>
        <w:rPr>
          <w:rFonts w:cs="Courier New"/>
          <w:szCs w:val="16"/>
        </w:rPr>
        <w:t xml:space="preserve">          $ref: '#/components/schemas/ServiceUrn'</w:t>
      </w:r>
    </w:p>
    <w:p>
      <w:pPr>
        <w:pStyle w:val="111"/>
        <w:rPr>
          <w:rFonts w:cs="Courier New"/>
          <w:szCs w:val="16"/>
        </w:rPr>
      </w:pPr>
      <w:r>
        <w:rPr>
          <w:rFonts w:cs="Courier New"/>
          <w:szCs w:val="16"/>
        </w:rPr>
        <w:t xml:space="preserve">        sliceInfo:</w:t>
      </w:r>
    </w:p>
    <w:p>
      <w:pPr>
        <w:pStyle w:val="111"/>
        <w:rPr>
          <w:rFonts w:cs="Courier New"/>
          <w:szCs w:val="16"/>
        </w:rPr>
      </w:pPr>
      <w:r>
        <w:rPr>
          <w:rFonts w:cs="Courier New"/>
          <w:szCs w:val="16"/>
        </w:rPr>
        <w:t xml:space="preserve">          $ref: 'TS29571_CommonData.yaml#/components/schemas/Snssai'</w:t>
      </w:r>
    </w:p>
    <w:p>
      <w:pPr>
        <w:pStyle w:val="111"/>
        <w:rPr>
          <w:rFonts w:cs="Courier New"/>
          <w:szCs w:val="16"/>
        </w:rPr>
      </w:pPr>
      <w:r>
        <w:rPr>
          <w:rFonts w:cs="Courier New"/>
          <w:szCs w:val="16"/>
        </w:rPr>
        <w:t xml:space="preserve">        sponId:</w:t>
      </w:r>
    </w:p>
    <w:p>
      <w:pPr>
        <w:pStyle w:val="111"/>
        <w:rPr>
          <w:rFonts w:cs="Courier New"/>
          <w:szCs w:val="16"/>
        </w:rPr>
      </w:pPr>
      <w:r>
        <w:rPr>
          <w:rFonts w:cs="Courier New"/>
          <w:szCs w:val="16"/>
        </w:rPr>
        <w:t xml:space="preserve">          $ref: '#/components/schemas/SponId'</w:t>
      </w:r>
    </w:p>
    <w:p>
      <w:pPr>
        <w:pStyle w:val="111"/>
        <w:rPr>
          <w:rFonts w:cs="Courier New"/>
          <w:szCs w:val="16"/>
        </w:rPr>
      </w:pPr>
      <w:r>
        <w:rPr>
          <w:rFonts w:cs="Courier New"/>
          <w:szCs w:val="16"/>
        </w:rPr>
        <w:t xml:space="preserve">        sponStatus:</w:t>
      </w:r>
    </w:p>
    <w:p>
      <w:pPr>
        <w:pStyle w:val="111"/>
        <w:rPr>
          <w:rFonts w:cs="Courier New"/>
          <w:szCs w:val="16"/>
        </w:rPr>
      </w:pPr>
      <w:r>
        <w:rPr>
          <w:rFonts w:cs="Courier New"/>
          <w:szCs w:val="16"/>
        </w:rPr>
        <w:t xml:space="preserve">          $ref: '#/components/schemas/SponsoringStatus'</w:t>
      </w:r>
    </w:p>
    <w:p>
      <w:pPr>
        <w:pStyle w:val="111"/>
        <w:rPr>
          <w:rFonts w:cs="Courier New"/>
          <w:szCs w:val="16"/>
        </w:rPr>
      </w:pPr>
      <w:r>
        <w:rPr>
          <w:rFonts w:cs="Courier New"/>
          <w:szCs w:val="16"/>
        </w:rPr>
        <w:t xml:space="preserve">        supi:</w:t>
      </w:r>
    </w:p>
    <w:p>
      <w:pPr>
        <w:pStyle w:val="111"/>
        <w:rPr>
          <w:rFonts w:cs="Courier New"/>
          <w:szCs w:val="16"/>
        </w:rPr>
      </w:pPr>
      <w:r>
        <w:rPr>
          <w:rFonts w:cs="Courier New"/>
          <w:szCs w:val="16"/>
        </w:rPr>
        <w:t xml:space="preserve">          $ref: 'TS29571_CommonData.yaml#/components/schemas/Supi'</w:t>
      </w:r>
    </w:p>
    <w:p>
      <w:pPr>
        <w:pStyle w:val="111"/>
      </w:pPr>
      <w:r>
        <w:t xml:space="preserve">        gpsi:</w:t>
      </w:r>
    </w:p>
    <w:p>
      <w:pPr>
        <w:pStyle w:val="111"/>
      </w:pPr>
      <w:r>
        <w:t xml:space="preserve">          $ref: 'TS29571_CommonData.yaml#/components/schemas/Gpsi'</w:t>
      </w:r>
    </w:p>
    <w:p>
      <w:pPr>
        <w:pStyle w:val="111"/>
        <w:rPr>
          <w:rFonts w:cs="Courier New"/>
          <w:szCs w:val="16"/>
        </w:rPr>
      </w:pPr>
      <w:r>
        <w:rPr>
          <w:rFonts w:cs="Courier New"/>
          <w:szCs w:val="16"/>
        </w:rPr>
        <w:t xml:space="preserve">        suppFeat:</w:t>
      </w:r>
    </w:p>
    <w:p>
      <w:pPr>
        <w:pStyle w:val="111"/>
        <w:rPr>
          <w:rFonts w:cs="Courier New"/>
          <w:szCs w:val="16"/>
        </w:rPr>
      </w:pPr>
      <w:r>
        <w:rPr>
          <w:rFonts w:cs="Courier New"/>
          <w:szCs w:val="16"/>
        </w:rPr>
        <w:t xml:space="preserve">          $ref: 'TS29571_CommonData.yaml#/components/schemas/SupportedFeatures'</w:t>
      </w:r>
    </w:p>
    <w:p>
      <w:pPr>
        <w:pStyle w:val="111"/>
        <w:rPr>
          <w:rFonts w:cs="Courier New"/>
          <w:szCs w:val="16"/>
        </w:rPr>
      </w:pPr>
      <w:r>
        <w:rPr>
          <w:rFonts w:cs="Courier New"/>
          <w:szCs w:val="16"/>
        </w:rPr>
        <w:t xml:space="preserve">        ueIpv4:</w:t>
      </w:r>
    </w:p>
    <w:p>
      <w:pPr>
        <w:pStyle w:val="111"/>
        <w:rPr>
          <w:rFonts w:cs="Courier New"/>
          <w:szCs w:val="16"/>
        </w:rPr>
      </w:pPr>
      <w:r>
        <w:rPr>
          <w:rFonts w:cs="Courier New"/>
          <w:szCs w:val="16"/>
        </w:rPr>
        <w:t xml:space="preserve">          $ref: 'TS29571_CommonData.yaml#/components/schemas/Ipv4Addr'</w:t>
      </w:r>
    </w:p>
    <w:p>
      <w:pPr>
        <w:pStyle w:val="111"/>
        <w:rPr>
          <w:rFonts w:cs="Courier New"/>
          <w:szCs w:val="16"/>
        </w:rPr>
      </w:pPr>
      <w:r>
        <w:rPr>
          <w:rFonts w:cs="Courier New"/>
          <w:szCs w:val="16"/>
        </w:rPr>
        <w:t xml:space="preserve">        ueIpv6:</w:t>
      </w:r>
    </w:p>
    <w:p>
      <w:pPr>
        <w:pStyle w:val="111"/>
        <w:rPr>
          <w:rFonts w:cs="Courier New"/>
          <w:szCs w:val="16"/>
        </w:rPr>
      </w:pPr>
      <w:r>
        <w:rPr>
          <w:rFonts w:cs="Courier New"/>
          <w:szCs w:val="16"/>
        </w:rPr>
        <w:t xml:space="preserve">          $ref: 'TS29571_CommonData.yaml#/components/schemas/Ipv6Addr'</w:t>
      </w:r>
    </w:p>
    <w:p>
      <w:pPr>
        <w:pStyle w:val="111"/>
        <w:rPr>
          <w:rFonts w:cs="Courier New"/>
          <w:szCs w:val="16"/>
        </w:rPr>
      </w:pPr>
      <w:r>
        <w:rPr>
          <w:rFonts w:cs="Courier New"/>
          <w:szCs w:val="16"/>
        </w:rPr>
        <w:t xml:space="preserve">        ueMac:</w:t>
      </w:r>
    </w:p>
    <w:p>
      <w:pPr>
        <w:pStyle w:val="111"/>
        <w:rPr>
          <w:rFonts w:cs="Courier New"/>
          <w:szCs w:val="16"/>
        </w:rPr>
      </w:pPr>
      <w:r>
        <w:rPr>
          <w:rFonts w:cs="Courier New"/>
          <w:szCs w:val="16"/>
        </w:rPr>
        <w:t xml:space="preserve">          $ref: 'TS29571_CommonData.yaml#/components/schemas/MacAddr48'</w:t>
      </w:r>
    </w:p>
    <w:p>
      <w:pPr>
        <w:pStyle w:val="111"/>
      </w:pPr>
      <w:r>
        <w:t xml:space="preserve">        tsnBridgeManCont:</w:t>
      </w:r>
    </w:p>
    <w:p>
      <w:pPr>
        <w:pStyle w:val="111"/>
      </w:pPr>
      <w:r>
        <w:t xml:space="preserve">          $ref: </w:t>
      </w:r>
      <w:r>
        <w:rPr>
          <w:rFonts w:cs="Courier New"/>
          <w:szCs w:val="16"/>
        </w:rPr>
        <w:t>'TS29512_Npcf_SMPolicyControl.yaml</w:t>
      </w:r>
      <w:r>
        <w:t>#/components/schemas/BridgeManagementContainer'</w:t>
      </w:r>
    </w:p>
    <w:p>
      <w:pPr>
        <w:pStyle w:val="111"/>
      </w:pPr>
      <w:r>
        <w:t xml:space="preserve">        tsnPortManContDstt:</w:t>
      </w:r>
    </w:p>
    <w:p>
      <w:pPr>
        <w:pStyle w:val="111"/>
      </w:pPr>
      <w:r>
        <w:t xml:space="preserve">          $ref: </w:t>
      </w:r>
      <w:r>
        <w:rPr>
          <w:rFonts w:cs="Courier New"/>
          <w:szCs w:val="16"/>
        </w:rPr>
        <w:t>'TS29512_Npcf_SMPolicyControl.yaml</w:t>
      </w:r>
      <w:r>
        <w:t>#/components/schemas/PortManagementContainer'</w:t>
      </w:r>
    </w:p>
    <w:p>
      <w:pPr>
        <w:pStyle w:val="111"/>
      </w:pPr>
      <w:r>
        <w:t xml:space="preserve">        tsnPortManContNwtts:</w:t>
      </w:r>
    </w:p>
    <w:p>
      <w:pPr>
        <w:pStyle w:val="111"/>
      </w:pPr>
      <w:r>
        <w:t xml:space="preserve">          type: array</w:t>
      </w:r>
    </w:p>
    <w:p>
      <w:pPr>
        <w:pStyle w:val="111"/>
      </w:pPr>
      <w:r>
        <w:t xml:space="preserve">          items:</w:t>
      </w:r>
    </w:p>
    <w:p>
      <w:pPr>
        <w:pStyle w:val="111"/>
      </w:pPr>
      <w:r>
        <w:t xml:space="preserve">            $ref: </w:t>
      </w:r>
      <w:r>
        <w:rPr>
          <w:rFonts w:cs="Courier New"/>
          <w:szCs w:val="16"/>
        </w:rPr>
        <w:t>'TS29512_Npcf_SMPolicyControl.yaml</w:t>
      </w:r>
      <w:r>
        <w:t>#/components/schemas/PortManagementContainer'</w:t>
      </w:r>
    </w:p>
    <w:p>
      <w:pPr>
        <w:pStyle w:val="111"/>
      </w:pPr>
      <w:r>
        <w:t xml:space="preserve">          minItems: 1</w:t>
      </w:r>
    </w:p>
    <w:p>
      <w:pPr>
        <w:pStyle w:val="111"/>
        <w:rPr>
          <w:rFonts w:cs="Courier New"/>
          <w:szCs w:val="16"/>
        </w:rPr>
      </w:pPr>
      <w:r>
        <w:rPr>
          <w:rFonts w:cs="Courier New"/>
          <w:szCs w:val="16"/>
        </w:rPr>
        <w:t xml:space="preserve">        </w:t>
      </w:r>
      <w:r>
        <w:t>multiModalId</w:t>
      </w:r>
      <w:r>
        <w:rPr>
          <w:rFonts w:cs="Courier New"/>
          <w:szCs w:val="16"/>
        </w:rPr>
        <w:t>:</w:t>
      </w:r>
    </w:p>
    <w:p>
      <w:pPr>
        <w:pStyle w:val="111"/>
        <w:rPr>
          <w:rFonts w:cs="Courier New"/>
          <w:szCs w:val="16"/>
        </w:rPr>
      </w:pPr>
      <w:r>
        <w:rPr>
          <w:rFonts w:cs="Courier New"/>
          <w:szCs w:val="16"/>
        </w:rPr>
        <w:t xml:space="preserve">          $ref: '#/components/schemas/</w:t>
      </w:r>
      <w:r>
        <w:t>MultiModalId</w:t>
      </w:r>
      <w:r>
        <w:rPr>
          <w:rFonts w:cs="Courier New"/>
          <w:szCs w:val="16"/>
        </w:rPr>
        <w:t>'</w:t>
      </w:r>
    </w:p>
    <w:p>
      <w:pPr>
        <w:pStyle w:val="111"/>
        <w:rPr>
          <w:rFonts w:cs="Courier New"/>
          <w:szCs w:val="16"/>
        </w:rPr>
      </w:pPr>
    </w:p>
    <w:p>
      <w:pPr>
        <w:pStyle w:val="111"/>
        <w:rPr>
          <w:rFonts w:cs="Courier New"/>
          <w:szCs w:val="16"/>
        </w:rPr>
      </w:pPr>
      <w:r>
        <w:rPr>
          <w:rFonts w:cs="Courier New"/>
          <w:szCs w:val="16"/>
        </w:rPr>
        <w:t xml:space="preserve">    AppSessionContextRespData:</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Describes the authorization data of an Individual Application Session Context created by</w:t>
      </w:r>
    </w:p>
    <w:p>
      <w:pPr>
        <w:pStyle w:val="111"/>
        <w:rPr>
          <w:rFonts w:cs="Courier New"/>
          <w:szCs w:val="16"/>
        </w:rPr>
      </w:pPr>
      <w:r>
        <w:rPr>
          <w:rFonts w:cs="Courier New"/>
          <w:szCs w:val="16"/>
        </w:rPr>
        <w:t xml:space="preserve">        the PCF.</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servAuthInfo:</w:t>
      </w:r>
    </w:p>
    <w:p>
      <w:pPr>
        <w:pStyle w:val="111"/>
        <w:rPr>
          <w:rFonts w:cs="Courier New"/>
          <w:szCs w:val="16"/>
        </w:rPr>
      </w:pPr>
      <w:r>
        <w:rPr>
          <w:rFonts w:cs="Courier New"/>
          <w:szCs w:val="16"/>
        </w:rPr>
        <w:t xml:space="preserve">          $ref: '#/components/schemas/ServAuthInfo'</w:t>
      </w:r>
    </w:p>
    <w:p>
      <w:pPr>
        <w:pStyle w:val="111"/>
        <w:rPr>
          <w:rFonts w:cs="Courier New"/>
          <w:szCs w:val="16"/>
        </w:rPr>
      </w:pPr>
      <w:r>
        <w:rPr>
          <w:rFonts w:cs="Courier New"/>
          <w:szCs w:val="16"/>
        </w:rPr>
        <w:t xml:space="preserve">        ueIds: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'#/components/schemas/UeIdentityInfo'</w:t>
      </w:r>
    </w:p>
    <w:p>
      <w:pPr>
        <w:pStyle w:val="111"/>
        <w:rPr>
          <w:rFonts w:cs="Courier New"/>
          <w:szCs w:val="16"/>
        </w:rPr>
      </w:pPr>
      <w:r>
        <w:rPr>
          <w:rFonts w:cs="Courier New"/>
          <w:szCs w:val="16"/>
        </w:rPr>
        <w:t xml:space="preserve">          minItems: 1</w:t>
      </w:r>
    </w:p>
    <w:p>
      <w:pPr>
        <w:pStyle w:val="111"/>
        <w:rPr>
          <w:rFonts w:cs="Courier New"/>
          <w:szCs w:val="16"/>
        </w:rPr>
      </w:pPr>
      <w:r>
        <w:rPr>
          <w:rFonts w:cs="Courier New"/>
          <w:szCs w:val="16"/>
        </w:rPr>
        <w:t xml:space="preserve">        suppFeat:</w:t>
      </w:r>
    </w:p>
    <w:p>
      <w:pPr>
        <w:pStyle w:val="111"/>
        <w:rPr>
          <w:rFonts w:cs="Courier New"/>
          <w:szCs w:val="16"/>
        </w:rPr>
      </w:pPr>
      <w:r>
        <w:rPr>
          <w:rFonts w:cs="Courier New"/>
          <w:szCs w:val="16"/>
        </w:rPr>
        <w:t xml:space="preserve">          $ref: 'TS29571_CommonData.yaml#/components/schemas/SupportedFeatures'</w:t>
      </w:r>
    </w:p>
    <w:p>
      <w:pPr>
        <w:pStyle w:val="111"/>
        <w:rPr>
          <w:rFonts w:cs="Courier New"/>
          <w:szCs w:val="16"/>
        </w:rPr>
      </w:pPr>
    </w:p>
    <w:p>
      <w:pPr>
        <w:pStyle w:val="111"/>
        <w:rPr>
          <w:rFonts w:cs="Courier New"/>
          <w:szCs w:val="16"/>
        </w:rPr>
      </w:pPr>
      <w:r>
        <w:rPr>
          <w:rFonts w:cs="Courier New"/>
          <w:szCs w:val="16"/>
        </w:rPr>
        <w:t xml:space="preserve">    AppSessionContextUpdateDataPatch:</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Identifies the modifications to an Individual Application Session Context and/or the</w:t>
      </w:r>
    </w:p>
    <w:p>
      <w:pPr>
        <w:pStyle w:val="111"/>
        <w:rPr>
          <w:rFonts w:cs="Courier New"/>
          <w:szCs w:val="16"/>
        </w:rPr>
      </w:pPr>
      <w:r>
        <w:rPr>
          <w:rFonts w:cs="Courier New"/>
          <w:szCs w:val="16"/>
        </w:rPr>
        <w:t xml:space="preserve">        modifications to the sub-resource Events Subscription.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ascReqData:</w:t>
      </w:r>
    </w:p>
    <w:p>
      <w:pPr>
        <w:pStyle w:val="111"/>
        <w:rPr>
          <w:rFonts w:cs="Courier New"/>
          <w:szCs w:val="16"/>
        </w:rPr>
      </w:pPr>
      <w:r>
        <w:rPr>
          <w:rFonts w:cs="Courier New"/>
          <w:szCs w:val="16"/>
        </w:rPr>
        <w:t xml:space="preserve">          $ref: '#/components/schemas/AppSessionContextUpdateData'</w:t>
      </w:r>
    </w:p>
    <w:p>
      <w:pPr>
        <w:pStyle w:val="111"/>
        <w:rPr>
          <w:rFonts w:cs="Courier New"/>
          <w:szCs w:val="16"/>
        </w:rPr>
      </w:pPr>
    </w:p>
    <w:p>
      <w:pPr>
        <w:pStyle w:val="111"/>
        <w:rPr>
          <w:rFonts w:cs="Courier New"/>
          <w:szCs w:val="16"/>
        </w:rPr>
      </w:pPr>
      <w:r>
        <w:rPr>
          <w:rFonts w:cs="Courier New"/>
          <w:szCs w:val="16"/>
        </w:rPr>
        <w:t xml:space="preserve">    AppSessionContextUpdateData:</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Identifies the modifications to the</w:t>
      </w:r>
      <w:r>
        <w:rPr>
          <w:rFonts w:cs="Arial"/>
          <w:szCs w:val="18"/>
        </w:rPr>
        <w:t xml:space="preserve"> </w:t>
      </w:r>
      <w:r>
        <w:t xml:space="preserve">"ascReqData" property of </w:t>
      </w:r>
      <w:r>
        <w:rPr>
          <w:rFonts w:cs="Courier New"/>
          <w:szCs w:val="16"/>
        </w:rPr>
        <w:t>an Individual Application</w:t>
      </w:r>
    </w:p>
    <w:p>
      <w:pPr>
        <w:pStyle w:val="111"/>
        <w:rPr>
          <w:rFonts w:cs="Courier New"/>
          <w:szCs w:val="16"/>
        </w:rPr>
      </w:pPr>
      <w:r>
        <w:rPr>
          <w:rFonts w:cs="Courier New"/>
          <w:szCs w:val="16"/>
        </w:rPr>
        <w:t xml:space="preserve">        Session Context which may include the modifications to the sub-resource Events Subscription.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afAppId:</w:t>
      </w:r>
    </w:p>
    <w:p>
      <w:pPr>
        <w:pStyle w:val="111"/>
        <w:rPr>
          <w:rFonts w:cs="Courier New"/>
          <w:szCs w:val="16"/>
        </w:rPr>
      </w:pPr>
      <w:r>
        <w:rPr>
          <w:rFonts w:cs="Courier New"/>
          <w:szCs w:val="16"/>
        </w:rPr>
        <w:t xml:space="preserve">          $ref: '#/components/schemas/AfAppId'</w:t>
      </w:r>
    </w:p>
    <w:p>
      <w:pPr>
        <w:pStyle w:val="111"/>
        <w:rPr>
          <w:rFonts w:cs="Courier New"/>
          <w:szCs w:val="16"/>
        </w:rPr>
      </w:pPr>
      <w:r>
        <w:rPr>
          <w:rFonts w:cs="Courier New"/>
          <w:szCs w:val="16"/>
        </w:rPr>
        <w:t xml:space="preserve">        afRoutReq:</w:t>
      </w:r>
    </w:p>
    <w:p>
      <w:pPr>
        <w:pStyle w:val="111"/>
        <w:rPr>
          <w:rFonts w:cs="Courier New"/>
          <w:szCs w:val="16"/>
        </w:rPr>
      </w:pPr>
      <w:r>
        <w:rPr>
          <w:rFonts w:cs="Courier New"/>
          <w:szCs w:val="16"/>
        </w:rPr>
        <w:t xml:space="preserve">          $ref: '#/components/schemas/AfRoutingRequirementRm'</w:t>
      </w:r>
    </w:p>
    <w:p>
      <w:pPr>
        <w:pStyle w:val="111"/>
        <w:rPr>
          <w:rFonts w:cs="Courier New"/>
          <w:szCs w:val="16"/>
        </w:rPr>
      </w:pPr>
      <w:r>
        <w:rPr>
          <w:rFonts w:cs="Courier New"/>
          <w:szCs w:val="16"/>
        </w:rPr>
        <w:t xml:space="preserve">        afSfcReq:</w:t>
      </w:r>
    </w:p>
    <w:p>
      <w:pPr>
        <w:pStyle w:val="111"/>
        <w:rPr>
          <w:rFonts w:cs="Courier New"/>
          <w:szCs w:val="16"/>
        </w:rPr>
      </w:pPr>
      <w:r>
        <w:rPr>
          <w:rFonts w:cs="Courier New"/>
          <w:szCs w:val="16"/>
        </w:rPr>
        <w:t xml:space="preserve">          $ref: '#/components/schemas/AfSfcRequirement'</w:t>
      </w:r>
    </w:p>
    <w:p>
      <w:pPr>
        <w:pStyle w:val="111"/>
        <w:rPr>
          <w:rFonts w:cs="Courier New"/>
          <w:szCs w:val="16"/>
        </w:rPr>
      </w:pPr>
      <w:r>
        <w:rPr>
          <w:rFonts w:cs="Courier New"/>
          <w:szCs w:val="16"/>
        </w:rPr>
        <w:t xml:space="preserve">        aspId:</w:t>
      </w:r>
    </w:p>
    <w:p>
      <w:pPr>
        <w:pStyle w:val="111"/>
        <w:rPr>
          <w:rFonts w:cs="Courier New"/>
          <w:szCs w:val="16"/>
        </w:rPr>
      </w:pPr>
      <w:r>
        <w:rPr>
          <w:rFonts w:cs="Courier New"/>
          <w:szCs w:val="16"/>
        </w:rPr>
        <w:t xml:space="preserve">          $ref: '#/components/schemas/AspId'</w:t>
      </w:r>
    </w:p>
    <w:p>
      <w:pPr>
        <w:pStyle w:val="111"/>
        <w:rPr>
          <w:rFonts w:cs="Courier New"/>
          <w:szCs w:val="16"/>
        </w:rPr>
      </w:pPr>
      <w:r>
        <w:rPr>
          <w:rFonts w:cs="Courier New"/>
          <w:szCs w:val="16"/>
        </w:rPr>
        <w:t xml:space="preserve">        bdtRefId:</w:t>
      </w:r>
    </w:p>
    <w:p>
      <w:pPr>
        <w:pStyle w:val="111"/>
        <w:rPr>
          <w:rFonts w:cs="Courier New"/>
          <w:szCs w:val="16"/>
        </w:rPr>
      </w:pPr>
      <w:r>
        <w:rPr>
          <w:rFonts w:cs="Courier New"/>
          <w:szCs w:val="16"/>
        </w:rPr>
        <w:t xml:space="preserve">          $ref: 'TS29122_CommonData.yaml#/components/schemas/BdtReferenceId'</w:t>
      </w:r>
    </w:p>
    <w:p>
      <w:pPr>
        <w:pStyle w:val="111"/>
        <w:rPr>
          <w:rFonts w:cs="Courier New"/>
          <w:szCs w:val="16"/>
        </w:rPr>
      </w:pPr>
      <w:r>
        <w:rPr>
          <w:rFonts w:cs="Courier New"/>
          <w:szCs w:val="16"/>
        </w:rPr>
        <w:t xml:space="preserve">        evSubsc:</w:t>
      </w:r>
    </w:p>
    <w:p>
      <w:pPr>
        <w:pStyle w:val="111"/>
        <w:rPr>
          <w:rFonts w:cs="Courier New"/>
          <w:szCs w:val="16"/>
        </w:rPr>
      </w:pPr>
      <w:r>
        <w:rPr>
          <w:rFonts w:cs="Courier New"/>
          <w:szCs w:val="16"/>
        </w:rPr>
        <w:t xml:space="preserve">          $ref: '#/components/schemas/EventsSubscReqDataRm'</w:t>
      </w:r>
    </w:p>
    <w:p>
      <w:pPr>
        <w:pStyle w:val="111"/>
        <w:rPr>
          <w:rFonts w:cs="Courier New"/>
          <w:szCs w:val="16"/>
        </w:rPr>
      </w:pPr>
      <w:r>
        <w:rPr>
          <w:rFonts w:cs="Courier New"/>
          <w:szCs w:val="16"/>
        </w:rPr>
        <w:t xml:space="preserve">        mcpttId:</w:t>
      </w:r>
    </w:p>
    <w:p>
      <w:pPr>
        <w:pStyle w:val="111"/>
        <w:rPr>
          <w:rFonts w:cs="Courier New"/>
          <w:szCs w:val="16"/>
        </w:rPr>
      </w:pPr>
      <w:r>
        <w:rPr>
          <w:rFonts w:cs="Courier New"/>
          <w:szCs w:val="16"/>
        </w:rPr>
        <w:t xml:space="preserve">          description: Indication of MCPTT service request.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mcVideoId:</w:t>
      </w:r>
    </w:p>
    <w:p>
      <w:pPr>
        <w:pStyle w:val="111"/>
        <w:rPr>
          <w:rFonts w:cs="Courier New"/>
          <w:szCs w:val="16"/>
        </w:rPr>
      </w:pPr>
      <w:r>
        <w:rPr>
          <w:rFonts w:cs="Courier New"/>
          <w:szCs w:val="16"/>
        </w:rPr>
        <w:t xml:space="preserve">          description: Indication of modification of MCVideo service.</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medComponents: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additionalProperties:</w:t>
      </w:r>
    </w:p>
    <w:p>
      <w:pPr>
        <w:pStyle w:val="111"/>
        <w:rPr>
          <w:rFonts w:cs="Courier New"/>
          <w:szCs w:val="16"/>
        </w:rPr>
      </w:pPr>
      <w:r>
        <w:rPr>
          <w:rFonts w:cs="Courier New"/>
          <w:szCs w:val="16"/>
        </w:rPr>
        <w:t xml:space="preserve">            $ref: '#/components/schemas/MediaComponentRm'</w:t>
      </w:r>
    </w:p>
    <w:p>
      <w:pPr>
        <w:pStyle w:val="111"/>
      </w:pPr>
      <w:r>
        <w:t xml:space="preserve">          minProperties: 1</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Contains </w:t>
      </w:r>
      <w:r>
        <w:rPr>
          <w:rFonts w:cs="Arial"/>
          <w:szCs w:val="18"/>
        </w:rPr>
        <w:t xml:space="preserve">media component information. The key of the map is the </w:t>
      </w:r>
      <w:r>
        <w:t xml:space="preserve">medCompN </w:t>
      </w:r>
      <w:r>
        <w:rPr>
          <w:rFonts w:cs="Arial"/>
          <w:szCs w:val="18"/>
        </w:rPr>
        <w:t>attribute</w:t>
      </w:r>
      <w:r>
        <w:t>.</w:t>
      </w:r>
    </w:p>
    <w:p>
      <w:pPr>
        <w:pStyle w:val="111"/>
        <w:rPr>
          <w:rFonts w:cs="Courier New"/>
          <w:szCs w:val="16"/>
        </w:rPr>
      </w:pPr>
      <w:r>
        <w:rPr>
          <w:rFonts w:cs="Courier New"/>
          <w:szCs w:val="16"/>
        </w:rPr>
        <w:t xml:space="preserve">        mpsAction:</w:t>
      </w:r>
    </w:p>
    <w:p>
      <w:pPr>
        <w:pStyle w:val="111"/>
        <w:rPr>
          <w:rFonts w:cs="Courier New"/>
          <w:szCs w:val="16"/>
        </w:rPr>
      </w:pPr>
      <w:r>
        <w:rPr>
          <w:rFonts w:cs="Courier New"/>
          <w:szCs w:val="16"/>
        </w:rPr>
        <w:t xml:space="preserve">          $ref: '#/components/schemas/MpsAction'</w:t>
      </w:r>
    </w:p>
    <w:p>
      <w:pPr>
        <w:pStyle w:val="111"/>
        <w:rPr>
          <w:rFonts w:cs="Courier New"/>
          <w:szCs w:val="16"/>
        </w:rPr>
      </w:pPr>
      <w:r>
        <w:rPr>
          <w:rFonts w:cs="Courier New"/>
          <w:szCs w:val="16"/>
        </w:rPr>
        <w:t xml:space="preserve">        mpsId:</w:t>
      </w:r>
    </w:p>
    <w:p>
      <w:pPr>
        <w:pStyle w:val="111"/>
        <w:rPr>
          <w:rFonts w:cs="Courier New"/>
          <w:szCs w:val="16"/>
        </w:rPr>
      </w:pPr>
      <w:r>
        <w:rPr>
          <w:rFonts w:cs="Courier New"/>
          <w:szCs w:val="16"/>
        </w:rPr>
        <w:t xml:space="preserve">          description: Indication of MPS service request.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mcsId:</w:t>
      </w:r>
    </w:p>
    <w:p>
      <w:pPr>
        <w:pStyle w:val="111"/>
        <w:rPr>
          <w:rFonts w:cs="Courier New"/>
          <w:szCs w:val="16"/>
        </w:rPr>
      </w:pPr>
      <w:r>
        <w:rPr>
          <w:rFonts w:cs="Courier New"/>
          <w:szCs w:val="16"/>
        </w:rPr>
        <w:t xml:space="preserve">          description: Indication of MCS service request.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preemptControlInfo:</w:t>
      </w:r>
    </w:p>
    <w:p>
      <w:pPr>
        <w:pStyle w:val="111"/>
        <w:rPr>
          <w:rFonts w:cs="Courier New"/>
          <w:szCs w:val="16"/>
        </w:rPr>
      </w:pPr>
      <w:r>
        <w:rPr>
          <w:rFonts w:cs="Courier New"/>
          <w:szCs w:val="16"/>
        </w:rPr>
        <w:t xml:space="preserve">          $ref: '#/components/schemas/PreemptionControlInformationRm'</w:t>
      </w:r>
    </w:p>
    <w:p>
      <w:pPr>
        <w:pStyle w:val="111"/>
        <w:rPr>
          <w:rFonts w:cs="Courier New"/>
          <w:szCs w:val="16"/>
        </w:rPr>
      </w:pPr>
      <w:r>
        <w:rPr>
          <w:rFonts w:cs="Courier New"/>
          <w:szCs w:val="16"/>
        </w:rPr>
        <w:t xml:space="preserve">        resPrio:</w:t>
      </w:r>
    </w:p>
    <w:p>
      <w:pPr>
        <w:pStyle w:val="111"/>
        <w:rPr>
          <w:rFonts w:cs="Courier New"/>
          <w:szCs w:val="16"/>
        </w:rPr>
      </w:pPr>
      <w:r>
        <w:rPr>
          <w:rFonts w:cs="Courier New"/>
          <w:szCs w:val="16"/>
        </w:rPr>
        <w:t xml:space="preserve">          $ref: '#/components/schemas/ReservPriority'</w:t>
      </w:r>
    </w:p>
    <w:p>
      <w:pPr>
        <w:pStyle w:val="111"/>
        <w:rPr>
          <w:rFonts w:cs="Courier New"/>
          <w:szCs w:val="16"/>
        </w:rPr>
      </w:pPr>
      <w:r>
        <w:rPr>
          <w:rFonts w:cs="Courier New"/>
          <w:szCs w:val="16"/>
        </w:rPr>
        <w:t xml:space="preserve">        servInfStatus:</w:t>
      </w:r>
    </w:p>
    <w:p>
      <w:pPr>
        <w:pStyle w:val="111"/>
        <w:rPr>
          <w:rFonts w:cs="Courier New"/>
          <w:szCs w:val="16"/>
        </w:rPr>
      </w:pPr>
      <w:r>
        <w:rPr>
          <w:rFonts w:cs="Courier New"/>
          <w:szCs w:val="16"/>
        </w:rPr>
        <w:t xml:space="preserve">          $ref: '#/components/schemas/ServiceInfoStatus'</w:t>
      </w:r>
    </w:p>
    <w:p>
      <w:pPr>
        <w:pStyle w:val="111"/>
        <w:rPr>
          <w:rFonts w:cs="Courier New"/>
          <w:szCs w:val="16"/>
        </w:rPr>
      </w:pPr>
      <w:r>
        <w:rPr>
          <w:rFonts w:cs="Courier New"/>
          <w:szCs w:val="16"/>
        </w:rPr>
        <w:t xml:space="preserve">        sipForkInd:</w:t>
      </w:r>
    </w:p>
    <w:p>
      <w:pPr>
        <w:pStyle w:val="111"/>
        <w:rPr>
          <w:rFonts w:cs="Courier New"/>
          <w:szCs w:val="16"/>
        </w:rPr>
      </w:pPr>
      <w:r>
        <w:rPr>
          <w:rFonts w:cs="Courier New"/>
          <w:szCs w:val="16"/>
        </w:rPr>
        <w:t xml:space="preserve">          $ref: '#/components/schemas/SipForkingIndication'</w:t>
      </w:r>
    </w:p>
    <w:p>
      <w:pPr>
        <w:pStyle w:val="111"/>
        <w:rPr>
          <w:rFonts w:cs="Courier New"/>
          <w:szCs w:val="16"/>
        </w:rPr>
      </w:pPr>
      <w:r>
        <w:rPr>
          <w:rFonts w:cs="Courier New"/>
          <w:szCs w:val="16"/>
        </w:rPr>
        <w:t xml:space="preserve">        sponId:</w:t>
      </w:r>
    </w:p>
    <w:p>
      <w:pPr>
        <w:pStyle w:val="111"/>
        <w:rPr>
          <w:rFonts w:cs="Courier New"/>
          <w:szCs w:val="16"/>
        </w:rPr>
      </w:pPr>
      <w:r>
        <w:rPr>
          <w:rFonts w:cs="Courier New"/>
          <w:szCs w:val="16"/>
        </w:rPr>
        <w:t xml:space="preserve">          $ref: '#/components/schemas/SponId'</w:t>
      </w:r>
    </w:p>
    <w:p>
      <w:pPr>
        <w:pStyle w:val="111"/>
        <w:rPr>
          <w:rFonts w:cs="Courier New"/>
          <w:szCs w:val="16"/>
        </w:rPr>
      </w:pPr>
      <w:r>
        <w:rPr>
          <w:rFonts w:cs="Courier New"/>
          <w:szCs w:val="16"/>
        </w:rPr>
        <w:t xml:space="preserve">        sponStatus:</w:t>
      </w:r>
    </w:p>
    <w:p>
      <w:pPr>
        <w:pStyle w:val="111"/>
        <w:rPr>
          <w:rFonts w:cs="Courier New"/>
          <w:szCs w:val="16"/>
        </w:rPr>
      </w:pPr>
      <w:r>
        <w:rPr>
          <w:rFonts w:cs="Courier New"/>
          <w:szCs w:val="16"/>
        </w:rPr>
        <w:t xml:space="preserve">          $ref: '#/components/schemas/SponsoringStatus'</w:t>
      </w:r>
    </w:p>
    <w:p>
      <w:pPr>
        <w:pStyle w:val="111"/>
      </w:pPr>
      <w:r>
        <w:t xml:space="preserve">        tsnBridgeManCont:</w:t>
      </w:r>
    </w:p>
    <w:p>
      <w:pPr>
        <w:pStyle w:val="111"/>
      </w:pPr>
      <w:r>
        <w:t xml:space="preserve">          $ref: </w:t>
      </w:r>
      <w:r>
        <w:rPr>
          <w:rFonts w:cs="Courier New"/>
          <w:szCs w:val="16"/>
        </w:rPr>
        <w:t>'TS29512_Npcf_SMPolicyControl.yaml</w:t>
      </w:r>
      <w:r>
        <w:t>#/components/schemas/BridgeManagementContainer'</w:t>
      </w:r>
    </w:p>
    <w:p>
      <w:pPr>
        <w:pStyle w:val="111"/>
      </w:pPr>
      <w:r>
        <w:t xml:space="preserve">        tsnPortManContDstt:</w:t>
      </w:r>
    </w:p>
    <w:p>
      <w:pPr>
        <w:pStyle w:val="111"/>
      </w:pPr>
      <w:r>
        <w:t xml:space="preserve">          $ref: </w:t>
      </w:r>
      <w:r>
        <w:rPr>
          <w:rFonts w:cs="Courier New"/>
          <w:szCs w:val="16"/>
        </w:rPr>
        <w:t>'TS29512_Npcf_SMPolicyControl.yaml</w:t>
      </w:r>
      <w:r>
        <w:t>#/components/schemas/PortManagementContainer'</w:t>
      </w:r>
    </w:p>
    <w:p>
      <w:pPr>
        <w:pStyle w:val="111"/>
      </w:pPr>
      <w:r>
        <w:t xml:space="preserve">        tsnPortManContNwtts:</w:t>
      </w:r>
    </w:p>
    <w:p>
      <w:pPr>
        <w:pStyle w:val="111"/>
      </w:pPr>
      <w:r>
        <w:t xml:space="preserve">          type: array</w:t>
      </w:r>
    </w:p>
    <w:p>
      <w:pPr>
        <w:pStyle w:val="111"/>
      </w:pPr>
      <w:r>
        <w:t xml:space="preserve">          items:</w:t>
      </w:r>
    </w:p>
    <w:p>
      <w:pPr>
        <w:pStyle w:val="111"/>
      </w:pPr>
      <w:r>
        <w:t xml:space="preserve">            $ref: </w:t>
      </w:r>
      <w:r>
        <w:rPr>
          <w:rFonts w:cs="Courier New"/>
          <w:szCs w:val="16"/>
        </w:rPr>
        <w:t>'TS29512_Npcf_SMPolicyControl.yaml</w:t>
      </w:r>
      <w:r>
        <w:t>#/components/schemas/PortManagementContainer'</w:t>
      </w:r>
    </w:p>
    <w:p>
      <w:pPr>
        <w:pStyle w:val="111"/>
      </w:pPr>
      <w:r>
        <w:t xml:space="preserve">          minItems: 1</w:t>
      </w:r>
    </w:p>
    <w:p>
      <w:pPr>
        <w:pStyle w:val="111"/>
        <w:rPr>
          <w:rFonts w:cs="Courier New"/>
          <w:szCs w:val="16"/>
        </w:rPr>
      </w:pPr>
    </w:p>
    <w:p>
      <w:pPr>
        <w:pStyle w:val="111"/>
        <w:rPr>
          <w:rFonts w:cs="Courier New"/>
          <w:szCs w:val="16"/>
        </w:rPr>
      </w:pPr>
      <w:r>
        <w:rPr>
          <w:rFonts w:cs="Courier New"/>
          <w:szCs w:val="16"/>
        </w:rPr>
        <w:t xml:space="preserve">    EventsSubscReqData:</w:t>
      </w:r>
    </w:p>
    <w:p>
      <w:pPr>
        <w:pStyle w:val="111"/>
        <w:rPr>
          <w:rFonts w:cs="Courier New"/>
          <w:szCs w:val="16"/>
        </w:rPr>
      </w:pPr>
      <w:r>
        <w:rPr>
          <w:rFonts w:cs="Courier New"/>
          <w:szCs w:val="16"/>
        </w:rPr>
        <w:t xml:space="preserve">      description: Identifies the events the application subscribes to.</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events</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events: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'#/components/schemas/AfEventSubscription'</w:t>
      </w:r>
    </w:p>
    <w:p>
      <w:pPr>
        <w:pStyle w:val="111"/>
      </w:pPr>
      <w:r>
        <w:t xml:space="preserve">          minItems: 1</w:t>
      </w:r>
    </w:p>
    <w:p>
      <w:pPr>
        <w:pStyle w:val="111"/>
        <w:rPr>
          <w:rFonts w:cs="Courier New"/>
          <w:szCs w:val="16"/>
        </w:rPr>
      </w:pPr>
      <w:r>
        <w:rPr>
          <w:rFonts w:cs="Courier New"/>
          <w:szCs w:val="16"/>
        </w:rPr>
        <w:t xml:space="preserve">        notifUri:</w:t>
      </w:r>
    </w:p>
    <w:p>
      <w:pPr>
        <w:pStyle w:val="111"/>
        <w:rPr>
          <w:rFonts w:cs="Courier New"/>
          <w:szCs w:val="16"/>
        </w:rPr>
      </w:pPr>
      <w:r>
        <w:rPr>
          <w:rFonts w:cs="Courier New"/>
          <w:szCs w:val="16"/>
        </w:rPr>
        <w:t xml:space="preserve">          $ref: 'TS29571_CommonData.yaml#/components/schemas/Uri'</w:t>
      </w:r>
    </w:p>
    <w:p>
      <w:pPr>
        <w:pStyle w:val="111"/>
        <w:rPr>
          <w:rFonts w:cs="Courier New"/>
          <w:szCs w:val="16"/>
        </w:rPr>
      </w:pPr>
      <w:r>
        <w:rPr>
          <w:rFonts w:cs="Courier New"/>
          <w:szCs w:val="16"/>
        </w:rPr>
        <w:t xml:space="preserve">        reqQosMonParams: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pPr>
        <w:pStyle w:val="111"/>
        <w:rPr>
          <w:rFonts w:cs="Courier New"/>
          <w:szCs w:val="16"/>
        </w:rPr>
      </w:pPr>
      <w:r>
        <w:t xml:space="preserve">          minItems: 1</w:t>
      </w:r>
    </w:p>
    <w:p>
      <w:pPr>
        <w:pStyle w:val="111"/>
        <w:rPr>
          <w:rFonts w:cs="Courier New"/>
          <w:szCs w:val="16"/>
        </w:rPr>
      </w:pPr>
      <w:r>
        <w:rPr>
          <w:rFonts w:cs="Courier New"/>
          <w:szCs w:val="16"/>
        </w:rPr>
        <w:t xml:space="preserve">        qosMon:</w:t>
      </w:r>
    </w:p>
    <w:p>
      <w:pPr>
        <w:pStyle w:val="111"/>
        <w:rPr>
          <w:rFonts w:cs="Courier New"/>
          <w:szCs w:val="16"/>
        </w:rPr>
      </w:pPr>
      <w:r>
        <w:rPr>
          <w:rFonts w:cs="Courier New"/>
          <w:szCs w:val="16"/>
        </w:rPr>
        <w:t xml:space="preserve">          $ref: '#/components/schemas/QosMonitoringInformation'</w:t>
      </w:r>
    </w:p>
    <w:p>
      <w:pPr>
        <w:pStyle w:val="111"/>
        <w:rPr>
          <w:rFonts w:cs="Courier New"/>
          <w:szCs w:val="16"/>
        </w:rPr>
      </w:pPr>
      <w:r>
        <w:rPr>
          <w:rFonts w:cs="Courier New"/>
          <w:szCs w:val="16"/>
        </w:rPr>
        <w:t xml:space="preserve">        reqAnis: </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'#/components/schemas/RequiredAccessInfo'</w:t>
      </w:r>
    </w:p>
    <w:p>
      <w:pPr>
        <w:pStyle w:val="111"/>
        <w:rPr>
          <w:rFonts w:cs="Courier New"/>
          <w:szCs w:val="16"/>
        </w:rPr>
      </w:pPr>
      <w:r>
        <w:t xml:space="preserve">          minItems: 1</w:t>
      </w:r>
    </w:p>
    <w:p>
      <w:pPr>
        <w:pStyle w:val="111"/>
        <w:rPr>
          <w:rFonts w:cs="Courier New"/>
          <w:szCs w:val="16"/>
        </w:rPr>
      </w:pPr>
      <w:r>
        <w:rPr>
          <w:rFonts w:cs="Courier New"/>
          <w:szCs w:val="16"/>
        </w:rPr>
        <w:t xml:space="preserve">        usgThres:</w:t>
      </w:r>
    </w:p>
    <w:p>
      <w:pPr>
        <w:pStyle w:val="111"/>
        <w:rPr>
          <w:rFonts w:cs="Courier New"/>
          <w:szCs w:val="16"/>
        </w:rPr>
      </w:pPr>
      <w:r>
        <w:rPr>
          <w:rFonts w:cs="Courier New"/>
          <w:szCs w:val="16"/>
        </w:rPr>
        <w:t xml:space="preserve">          $ref: 'TS29122_CommonData.yaml#/components/schemas/UsageThreshold'</w:t>
      </w:r>
    </w:p>
    <w:p>
      <w:pPr>
        <w:pStyle w:val="111"/>
        <w:rPr>
          <w:rFonts w:cs="Courier New"/>
          <w:szCs w:val="16"/>
        </w:rPr>
      </w:pPr>
      <w:r>
        <w:rPr>
          <w:rFonts w:cs="Courier New"/>
          <w:szCs w:val="16"/>
        </w:rPr>
        <w:t xml:space="preserve">        notifCorreId:</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afAppIds: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w:t>
      </w:r>
      <w:r>
        <w:rPr>
          <w:lang w:eastAsia="zh-CN"/>
        </w:rPr>
        <w:t>AfAppId</w:t>
      </w:r>
      <w:r>
        <w:rPr>
          <w:rFonts w:cs="Courier New"/>
          <w:szCs w:val="16"/>
        </w:rPr>
        <w:t>'</w:t>
      </w:r>
    </w:p>
    <w:p>
      <w:pPr>
        <w:pStyle w:val="111"/>
        <w:rPr>
          <w:rFonts w:cs="Courier New"/>
          <w:szCs w:val="16"/>
        </w:rPr>
      </w:pPr>
      <w:r>
        <w:t xml:space="preserve">          minItems: 1</w:t>
      </w:r>
    </w:p>
    <w:p>
      <w:pPr>
        <w:pStyle w:val="111"/>
        <w:rPr>
          <w:rFonts w:cs="Courier New"/>
          <w:szCs w:val="16"/>
        </w:rPr>
      </w:pPr>
      <w:r>
        <w:rPr>
          <w:rFonts w:cs="Courier New"/>
          <w:szCs w:val="16"/>
        </w:rPr>
        <w:t xml:space="preserve">        </w:t>
      </w:r>
      <w:r>
        <w:rPr>
          <w:lang w:eastAsia="zh-CN"/>
        </w:rPr>
        <w:t>directNotifInd</w:t>
      </w:r>
      <w:r>
        <w:rPr>
          <w:rFonts w:cs="Courier New"/>
          <w:szCs w:val="16"/>
        </w:rPr>
        <w:t>:</w:t>
      </w:r>
    </w:p>
    <w:p>
      <w:pPr>
        <w:pStyle w:val="111"/>
        <w:rPr>
          <w:rFonts w:cs="Courier New"/>
          <w:szCs w:val="16"/>
        </w:rPr>
      </w:pPr>
      <w:r>
        <w:rPr>
          <w:rFonts w:cs="Courier New"/>
          <w:szCs w:val="16"/>
        </w:rPr>
        <w:t xml:space="preserve">          type: boolean</w:t>
      </w:r>
    </w:p>
    <w:p>
      <w:pPr>
        <w:pStyle w:val="111"/>
        <w:rPr>
          <w:rFonts w:cs="Courier New"/>
          <w:szCs w:val="16"/>
        </w:rPr>
      </w:pPr>
    </w:p>
    <w:p>
      <w:pPr>
        <w:pStyle w:val="111"/>
        <w:rPr>
          <w:rFonts w:cs="Courier New"/>
          <w:szCs w:val="16"/>
        </w:rPr>
      </w:pPr>
      <w:r>
        <w:rPr>
          <w:rFonts w:cs="Courier New"/>
          <w:szCs w:val="16"/>
        </w:rPr>
        <w:t xml:space="preserve">    EventsSubscReqDataRm:</w:t>
      </w:r>
    </w:p>
    <w:p>
      <w:pPr>
        <w:pStyle w:val="111"/>
        <w:rPr>
          <w:rFonts w:cs="Courier New"/>
          <w:szCs w:val="16"/>
        </w:rPr>
      </w:pPr>
      <w:r>
        <w:rPr>
          <w:rFonts w:cs="Courier New"/>
          <w:szCs w:val="16"/>
        </w:rPr>
        <w:t xml:space="preserve">      description: &gt;</w:t>
      </w:r>
    </w:p>
    <w:p>
      <w:pPr>
        <w:pStyle w:val="111"/>
      </w:pPr>
      <w:r>
        <w:rPr>
          <w:rFonts w:cs="Courier New"/>
          <w:szCs w:val="16"/>
        </w:rPr>
        <w:t xml:space="preserve">        </w:t>
      </w:r>
      <w:r>
        <w:t>This data type is defined in the same way as the EventsSubscReqData data type, but with</w:t>
      </w:r>
    </w:p>
    <w:p>
      <w:pPr>
        <w:pStyle w:val="111"/>
        <w:rPr>
          <w:rFonts w:cs="Courier New"/>
          <w:szCs w:val="16"/>
        </w:rPr>
      </w:pPr>
      <w:r>
        <w:rPr>
          <w:rFonts w:cs="Courier New"/>
          <w:szCs w:val="16"/>
        </w:rPr>
        <w:t xml:space="preserve">        </w:t>
      </w:r>
      <w:r>
        <w:t>the OpenAPI nullable property set to true.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events</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events: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'#/components/schemas/AfEventSubscription'</w:t>
      </w:r>
    </w:p>
    <w:p>
      <w:pPr>
        <w:pStyle w:val="111"/>
        <w:rPr>
          <w:rFonts w:cs="Courier New"/>
          <w:szCs w:val="16"/>
        </w:rPr>
      </w:pPr>
      <w:r>
        <w:rPr>
          <w:rFonts w:cs="Courier New"/>
          <w:szCs w:val="16"/>
        </w:rPr>
        <w:t xml:space="preserve">        notifUri:</w:t>
      </w:r>
    </w:p>
    <w:p>
      <w:pPr>
        <w:pStyle w:val="111"/>
        <w:rPr>
          <w:rFonts w:cs="Courier New"/>
          <w:szCs w:val="16"/>
        </w:rPr>
      </w:pPr>
      <w:r>
        <w:rPr>
          <w:rFonts w:cs="Courier New"/>
          <w:szCs w:val="16"/>
        </w:rPr>
        <w:t xml:space="preserve">          $ref: 'TS29571_CommonData.yaml#/components/schemas/Uri'</w:t>
      </w:r>
    </w:p>
    <w:p>
      <w:pPr>
        <w:pStyle w:val="111"/>
        <w:rPr>
          <w:rFonts w:cs="Courier New"/>
          <w:szCs w:val="16"/>
        </w:rPr>
      </w:pPr>
      <w:r>
        <w:rPr>
          <w:rFonts w:cs="Courier New"/>
          <w:szCs w:val="16"/>
        </w:rPr>
        <w:t xml:space="preserve">        reqQosMonParams: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pPr>
        <w:pStyle w:val="111"/>
        <w:rPr>
          <w:rFonts w:cs="Courier New"/>
          <w:szCs w:val="16"/>
        </w:rPr>
      </w:pPr>
      <w:r>
        <w:t xml:space="preserve">          minItems: 1</w:t>
      </w:r>
    </w:p>
    <w:p>
      <w:pPr>
        <w:pStyle w:val="111"/>
        <w:rPr>
          <w:rFonts w:cs="Courier New"/>
          <w:szCs w:val="16"/>
        </w:rPr>
      </w:pPr>
      <w:r>
        <w:rPr>
          <w:rFonts w:cs="Courier New"/>
          <w:szCs w:val="16"/>
        </w:rPr>
        <w:t xml:space="preserve">        qosMon:</w:t>
      </w:r>
    </w:p>
    <w:p>
      <w:pPr>
        <w:pStyle w:val="111"/>
        <w:rPr>
          <w:rFonts w:cs="Courier New"/>
          <w:szCs w:val="16"/>
        </w:rPr>
      </w:pPr>
      <w:r>
        <w:rPr>
          <w:rFonts w:cs="Courier New"/>
          <w:szCs w:val="16"/>
        </w:rPr>
        <w:t xml:space="preserve">          $ref: '#/components/schemas/QosMonitoringInformationRm'</w:t>
      </w:r>
    </w:p>
    <w:p>
      <w:pPr>
        <w:pStyle w:val="111"/>
        <w:rPr>
          <w:rFonts w:cs="Courier New"/>
          <w:szCs w:val="16"/>
        </w:rPr>
      </w:pPr>
      <w:r>
        <w:rPr>
          <w:rFonts w:cs="Courier New"/>
          <w:szCs w:val="16"/>
        </w:rPr>
        <w:t xml:space="preserve">        reqAnis: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'#/components/schemas/RequiredAccessInfo'</w:t>
      </w:r>
    </w:p>
    <w:p>
      <w:pPr>
        <w:pStyle w:val="111"/>
        <w:rPr>
          <w:rFonts w:cs="Courier New"/>
          <w:szCs w:val="16"/>
        </w:rPr>
      </w:pPr>
      <w:r>
        <w:t xml:space="preserve">          minItems: 1</w:t>
      </w:r>
    </w:p>
    <w:p>
      <w:pPr>
        <w:pStyle w:val="111"/>
        <w:rPr>
          <w:rFonts w:cs="Courier New"/>
          <w:szCs w:val="16"/>
        </w:rPr>
      </w:pPr>
      <w:r>
        <w:rPr>
          <w:rFonts w:cs="Courier New"/>
          <w:szCs w:val="16"/>
        </w:rPr>
        <w:t xml:space="preserve">        usgThres:</w:t>
      </w:r>
    </w:p>
    <w:p>
      <w:pPr>
        <w:pStyle w:val="111"/>
        <w:rPr>
          <w:rFonts w:cs="Courier New"/>
          <w:szCs w:val="16"/>
        </w:rPr>
      </w:pPr>
      <w:r>
        <w:rPr>
          <w:rFonts w:cs="Courier New"/>
          <w:szCs w:val="16"/>
        </w:rPr>
        <w:t xml:space="preserve">          $ref: 'TS29122_CommonData.yaml#/components/schemas/UsageThresholdRm'</w:t>
      </w:r>
    </w:p>
    <w:p>
      <w:pPr>
        <w:pStyle w:val="111"/>
        <w:rPr>
          <w:rFonts w:cs="Courier New"/>
          <w:szCs w:val="16"/>
        </w:rPr>
      </w:pPr>
      <w:r>
        <w:rPr>
          <w:rFonts w:cs="Courier New"/>
          <w:szCs w:val="16"/>
        </w:rPr>
        <w:t xml:space="preserve">        notifCorreId:</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w:t>
      </w:r>
      <w:r>
        <w:rPr>
          <w:lang w:eastAsia="zh-CN"/>
        </w:rPr>
        <w:t>directNotifInd</w:t>
      </w:r>
      <w:r>
        <w:rPr>
          <w:rFonts w:cs="Courier New"/>
          <w:szCs w:val="16"/>
        </w:rPr>
        <w:t>:</w:t>
      </w:r>
    </w:p>
    <w:p>
      <w:pPr>
        <w:pStyle w:val="111"/>
        <w:rPr>
          <w:rFonts w:cs="Courier New"/>
          <w:szCs w:val="16"/>
        </w:rPr>
      </w:pPr>
      <w:r>
        <w:rPr>
          <w:rFonts w:cs="Courier New"/>
          <w:szCs w:val="16"/>
        </w:rPr>
        <w:t xml:space="preserve">          type: boolean</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MediaComponent:</w:t>
      </w:r>
    </w:p>
    <w:p>
      <w:pPr>
        <w:pStyle w:val="111"/>
        <w:rPr>
          <w:rFonts w:cs="Courier New"/>
          <w:szCs w:val="16"/>
          <w:lang w:val="es-ES"/>
        </w:rPr>
      </w:pPr>
      <w:r>
        <w:rPr>
          <w:rFonts w:cs="Courier New"/>
          <w:szCs w:val="16"/>
        </w:rPr>
        <w:t xml:space="preserve">      </w:t>
      </w:r>
      <w:r>
        <w:rPr>
          <w:rFonts w:cs="Courier New"/>
          <w:szCs w:val="16"/>
          <w:lang w:val="es-ES"/>
        </w:rPr>
        <w:t>description: Identifies a media component.</w:t>
      </w:r>
    </w:p>
    <w:p>
      <w:pPr>
        <w:pStyle w:val="111"/>
        <w:rPr>
          <w:rFonts w:cs="Courier New"/>
          <w:szCs w:val="16"/>
        </w:rPr>
      </w:pPr>
      <w:r>
        <w:rPr>
          <w:rFonts w:cs="Courier New"/>
          <w:szCs w:val="16"/>
          <w:lang w:val="es-ES"/>
        </w:rPr>
        <w:t xml:space="preserve">      </w:t>
      </w:r>
      <w:r>
        <w:rPr>
          <w:rFonts w:cs="Courier New"/>
          <w:szCs w:val="16"/>
        </w:rPr>
        <w:t>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medCompN</w:t>
      </w:r>
    </w:p>
    <w:p>
      <w:pPr>
        <w:pStyle w:val="111"/>
      </w:pPr>
      <w:r>
        <w:t xml:space="preserve">      allOf:</w:t>
      </w:r>
    </w:p>
    <w:p>
      <w:pPr>
        <w:pStyle w:val="111"/>
      </w:pPr>
      <w:r>
        <w:t xml:space="preserve">        - not: </w:t>
      </w:r>
    </w:p>
    <w:p>
      <w:pPr>
        <w:pStyle w:val="111"/>
      </w:pPr>
      <w:r>
        <w:t xml:space="preserve">            required: [altSerReqs,altSerReqsData]</w:t>
      </w:r>
    </w:p>
    <w:p>
      <w:pPr>
        <w:pStyle w:val="111"/>
      </w:pPr>
      <w:r>
        <w:t xml:space="preserve">        - not: </w:t>
      </w:r>
    </w:p>
    <w:p>
      <w:pPr>
        <w:pStyle w:val="111"/>
        <w:rPr>
          <w:rFonts w:cs="Courier New"/>
          <w:szCs w:val="16"/>
        </w:rPr>
      </w:pPr>
      <w:r>
        <w:t xml:space="preserve">            required: [qosReference,altSerReqsData]</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afAppId:</w:t>
      </w:r>
    </w:p>
    <w:p>
      <w:pPr>
        <w:pStyle w:val="111"/>
        <w:rPr>
          <w:rFonts w:cs="Courier New"/>
          <w:szCs w:val="16"/>
        </w:rPr>
      </w:pPr>
      <w:r>
        <w:rPr>
          <w:rFonts w:cs="Courier New"/>
          <w:szCs w:val="16"/>
        </w:rPr>
        <w:t xml:space="preserve">          $ref: '#/components/schemas/AfAppId'</w:t>
      </w:r>
    </w:p>
    <w:p>
      <w:pPr>
        <w:pStyle w:val="111"/>
        <w:rPr>
          <w:rFonts w:cs="Courier New"/>
          <w:szCs w:val="16"/>
        </w:rPr>
      </w:pPr>
      <w:r>
        <w:rPr>
          <w:rFonts w:cs="Courier New"/>
          <w:szCs w:val="16"/>
        </w:rPr>
        <w:t xml:space="preserve">        afRoutReq:</w:t>
      </w:r>
    </w:p>
    <w:p>
      <w:pPr>
        <w:pStyle w:val="111"/>
        <w:rPr>
          <w:rFonts w:cs="Courier New"/>
          <w:szCs w:val="16"/>
        </w:rPr>
      </w:pPr>
      <w:r>
        <w:rPr>
          <w:rFonts w:cs="Courier New"/>
          <w:szCs w:val="16"/>
        </w:rPr>
        <w:t xml:space="preserve">          $ref: '#/components/schemas/AfRoutingRequirement'</w:t>
      </w:r>
    </w:p>
    <w:p>
      <w:pPr>
        <w:pStyle w:val="111"/>
        <w:rPr>
          <w:rFonts w:cs="Courier New"/>
          <w:szCs w:val="16"/>
        </w:rPr>
      </w:pPr>
      <w:r>
        <w:rPr>
          <w:rFonts w:cs="Courier New"/>
          <w:szCs w:val="16"/>
        </w:rPr>
        <w:t xml:space="preserve">        afSfcReq:</w:t>
      </w:r>
    </w:p>
    <w:p>
      <w:pPr>
        <w:pStyle w:val="111"/>
        <w:rPr>
          <w:rFonts w:cs="Courier New"/>
          <w:szCs w:val="16"/>
        </w:rPr>
      </w:pPr>
      <w:r>
        <w:rPr>
          <w:rFonts w:cs="Courier New"/>
          <w:szCs w:val="16"/>
        </w:rPr>
        <w:t xml:space="preserve">          $ref: '#/components/schemas/AfSfcRequirement'</w:t>
      </w:r>
    </w:p>
    <w:p>
      <w:pPr>
        <w:pStyle w:val="111"/>
        <w:rPr>
          <w:rFonts w:cs="Courier New"/>
          <w:szCs w:val="16"/>
        </w:rPr>
      </w:pPr>
      <w:r>
        <w:rPr>
          <w:rFonts w:cs="Courier New"/>
          <w:szCs w:val="16"/>
        </w:rPr>
        <w:t xml:space="preserve">        </w:t>
      </w:r>
      <w:r>
        <w:rPr>
          <w:lang w:eastAsia="zh-CN"/>
        </w:rPr>
        <w:t>qosReference</w:t>
      </w:r>
      <w:r>
        <w:rPr>
          <w:rFonts w:cs="Courier New"/>
          <w:szCs w:val="16"/>
        </w:rPr>
        <w: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w:t>
      </w:r>
      <w:r>
        <w:rPr>
          <w:lang w:eastAsia="zh-CN"/>
        </w:rPr>
        <w:t>disUeNotif</w:t>
      </w:r>
      <w:r>
        <w:rPr>
          <w:rFonts w:cs="Courier New"/>
          <w:szCs w:val="16"/>
        </w:rPr>
        <w:t>:</w:t>
      </w:r>
    </w:p>
    <w:p>
      <w:pPr>
        <w:pStyle w:val="111"/>
        <w:rPr>
          <w:rFonts w:cs="Courier New"/>
          <w:szCs w:val="16"/>
        </w:rPr>
      </w:pPr>
      <w:r>
        <w:rPr>
          <w:rFonts w:cs="Courier New"/>
          <w:szCs w:val="16"/>
        </w:rPr>
        <w:t xml:space="preserve">          type: boolean</w:t>
      </w:r>
    </w:p>
    <w:p>
      <w:pPr>
        <w:pStyle w:val="111"/>
        <w:rPr>
          <w:rFonts w:cs="Courier New"/>
          <w:szCs w:val="16"/>
        </w:rPr>
      </w:pPr>
      <w:r>
        <w:rPr>
          <w:rFonts w:cs="Courier New"/>
          <w:szCs w:val="16"/>
        </w:rPr>
        <w:t xml:space="preserve">        </w:t>
      </w:r>
      <w:r>
        <w:rPr>
          <w:lang w:eastAsia="zh-CN"/>
        </w:rPr>
        <w:t>altSerReqs</w:t>
      </w:r>
      <w:r>
        <w:rPr>
          <w:rFonts w:cs="Courier New"/>
          <w:szCs w:val="16"/>
        </w:rPr>
        <w:t>:</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type: string</w:t>
      </w:r>
    </w:p>
    <w:p>
      <w:pPr>
        <w:pStyle w:val="111"/>
      </w:pPr>
      <w:r>
        <w:t xml:space="preserve">          minItems: 1</w:t>
      </w:r>
    </w:p>
    <w:p>
      <w:pPr>
        <w:pStyle w:val="111"/>
        <w:rPr>
          <w:rFonts w:cs="Courier New"/>
          <w:szCs w:val="16"/>
        </w:rPr>
      </w:pPr>
      <w:r>
        <w:rPr>
          <w:rFonts w:cs="Courier New"/>
          <w:szCs w:val="16"/>
        </w:rPr>
        <w:t xml:space="preserve">        </w:t>
      </w:r>
      <w:r>
        <w:rPr>
          <w:lang w:eastAsia="zh-CN"/>
        </w:rPr>
        <w:t>altSerReqsData</w:t>
      </w:r>
      <w:r>
        <w:rPr>
          <w:rFonts w:cs="Courier New"/>
          <w:szCs w:val="16"/>
        </w:rPr>
        <w:t>:</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'#/components/schemas/AlternativeServiceRequirementsData'</w:t>
      </w:r>
    </w:p>
    <w:p>
      <w:pPr>
        <w:pStyle w:val="111"/>
      </w:pPr>
      <w:r>
        <w:t xml:space="preserve">          minItems: 1</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w:t>
      </w:r>
      <w:r>
        <w:rPr>
          <w:rFonts w:cs="Arial"/>
          <w:szCs w:val="18"/>
        </w:rPr>
        <w:t xml:space="preserve">Contains </w:t>
      </w:r>
      <w:r>
        <w:rPr>
          <w:lang w:val="en-US"/>
        </w:rPr>
        <w:t>alternative service requirements that include individual QoS parameter sets</w:t>
      </w:r>
      <w:r>
        <w:t>.</w:t>
      </w:r>
    </w:p>
    <w:p>
      <w:pPr>
        <w:pStyle w:val="111"/>
        <w:rPr>
          <w:rFonts w:cs="Courier New"/>
          <w:szCs w:val="16"/>
        </w:rPr>
      </w:pPr>
      <w:r>
        <w:rPr>
          <w:rFonts w:cs="Courier New"/>
          <w:szCs w:val="16"/>
        </w:rPr>
        <w:t xml:space="preserve">        contVer:</w:t>
      </w:r>
    </w:p>
    <w:p>
      <w:pPr>
        <w:pStyle w:val="111"/>
        <w:rPr>
          <w:rFonts w:cs="Courier New"/>
          <w:szCs w:val="16"/>
        </w:rPr>
      </w:pPr>
      <w:r>
        <w:rPr>
          <w:rFonts w:cs="Courier New"/>
          <w:szCs w:val="16"/>
        </w:rPr>
        <w:t xml:space="preserve">          $ref: '#/components/schemas/ContentVersion'</w:t>
      </w:r>
    </w:p>
    <w:p>
      <w:pPr>
        <w:pStyle w:val="111"/>
        <w:rPr>
          <w:rFonts w:cs="Courier New"/>
          <w:szCs w:val="16"/>
        </w:rPr>
      </w:pPr>
      <w:r>
        <w:rPr>
          <w:rFonts w:cs="Courier New"/>
          <w:szCs w:val="16"/>
        </w:rPr>
        <w:t xml:space="preserve">        codecs: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'#/components/schemas/CodecData'</w:t>
      </w:r>
    </w:p>
    <w:p>
      <w:pPr>
        <w:pStyle w:val="111"/>
      </w:pPr>
      <w:r>
        <w:t xml:space="preserve">          minItems: 1</w:t>
      </w:r>
    </w:p>
    <w:p>
      <w:pPr>
        <w:pStyle w:val="111"/>
      </w:pPr>
      <w:r>
        <w:t xml:space="preserve">          maxItems: 2</w:t>
      </w:r>
    </w:p>
    <w:p>
      <w:pPr>
        <w:pStyle w:val="111"/>
        <w:rPr>
          <w:rFonts w:cs="Courier New"/>
          <w:szCs w:val="16"/>
        </w:rPr>
      </w:pPr>
      <w:r>
        <w:rPr>
          <w:rFonts w:cs="Courier New"/>
          <w:szCs w:val="16"/>
        </w:rPr>
        <w:t xml:space="preserve">        </w:t>
      </w:r>
      <w:r>
        <w:rPr>
          <w:lang w:eastAsia="zh-CN"/>
        </w:rPr>
        <w:t>desMaxLatency</w:t>
      </w:r>
      <w:r>
        <w:rPr>
          <w:rFonts w:cs="Courier New"/>
          <w:szCs w:val="16"/>
        </w:rPr>
        <w:t>:</w:t>
      </w:r>
    </w:p>
    <w:p>
      <w:pPr>
        <w:pStyle w:val="111"/>
        <w:rPr>
          <w:rFonts w:cs="Courier New"/>
          <w:szCs w:val="16"/>
        </w:rPr>
      </w:pPr>
      <w:r>
        <w:rPr>
          <w:rFonts w:cs="Courier New"/>
          <w:szCs w:val="16"/>
        </w:rPr>
        <w:t xml:space="preserve">          $ref: 'TS29571_CommonData.yaml#/components/schemas/Float'</w:t>
      </w:r>
    </w:p>
    <w:p>
      <w:pPr>
        <w:pStyle w:val="111"/>
        <w:rPr>
          <w:rFonts w:cs="Courier New"/>
          <w:szCs w:val="16"/>
        </w:rPr>
      </w:pPr>
      <w:r>
        <w:rPr>
          <w:rFonts w:cs="Courier New"/>
          <w:szCs w:val="16"/>
        </w:rPr>
        <w:t xml:space="preserve">        </w:t>
      </w:r>
      <w:r>
        <w:rPr>
          <w:lang w:eastAsia="zh-CN"/>
        </w:rPr>
        <w:t>desMaxLoss</w:t>
      </w:r>
      <w:r>
        <w:rPr>
          <w:rFonts w:cs="Courier New"/>
          <w:szCs w:val="16"/>
        </w:rPr>
        <w:t>:</w:t>
      </w:r>
    </w:p>
    <w:p>
      <w:pPr>
        <w:pStyle w:val="111"/>
        <w:rPr>
          <w:rFonts w:cs="Courier New"/>
          <w:szCs w:val="16"/>
        </w:rPr>
      </w:pPr>
      <w:r>
        <w:rPr>
          <w:rFonts w:cs="Courier New"/>
          <w:szCs w:val="16"/>
        </w:rPr>
        <w:t xml:space="preserve">          $ref: 'TS29571_CommonData.yaml#/components/schemas/Float'</w:t>
      </w:r>
    </w:p>
    <w:p>
      <w:pPr>
        <w:pStyle w:val="111"/>
        <w:rPr>
          <w:rFonts w:cs="Courier New"/>
          <w:szCs w:val="16"/>
        </w:rPr>
      </w:pPr>
      <w:r>
        <w:rPr>
          <w:rFonts w:cs="Courier New"/>
          <w:szCs w:val="16"/>
        </w:rPr>
        <w:t xml:space="preserve">        </w:t>
      </w:r>
      <w:r>
        <w:rPr>
          <w:lang w:eastAsia="zh-CN"/>
        </w:rPr>
        <w:t>flusId</w:t>
      </w:r>
      <w:r>
        <w:rPr>
          <w:rFonts w:cs="Courier New"/>
          <w:szCs w:val="16"/>
        </w:rPr>
        <w: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fStatus:</w:t>
      </w:r>
    </w:p>
    <w:p>
      <w:pPr>
        <w:pStyle w:val="111"/>
        <w:rPr>
          <w:rFonts w:cs="Courier New"/>
          <w:szCs w:val="16"/>
        </w:rPr>
      </w:pPr>
      <w:r>
        <w:rPr>
          <w:rFonts w:cs="Courier New"/>
          <w:szCs w:val="16"/>
        </w:rPr>
        <w:t xml:space="preserve">          $ref: '#/components/schemas/FlowStatus'</w:t>
      </w:r>
    </w:p>
    <w:p>
      <w:pPr>
        <w:pStyle w:val="111"/>
        <w:rPr>
          <w:rFonts w:cs="Courier New"/>
          <w:szCs w:val="16"/>
        </w:rPr>
      </w:pPr>
      <w:r>
        <w:rPr>
          <w:rFonts w:cs="Courier New"/>
          <w:szCs w:val="16"/>
        </w:rPr>
        <w:t xml:space="preserve">        marBwDl: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marBwUl:</w:t>
      </w:r>
    </w:p>
    <w:p>
      <w:pPr>
        <w:pStyle w:val="111"/>
        <w:rPr>
          <w:rFonts w:cs="Courier New"/>
          <w:szCs w:val="16"/>
        </w:rPr>
      </w:pPr>
      <w:r>
        <w:rPr>
          <w:rFonts w:cs="Courier New"/>
          <w:szCs w:val="16"/>
        </w:rPr>
        <w:t xml:space="preserve">          $ref: 'TS29571_CommonData.yaml#/components/schemas/BitRate'</w:t>
      </w:r>
    </w:p>
    <w:p>
      <w:pPr>
        <w:pStyle w:val="111"/>
      </w:pPr>
      <w:r>
        <w:t xml:space="preserve">        maxPacketLossRateDl:</w:t>
      </w:r>
    </w:p>
    <w:p>
      <w:pPr>
        <w:pStyle w:val="111"/>
      </w:pPr>
      <w:r>
        <w:t xml:space="preserve">          $ref: 'TS29571_CommonData.yaml#/components/schemas/PacketLossRateRm'</w:t>
      </w:r>
    </w:p>
    <w:p>
      <w:pPr>
        <w:pStyle w:val="111"/>
      </w:pPr>
      <w:r>
        <w:t xml:space="preserve">        maxPacketLossRateUl:</w:t>
      </w:r>
    </w:p>
    <w:p>
      <w:pPr>
        <w:pStyle w:val="111"/>
      </w:pPr>
      <w:r>
        <w:t xml:space="preserve">          $ref: 'TS29571_CommonData.yaml#/components/schemas/PacketLossRateRm'</w:t>
      </w:r>
    </w:p>
    <w:p>
      <w:pPr>
        <w:pStyle w:val="111"/>
        <w:rPr>
          <w:rFonts w:cs="Courier New"/>
          <w:szCs w:val="16"/>
        </w:rPr>
      </w:pPr>
      <w:r>
        <w:rPr>
          <w:rFonts w:cs="Courier New"/>
          <w:szCs w:val="16"/>
        </w:rPr>
        <w:t xml:space="preserve">        maxSuppBwDl: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maxSuppBwUl: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medCompN:</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medSubComps: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additionalProperties:</w:t>
      </w:r>
    </w:p>
    <w:p>
      <w:pPr>
        <w:pStyle w:val="111"/>
        <w:rPr>
          <w:rFonts w:cs="Courier New"/>
          <w:szCs w:val="16"/>
        </w:rPr>
      </w:pPr>
      <w:r>
        <w:rPr>
          <w:rFonts w:cs="Courier New"/>
          <w:szCs w:val="16"/>
        </w:rPr>
        <w:t xml:space="preserve">            $ref: '#/components/schemas/MediaSubComponent'</w:t>
      </w:r>
    </w:p>
    <w:p>
      <w:pPr>
        <w:pStyle w:val="111"/>
      </w:pPr>
      <w:r>
        <w:t xml:space="preserve">          minProperties: 1</w:t>
      </w:r>
    </w:p>
    <w:p>
      <w:pPr>
        <w:pStyle w:val="111"/>
        <w:rPr>
          <w:rFonts w:cs="Courier New"/>
          <w:szCs w:val="16"/>
        </w:rPr>
      </w:pPr>
      <w:r>
        <w:rPr>
          <w:rFonts w:cs="Courier New"/>
          <w:szCs w:val="16"/>
        </w:rPr>
        <w:t xml:space="preserve">          description: &gt;</w:t>
      </w:r>
    </w:p>
    <w:p>
      <w:pPr>
        <w:pStyle w:val="111"/>
        <w:rPr>
          <w:rFonts w:cs="Arial"/>
          <w:szCs w:val="18"/>
        </w:rPr>
      </w:pPr>
      <w:r>
        <w:rPr>
          <w:rFonts w:cs="Courier New"/>
          <w:szCs w:val="16"/>
        </w:rPr>
        <w:t xml:space="preserve">            </w:t>
      </w:r>
      <w:r>
        <w:rPr>
          <w:rFonts w:cs="Arial"/>
          <w:szCs w:val="18"/>
        </w:rPr>
        <w:t>Contains the requested bitrate and filters for the set of service data flows identified</w:t>
      </w:r>
    </w:p>
    <w:p>
      <w:pPr>
        <w:pStyle w:val="111"/>
        <w:rPr>
          <w:rFonts w:cs="Courier New"/>
          <w:szCs w:val="16"/>
        </w:rPr>
      </w:pPr>
      <w:r>
        <w:rPr>
          <w:rFonts w:cs="Courier New"/>
          <w:szCs w:val="16"/>
        </w:rPr>
        <w:t xml:space="preserve">            </w:t>
      </w:r>
      <w:r>
        <w:rPr>
          <w:rFonts w:cs="Arial"/>
          <w:szCs w:val="18"/>
        </w:rPr>
        <w:t xml:space="preserve">by their common flow identifier. The key of the map is the </w:t>
      </w:r>
      <w:r>
        <w:t xml:space="preserve">fNum </w:t>
      </w:r>
      <w:r>
        <w:rPr>
          <w:rFonts w:cs="Arial"/>
          <w:szCs w:val="18"/>
        </w:rPr>
        <w:t>attribute</w:t>
      </w:r>
      <w:r>
        <w:t>.</w:t>
      </w:r>
    </w:p>
    <w:p>
      <w:pPr>
        <w:pStyle w:val="111"/>
        <w:rPr>
          <w:rFonts w:cs="Courier New"/>
          <w:szCs w:val="16"/>
        </w:rPr>
      </w:pPr>
      <w:r>
        <w:rPr>
          <w:rFonts w:cs="Courier New"/>
          <w:szCs w:val="16"/>
        </w:rPr>
        <w:t xml:space="preserve">        medType:</w:t>
      </w:r>
    </w:p>
    <w:p>
      <w:pPr>
        <w:pStyle w:val="111"/>
        <w:rPr>
          <w:rFonts w:cs="Courier New"/>
          <w:szCs w:val="16"/>
        </w:rPr>
      </w:pPr>
      <w:r>
        <w:rPr>
          <w:rFonts w:cs="Courier New"/>
          <w:szCs w:val="16"/>
        </w:rPr>
        <w:t xml:space="preserve">          $ref: '#/components/schemas/MediaType'</w:t>
      </w:r>
    </w:p>
    <w:p>
      <w:pPr>
        <w:pStyle w:val="111"/>
        <w:rPr>
          <w:rFonts w:cs="Courier New"/>
          <w:szCs w:val="16"/>
        </w:rPr>
      </w:pPr>
      <w:r>
        <w:rPr>
          <w:rFonts w:cs="Courier New"/>
          <w:szCs w:val="16"/>
        </w:rPr>
        <w:t xml:space="preserve">        minDesBwDl: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minDesBwUl: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mirBwDl: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mirBwUl: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preemptCap:</w:t>
      </w:r>
    </w:p>
    <w:p>
      <w:pPr>
        <w:pStyle w:val="111"/>
        <w:rPr>
          <w:rFonts w:cs="Courier New"/>
          <w:szCs w:val="16"/>
        </w:rPr>
      </w:pPr>
      <w:r>
        <w:rPr>
          <w:rFonts w:cs="Courier New"/>
          <w:szCs w:val="16"/>
        </w:rPr>
        <w:t xml:space="preserve">          $ref: 'TS29571_CommonData.yaml#/components/schemas/PreemptionCapability'</w:t>
      </w:r>
    </w:p>
    <w:p>
      <w:pPr>
        <w:pStyle w:val="111"/>
        <w:rPr>
          <w:rFonts w:cs="Courier New"/>
          <w:szCs w:val="16"/>
        </w:rPr>
      </w:pPr>
      <w:r>
        <w:rPr>
          <w:rFonts w:cs="Courier New"/>
          <w:szCs w:val="16"/>
        </w:rPr>
        <w:t xml:space="preserve">        preemptVuln:</w:t>
      </w:r>
    </w:p>
    <w:p>
      <w:pPr>
        <w:pStyle w:val="111"/>
        <w:rPr>
          <w:rFonts w:cs="Courier New"/>
          <w:szCs w:val="16"/>
        </w:rPr>
      </w:pPr>
      <w:r>
        <w:rPr>
          <w:rFonts w:cs="Courier New"/>
          <w:szCs w:val="16"/>
        </w:rPr>
        <w:t xml:space="preserve">          $ref: 'TS29571_CommonData.yaml#/components/schemas/PreemptionVulnerability'</w:t>
      </w:r>
    </w:p>
    <w:p>
      <w:pPr>
        <w:pStyle w:val="111"/>
        <w:rPr>
          <w:rFonts w:cs="Courier New"/>
          <w:szCs w:val="16"/>
        </w:rPr>
      </w:pPr>
      <w:r>
        <w:rPr>
          <w:rFonts w:cs="Courier New"/>
          <w:szCs w:val="16"/>
        </w:rPr>
        <w:t xml:space="preserve">        prioSharingInd:</w:t>
      </w:r>
    </w:p>
    <w:p>
      <w:pPr>
        <w:pStyle w:val="111"/>
        <w:rPr>
          <w:rFonts w:cs="Courier New"/>
          <w:szCs w:val="16"/>
        </w:rPr>
      </w:pPr>
      <w:r>
        <w:rPr>
          <w:rFonts w:cs="Courier New"/>
          <w:szCs w:val="16"/>
        </w:rPr>
        <w:t xml:space="preserve">          $ref: '#/components/schemas/PrioritySharingIndicator'</w:t>
      </w:r>
    </w:p>
    <w:p>
      <w:pPr>
        <w:pStyle w:val="111"/>
        <w:rPr>
          <w:rFonts w:cs="Courier New"/>
          <w:szCs w:val="16"/>
        </w:rPr>
      </w:pPr>
      <w:r>
        <w:rPr>
          <w:rFonts w:cs="Courier New"/>
          <w:szCs w:val="16"/>
        </w:rPr>
        <w:t xml:space="preserve">        resPrio:</w:t>
      </w:r>
    </w:p>
    <w:p>
      <w:pPr>
        <w:pStyle w:val="111"/>
        <w:rPr>
          <w:rFonts w:cs="Courier New"/>
          <w:szCs w:val="16"/>
        </w:rPr>
      </w:pPr>
      <w:r>
        <w:rPr>
          <w:rFonts w:cs="Courier New"/>
          <w:szCs w:val="16"/>
        </w:rPr>
        <w:t xml:space="preserve">          $ref: '#/components/schemas/ReservPriority'</w:t>
      </w:r>
    </w:p>
    <w:p>
      <w:pPr>
        <w:pStyle w:val="111"/>
        <w:rPr>
          <w:rFonts w:cs="Courier New"/>
          <w:szCs w:val="16"/>
        </w:rPr>
      </w:pPr>
      <w:r>
        <w:rPr>
          <w:rFonts w:cs="Courier New"/>
          <w:szCs w:val="16"/>
        </w:rPr>
        <w:t xml:space="preserve">        rrBw:</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rsBw:</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sharingKeyDl:</w:t>
      </w:r>
    </w:p>
    <w:p>
      <w:pPr>
        <w:pStyle w:val="111"/>
        <w:rPr>
          <w:rFonts w:cs="Courier New"/>
          <w:szCs w:val="16"/>
        </w:rPr>
      </w:pPr>
      <w:bookmarkStart w:id="105" w:name="_Hlk14776171"/>
      <w:r>
        <w:rPr>
          <w:rFonts w:cs="Courier New"/>
          <w:szCs w:val="16"/>
        </w:rPr>
        <w:t xml:space="preserve">          $ref: 'TS29571_CommonData.yaml#/components/schemas/Uint32'</w:t>
      </w:r>
    </w:p>
    <w:bookmarkEnd w:id="105"/>
    <w:p>
      <w:pPr>
        <w:pStyle w:val="111"/>
        <w:rPr>
          <w:rFonts w:cs="Courier New"/>
          <w:szCs w:val="16"/>
        </w:rPr>
      </w:pPr>
      <w:r>
        <w:rPr>
          <w:rFonts w:cs="Courier New"/>
          <w:szCs w:val="16"/>
        </w:rPr>
        <w:t xml:space="preserve">        sharingKeyUl:</w:t>
      </w:r>
    </w:p>
    <w:p>
      <w:pPr>
        <w:pStyle w:val="111"/>
        <w:rPr>
          <w:rFonts w:cs="Courier New"/>
          <w:szCs w:val="16"/>
        </w:rPr>
      </w:pPr>
      <w:r>
        <w:rPr>
          <w:rFonts w:cs="Courier New"/>
          <w:szCs w:val="16"/>
        </w:rPr>
        <w:t xml:space="preserve">          $ref: 'TS29571_CommonData.yaml#/components/schemas/Uint32'</w:t>
      </w:r>
    </w:p>
    <w:p>
      <w:pPr>
        <w:pStyle w:val="111"/>
        <w:rPr>
          <w:rFonts w:cs="Courier New"/>
          <w:szCs w:val="16"/>
        </w:rPr>
      </w:pPr>
      <w:bookmarkStart w:id="106" w:name="OLE_LINK7"/>
      <w:r>
        <w:rPr>
          <w:rFonts w:cs="Courier New"/>
          <w:szCs w:val="16"/>
        </w:rPr>
        <w:t xml:space="preserve">        tsnQos:</w:t>
      </w:r>
    </w:p>
    <w:p>
      <w:pPr>
        <w:pStyle w:val="111"/>
        <w:rPr>
          <w:rFonts w:cs="Courier New"/>
          <w:szCs w:val="16"/>
        </w:rPr>
      </w:pPr>
      <w:r>
        <w:rPr>
          <w:rFonts w:cs="Courier New"/>
          <w:szCs w:val="16"/>
        </w:rPr>
        <w:t xml:space="preserve">          </w:t>
      </w:r>
      <w:bookmarkStart w:id="107" w:name="_Hlk33787816"/>
      <w:r>
        <w:rPr>
          <w:rFonts w:cs="Courier New"/>
          <w:szCs w:val="16"/>
        </w:rPr>
        <w:t>$ref: '#/components/schemas/TsnQosContainer'</w:t>
      </w:r>
      <w:bookmarkEnd w:id="107"/>
    </w:p>
    <w:bookmarkEnd w:id="106"/>
    <w:p>
      <w:pPr>
        <w:pStyle w:val="111"/>
        <w:rPr>
          <w:rFonts w:cs="Courier New"/>
          <w:szCs w:val="16"/>
        </w:rPr>
      </w:pPr>
      <w:r>
        <w:rPr>
          <w:rFonts w:cs="Courier New"/>
          <w:szCs w:val="16"/>
        </w:rPr>
        <w:t xml:space="preserve">        tscaiInputDl:</w:t>
      </w:r>
    </w:p>
    <w:p>
      <w:pPr>
        <w:pStyle w:val="111"/>
        <w:rPr>
          <w:rFonts w:cs="Courier New"/>
          <w:szCs w:val="16"/>
        </w:rPr>
      </w:pPr>
      <w:r>
        <w:rPr>
          <w:rFonts w:cs="Courier New"/>
          <w:szCs w:val="16"/>
        </w:rPr>
        <w:t xml:space="preserve">          $ref: '#/components/schemas/TscaiInputContainer'</w:t>
      </w:r>
    </w:p>
    <w:p>
      <w:pPr>
        <w:pStyle w:val="111"/>
        <w:rPr>
          <w:rFonts w:cs="Courier New"/>
          <w:szCs w:val="16"/>
        </w:rPr>
      </w:pPr>
      <w:r>
        <w:rPr>
          <w:rFonts w:cs="Courier New"/>
          <w:szCs w:val="16"/>
        </w:rPr>
        <w:t xml:space="preserve">        tscaiInputUl:</w:t>
      </w:r>
    </w:p>
    <w:p>
      <w:pPr>
        <w:pStyle w:val="111"/>
        <w:rPr>
          <w:rFonts w:cs="Courier New"/>
          <w:szCs w:val="16"/>
        </w:rPr>
      </w:pPr>
      <w:r>
        <w:rPr>
          <w:rFonts w:cs="Courier New"/>
          <w:szCs w:val="16"/>
        </w:rPr>
        <w:t xml:space="preserve">          $ref: '#/components/schemas/TscaiInputContainer'</w:t>
      </w:r>
    </w:p>
    <w:p>
      <w:pPr>
        <w:pStyle w:val="111"/>
        <w:rPr>
          <w:rFonts w:cs="Courier New"/>
          <w:szCs w:val="16"/>
        </w:rPr>
      </w:pPr>
      <w:r>
        <w:rPr>
          <w:rFonts w:cs="Courier New"/>
          <w:szCs w:val="16"/>
        </w:rPr>
        <w:t xml:space="preserve">        </w:t>
      </w:r>
      <w:r>
        <w:t>tscaiTimeDom</w:t>
      </w:r>
      <w:r>
        <w:rPr>
          <w:rFonts w:cs="Courier New"/>
          <w:szCs w:val="16"/>
        </w:rPr>
        <w:t>:</w:t>
      </w:r>
    </w:p>
    <w:p>
      <w:pPr>
        <w:pStyle w:val="111"/>
        <w:rPr>
          <w:ins w:id="716" w:author="CMCC" w:date="2023-04-10T01:08:57Z"/>
          <w:rFonts w:cs="Courier New"/>
          <w:szCs w:val="16"/>
        </w:rPr>
      </w:pPr>
      <w:r>
        <w:rPr>
          <w:rFonts w:cs="Courier New"/>
          <w:szCs w:val="16"/>
        </w:rPr>
        <w:t xml:space="preserve">          $ref: 'TS29571_CommonData.yaml#/components/schemas/Uinteger'</w:t>
      </w:r>
    </w:p>
    <w:p>
      <w:pPr>
        <w:pStyle w:val="111"/>
        <w:rPr>
          <w:ins w:id="717" w:author="CMCC" w:date="2023-04-10T01:08:58Z"/>
          <w:rFonts w:cs="Courier New"/>
          <w:szCs w:val="16"/>
        </w:rPr>
      </w:pPr>
      <w:ins w:id="718" w:author="CMCC" w:date="2023-04-10T01:08:58Z">
        <w:r>
          <w:rPr>
            <w:rFonts w:cs="Courier New"/>
            <w:szCs w:val="16"/>
          </w:rPr>
          <w:t xml:space="preserve">        </w:t>
        </w:r>
      </w:ins>
      <w:ins w:id="719" w:author="CMCC-r2" w:date="2023-04-20T19:34:18Z">
        <w:r>
          <w:rPr>
            <w:rFonts w:hint="eastAsia" w:eastAsia="宋体" w:cs="Courier New"/>
            <w:szCs w:val="16"/>
            <w:lang w:val="en-US" w:eastAsia="zh-CN"/>
          </w:rPr>
          <w:t>P</w:t>
        </w:r>
      </w:ins>
      <w:ins w:id="720" w:author="CMCC" w:date="2023-04-10T01:09:07Z">
        <w:del w:id="721" w:author="CMCC-r2" w:date="2023-04-20T19:34:17Z">
          <w:r>
            <w:rPr>
              <w:rFonts w:hint="eastAsia" w:eastAsia="宋体" w:cs="Courier New"/>
              <w:szCs w:val="16"/>
              <w:lang w:val="en-US" w:eastAsia="zh-CN"/>
            </w:rPr>
            <w:delText>p</w:delText>
          </w:r>
        </w:del>
      </w:ins>
      <w:ins w:id="722" w:author="CMCC" w:date="2023-04-10T01:09:07Z">
        <w:r>
          <w:rPr>
            <w:rFonts w:hint="eastAsia" w:eastAsia="宋体" w:cs="Courier New"/>
            <w:szCs w:val="16"/>
            <w:lang w:val="en-US" w:eastAsia="zh-CN"/>
          </w:rPr>
          <w:t>du</w:t>
        </w:r>
      </w:ins>
      <w:ins w:id="723" w:author="CMCC" w:date="2023-04-10T01:09:08Z">
        <w:r>
          <w:rPr>
            <w:rFonts w:hint="eastAsia" w:eastAsia="宋体" w:cs="Courier New"/>
            <w:szCs w:val="16"/>
            <w:lang w:val="en-US" w:eastAsia="zh-CN"/>
          </w:rPr>
          <w:t>Set</w:t>
        </w:r>
      </w:ins>
      <w:ins w:id="724" w:author="CMCC" w:date="2023-04-10T01:08:58Z">
        <w:r>
          <w:rPr>
            <w:rFonts w:cs="Courier New"/>
            <w:szCs w:val="16"/>
          </w:rPr>
          <w:t>Qos:</w:t>
        </w:r>
      </w:ins>
    </w:p>
    <w:p>
      <w:pPr>
        <w:pStyle w:val="111"/>
        <w:rPr>
          <w:ins w:id="725" w:author="CMCC" w:date="2023-04-10T01:08:58Z"/>
          <w:del w:id="726" w:author="CMCC2" w:date="2023-04-19T07:43:20Z"/>
          <w:rFonts w:cs="Courier New"/>
          <w:szCs w:val="16"/>
        </w:rPr>
      </w:pPr>
      <w:ins w:id="727" w:author="CMCC" w:date="2023-04-10T01:08:58Z">
        <w:r>
          <w:rPr>
            <w:rFonts w:cs="Courier New"/>
            <w:szCs w:val="16"/>
          </w:rPr>
          <w:t xml:space="preserve">          </w:t>
        </w:r>
      </w:ins>
      <w:ins w:id="728" w:author="CMCC2" w:date="2023-04-19T07:43:20Z">
        <w:r>
          <w:rPr/>
          <w:t>$ref: 'TS29571_CommonData.yaml#/components/schemas/</w:t>
        </w:r>
      </w:ins>
      <w:ins w:id="729" w:author="CMCC2" w:date="2023-04-19T07:43:20Z">
        <w:r>
          <w:rPr>
            <w:rFonts w:hint="eastAsia"/>
            <w:lang w:eastAsia="zh-CN"/>
          </w:rPr>
          <w:t>P</w:t>
        </w:r>
      </w:ins>
      <w:ins w:id="730" w:author="CMCC2" w:date="2023-04-19T07:43:20Z">
        <w:r>
          <w:rPr>
            <w:lang w:eastAsia="zh-CN"/>
          </w:rPr>
          <w:t>duSetQosPara</w:t>
        </w:r>
      </w:ins>
      <w:ins w:id="731" w:author="CMCC2" w:date="2023-04-19T07:43:20Z">
        <w:r>
          <w:rPr/>
          <w:t>'</w:t>
        </w:r>
      </w:ins>
      <w:ins w:id="732" w:author="CMCC" w:date="2023-04-10T01:08:58Z">
        <w:del w:id="733" w:author="CMCC2" w:date="2023-04-19T07:43:20Z">
          <w:r>
            <w:rPr>
              <w:rFonts w:cs="Courier New"/>
              <w:szCs w:val="16"/>
            </w:rPr>
            <w:delText>$ref: '#/components/schemas/</w:delText>
          </w:r>
        </w:del>
      </w:ins>
      <w:ins w:id="734" w:author="CMCC" w:date="2023-04-10T01:17:26Z">
        <w:del w:id="735" w:author="CMCC2" w:date="2023-04-19T07:43:20Z">
          <w:r>
            <w:rPr>
              <w:rFonts w:hint="eastAsia" w:eastAsia="宋体" w:cs="Courier New"/>
              <w:szCs w:val="16"/>
              <w:lang w:val="en-US" w:eastAsia="zh-CN"/>
            </w:rPr>
            <w:delText>PduSetQosContainer</w:delText>
          </w:r>
        </w:del>
      </w:ins>
      <w:ins w:id="736" w:author="CMCC" w:date="2023-04-10T01:08:58Z">
        <w:del w:id="737" w:author="CMCC2" w:date="2023-04-19T07:43:20Z">
          <w:r>
            <w:rPr>
              <w:rFonts w:cs="Courier New"/>
              <w:szCs w:val="16"/>
            </w:rPr>
            <w:delText>'</w:delText>
          </w:r>
        </w:del>
      </w:ins>
    </w:p>
    <w:p>
      <w:pPr>
        <w:pStyle w:val="111"/>
        <w:rPr>
          <w:rFonts w:cs="Courier New"/>
          <w:szCs w:val="16"/>
        </w:rPr>
      </w:pPr>
    </w:p>
    <w:p>
      <w:pPr>
        <w:pStyle w:val="111"/>
        <w:rPr>
          <w:rFonts w:cs="Courier New"/>
          <w:szCs w:val="16"/>
        </w:rPr>
      </w:pPr>
      <w:bookmarkStart w:id="108" w:name="_Hlk126672919"/>
      <w:r>
        <w:rPr>
          <w:rFonts w:cs="Courier New"/>
          <w:szCs w:val="16"/>
        </w:rPr>
        <w:t xml:space="preserve">        capBatAdaptation:</w:t>
      </w:r>
    </w:p>
    <w:p>
      <w:pPr>
        <w:pStyle w:val="111"/>
        <w:rPr>
          <w:rFonts w:cs="Courier New"/>
          <w:szCs w:val="16"/>
        </w:rPr>
      </w:pPr>
      <w:bookmarkStart w:id="109" w:name="_Hlk126673091"/>
      <w:r>
        <w:rPr>
          <w:rFonts w:cs="Courier New"/>
          <w:szCs w:val="16"/>
        </w:rPr>
        <w:t xml:space="preserve">          type: boolean</w:t>
      </w:r>
    </w:p>
    <w:p>
      <w:pPr>
        <w:pStyle w:val="111"/>
      </w:pPr>
      <w:r>
        <w:t xml:space="preserve">          description: </w:t>
      </w:r>
      <w:bookmarkEnd w:id="108"/>
      <w:bookmarkEnd w:id="109"/>
      <w:r>
        <w:t>&gt;</w:t>
      </w:r>
    </w:p>
    <w:p>
      <w:pPr>
        <w:pStyle w:val="111"/>
        <w:rPr>
          <w:rFonts w:cs="Arial"/>
          <w:szCs w:val="18"/>
          <w:lang w:eastAsia="zh-CN"/>
        </w:rPr>
      </w:pPr>
      <w:r>
        <w:rPr>
          <w:rFonts w:cs="Arial"/>
          <w:szCs w:val="18"/>
          <w:lang w:eastAsia="zh-CN"/>
        </w:rPr>
        <w:t xml:space="preserve">            Indicates the capability for AF to adjust the burst sending time, when it is supported</w:t>
      </w:r>
    </w:p>
    <w:p>
      <w:pPr>
        <w:pStyle w:val="111"/>
        <w:rPr>
          <w:rFonts w:cs="Courier New"/>
          <w:szCs w:val="16"/>
        </w:rPr>
      </w:pPr>
      <w:r>
        <w:rPr>
          <w:rFonts w:cs="Arial"/>
          <w:szCs w:val="18"/>
          <w:lang w:eastAsia="zh-CN"/>
        </w:rPr>
        <w:t xml:space="preserve">            and set to "true".</w:t>
      </w:r>
      <w:r>
        <w:rPr>
          <w:rFonts w:hint="eastAsia" w:cs="Arial"/>
          <w:szCs w:val="18"/>
          <w:lang w:eastAsia="zh-CN"/>
        </w:rPr>
        <w:t xml:space="preserve"> </w:t>
      </w:r>
      <w:r>
        <w:rPr>
          <w:rFonts w:cs="Arial"/>
          <w:szCs w:val="18"/>
          <w:lang w:eastAsia="zh-CN"/>
        </w:rPr>
        <w:t>The default value is "false" if omitted.</w:t>
      </w:r>
    </w:p>
    <w:p>
      <w:pPr>
        <w:pStyle w:val="111"/>
        <w:rPr>
          <w:rFonts w:cs="Courier New"/>
          <w:szCs w:val="16"/>
        </w:rPr>
      </w:pPr>
    </w:p>
    <w:p>
      <w:pPr>
        <w:pStyle w:val="111"/>
        <w:rPr>
          <w:rFonts w:cs="Courier New"/>
          <w:szCs w:val="16"/>
        </w:rPr>
      </w:pPr>
      <w:r>
        <w:rPr>
          <w:rFonts w:cs="Courier New"/>
          <w:szCs w:val="16"/>
        </w:rPr>
        <w:t xml:space="preserve">    MediaComponentRm:</w:t>
      </w:r>
    </w:p>
    <w:p>
      <w:pPr>
        <w:pStyle w:val="111"/>
        <w:rPr>
          <w:rFonts w:cs="Courier New"/>
          <w:szCs w:val="16"/>
        </w:rPr>
      </w:pPr>
      <w:r>
        <w:rPr>
          <w:rFonts w:cs="Courier New"/>
          <w:szCs w:val="16"/>
        </w:rPr>
        <w:t xml:space="preserve">      description: &gt;</w:t>
      </w:r>
    </w:p>
    <w:p>
      <w:pPr>
        <w:pStyle w:val="111"/>
      </w:pPr>
      <w:r>
        <w:rPr>
          <w:rFonts w:cs="Courier New"/>
          <w:szCs w:val="16"/>
        </w:rPr>
        <w:t xml:space="preserve">        </w:t>
      </w:r>
      <w:r>
        <w:t xml:space="preserve">This data type is defined in the same way as the MediaComponent data type, but with the </w:t>
      </w:r>
    </w:p>
    <w:p>
      <w:pPr>
        <w:pStyle w:val="111"/>
        <w:rPr>
          <w:rFonts w:cs="Courier New"/>
          <w:szCs w:val="16"/>
        </w:rPr>
      </w:pPr>
      <w:r>
        <w:rPr>
          <w:rFonts w:cs="Courier New"/>
          <w:szCs w:val="16"/>
        </w:rPr>
        <w:t xml:space="preserve">        </w:t>
      </w:r>
      <w:r>
        <w:t>OpenAPI nullable property set to true.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medCompN</w:t>
      </w:r>
    </w:p>
    <w:p>
      <w:pPr>
        <w:pStyle w:val="111"/>
      </w:pPr>
      <w:r>
        <w:t xml:space="preserve">      not: </w:t>
      </w:r>
    </w:p>
    <w:p>
      <w:pPr>
        <w:pStyle w:val="111"/>
        <w:rPr>
          <w:rFonts w:cs="Courier New"/>
          <w:szCs w:val="16"/>
        </w:rPr>
      </w:pPr>
      <w:r>
        <w:t xml:space="preserve">        required: [altSerReqs,altSerReqsData]</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afAppId:</w:t>
      </w:r>
    </w:p>
    <w:p>
      <w:pPr>
        <w:pStyle w:val="111"/>
        <w:rPr>
          <w:rFonts w:cs="Courier New"/>
          <w:szCs w:val="16"/>
        </w:rPr>
      </w:pPr>
      <w:r>
        <w:rPr>
          <w:rFonts w:cs="Courier New"/>
          <w:szCs w:val="16"/>
        </w:rPr>
        <w:t xml:space="preserve">          $ref: '#/components/schemas/AfAppId'</w:t>
      </w:r>
    </w:p>
    <w:p>
      <w:pPr>
        <w:pStyle w:val="111"/>
        <w:rPr>
          <w:rFonts w:cs="Courier New"/>
          <w:szCs w:val="16"/>
        </w:rPr>
      </w:pPr>
      <w:r>
        <w:rPr>
          <w:rFonts w:cs="Courier New"/>
          <w:szCs w:val="16"/>
        </w:rPr>
        <w:t xml:space="preserve">        afRoutReq:</w:t>
      </w:r>
    </w:p>
    <w:p>
      <w:pPr>
        <w:pStyle w:val="111"/>
        <w:rPr>
          <w:rFonts w:cs="Courier New"/>
          <w:szCs w:val="16"/>
        </w:rPr>
      </w:pPr>
      <w:r>
        <w:rPr>
          <w:rFonts w:cs="Courier New"/>
          <w:szCs w:val="16"/>
        </w:rPr>
        <w:t xml:space="preserve">          $ref: '#/components/schemas/AfRoutingRequirementRm'</w:t>
      </w:r>
    </w:p>
    <w:p>
      <w:pPr>
        <w:pStyle w:val="111"/>
        <w:rPr>
          <w:rFonts w:cs="Courier New"/>
          <w:szCs w:val="16"/>
        </w:rPr>
      </w:pPr>
      <w:r>
        <w:rPr>
          <w:rFonts w:cs="Courier New"/>
          <w:szCs w:val="16"/>
        </w:rPr>
        <w:t xml:space="preserve">        afSfcReq:</w:t>
      </w:r>
    </w:p>
    <w:p>
      <w:pPr>
        <w:pStyle w:val="111"/>
        <w:rPr>
          <w:rFonts w:cs="Courier New"/>
          <w:szCs w:val="16"/>
        </w:rPr>
      </w:pPr>
      <w:r>
        <w:rPr>
          <w:rFonts w:cs="Courier New"/>
          <w:szCs w:val="16"/>
        </w:rPr>
        <w:t xml:space="preserve">          $ref: '#/components/schemas/AfSfcRequirement'</w:t>
      </w:r>
    </w:p>
    <w:p>
      <w:pPr>
        <w:pStyle w:val="111"/>
        <w:rPr>
          <w:rFonts w:cs="Courier New"/>
          <w:szCs w:val="16"/>
        </w:rPr>
      </w:pPr>
      <w:r>
        <w:rPr>
          <w:rFonts w:cs="Courier New"/>
          <w:szCs w:val="16"/>
        </w:rPr>
        <w:t xml:space="preserve">        </w:t>
      </w:r>
      <w:r>
        <w:rPr>
          <w:lang w:eastAsia="zh-CN"/>
        </w:rPr>
        <w:t>qosReference</w:t>
      </w:r>
      <w:r>
        <w:rPr>
          <w:rFonts w:cs="Courier New"/>
          <w:szCs w:val="16"/>
        </w:rPr>
        <w: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w:t>
      </w:r>
      <w:r>
        <w:rPr>
          <w:lang w:eastAsia="zh-CN"/>
        </w:rPr>
        <w:t>altSerReqs</w:t>
      </w:r>
      <w:r>
        <w:rPr>
          <w:rFonts w:cs="Courier New"/>
          <w:szCs w:val="16"/>
        </w:rPr>
        <w:t>:</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type: string</w:t>
      </w:r>
    </w:p>
    <w:p>
      <w:pPr>
        <w:pStyle w:val="111"/>
        <w:rPr>
          <w:rFonts w:cs="Courier New"/>
          <w:szCs w:val="16"/>
        </w:rPr>
      </w:pPr>
      <w:r>
        <w:t xml:space="preserve">          minItems: 1</w:t>
      </w:r>
    </w:p>
    <w:p>
      <w:pPr>
        <w:pStyle w:val="111"/>
      </w:pPr>
      <w:r>
        <w:rPr>
          <w:rFonts w:cs="Courier New"/>
          <w:szCs w:val="16"/>
        </w:rPr>
        <w:t xml:space="preserve">          nullable: true</w:t>
      </w:r>
    </w:p>
    <w:p>
      <w:pPr>
        <w:pStyle w:val="111"/>
        <w:rPr>
          <w:rFonts w:cs="Courier New"/>
          <w:szCs w:val="16"/>
        </w:rPr>
      </w:pPr>
      <w:r>
        <w:rPr>
          <w:rFonts w:cs="Courier New"/>
          <w:szCs w:val="16"/>
        </w:rPr>
        <w:t xml:space="preserve">        </w:t>
      </w:r>
      <w:r>
        <w:rPr>
          <w:lang w:eastAsia="zh-CN"/>
        </w:rPr>
        <w:t>altSerReqsData</w:t>
      </w:r>
      <w:r>
        <w:rPr>
          <w:rFonts w:cs="Courier New"/>
          <w:szCs w:val="16"/>
        </w:rPr>
        <w:t>:</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'#/components/schemas/AlternativeServiceRequirementsData'</w:t>
      </w:r>
    </w:p>
    <w:p>
      <w:pPr>
        <w:pStyle w:val="111"/>
      </w:pPr>
      <w:r>
        <w:t xml:space="preserve">          minItems: 1</w:t>
      </w:r>
    </w:p>
    <w:p>
      <w:pPr>
        <w:pStyle w:val="111"/>
        <w:rPr>
          <w:rFonts w:cs="Courier New"/>
          <w:szCs w:val="16"/>
        </w:rPr>
      </w:pPr>
      <w:r>
        <w:rPr>
          <w:rFonts w:cs="Courier New"/>
          <w:szCs w:val="16"/>
        </w:rPr>
        <w:t xml:space="preserve">          description: &gt;</w:t>
      </w:r>
    </w:p>
    <w:p>
      <w:pPr>
        <w:pStyle w:val="111"/>
        <w:rPr>
          <w:lang w:val="en-US"/>
        </w:rPr>
      </w:pPr>
      <w:r>
        <w:rPr>
          <w:rFonts w:cs="Courier New"/>
          <w:szCs w:val="16"/>
        </w:rPr>
        <w:t xml:space="preserve">            </w:t>
      </w:r>
      <w:r>
        <w:rPr>
          <w:rFonts w:cs="Arial"/>
          <w:szCs w:val="18"/>
        </w:rPr>
        <w:t xml:space="preserve">Contains removable </w:t>
      </w:r>
      <w:r>
        <w:rPr>
          <w:lang w:val="en-US"/>
        </w:rPr>
        <w:t>alternative service requirements that include individual QoS</w:t>
      </w:r>
    </w:p>
    <w:p>
      <w:pPr>
        <w:pStyle w:val="111"/>
      </w:pPr>
      <w:r>
        <w:rPr>
          <w:rFonts w:cs="Courier New"/>
          <w:szCs w:val="16"/>
        </w:rPr>
        <w:t xml:space="preserve">            </w:t>
      </w:r>
      <w:r>
        <w:rPr>
          <w:lang w:val="en-US"/>
        </w:rPr>
        <w:t>parameter sets</w:t>
      </w:r>
      <w:r>
        <w:t>.</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disUeNotif:</w:t>
      </w:r>
    </w:p>
    <w:p>
      <w:pPr>
        <w:pStyle w:val="111"/>
        <w:rPr>
          <w:rFonts w:cs="Courier New"/>
          <w:szCs w:val="16"/>
        </w:rPr>
      </w:pPr>
      <w:r>
        <w:rPr>
          <w:rFonts w:cs="Courier New"/>
          <w:szCs w:val="16"/>
        </w:rPr>
        <w:t xml:space="preserve">          type: boolean</w:t>
      </w:r>
    </w:p>
    <w:p>
      <w:pPr>
        <w:pStyle w:val="111"/>
        <w:rPr>
          <w:rFonts w:cs="Courier New"/>
          <w:szCs w:val="16"/>
        </w:rPr>
      </w:pPr>
      <w:r>
        <w:rPr>
          <w:rFonts w:cs="Courier New"/>
          <w:szCs w:val="16"/>
        </w:rPr>
        <w:t xml:space="preserve">        contVer:</w:t>
      </w:r>
    </w:p>
    <w:p>
      <w:pPr>
        <w:pStyle w:val="111"/>
        <w:rPr>
          <w:rFonts w:cs="Courier New"/>
          <w:szCs w:val="16"/>
        </w:rPr>
      </w:pPr>
      <w:r>
        <w:rPr>
          <w:rFonts w:cs="Courier New"/>
          <w:szCs w:val="16"/>
        </w:rPr>
        <w:t xml:space="preserve">          $ref: '#/components/schemas/ContentVersion'</w:t>
      </w:r>
    </w:p>
    <w:p>
      <w:pPr>
        <w:pStyle w:val="111"/>
        <w:rPr>
          <w:rFonts w:cs="Courier New"/>
          <w:szCs w:val="16"/>
        </w:rPr>
      </w:pPr>
      <w:r>
        <w:rPr>
          <w:rFonts w:cs="Courier New"/>
          <w:szCs w:val="16"/>
        </w:rPr>
        <w:t xml:space="preserve">        codecs: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'#/components/schemas/CodecData'</w:t>
      </w:r>
    </w:p>
    <w:p>
      <w:pPr>
        <w:pStyle w:val="111"/>
        <w:rPr>
          <w:rFonts w:cs="Courier New"/>
          <w:szCs w:val="16"/>
        </w:rPr>
      </w:pPr>
      <w:r>
        <w:rPr>
          <w:rFonts w:cs="Courier New"/>
          <w:szCs w:val="16"/>
        </w:rPr>
        <w:t xml:space="preserve">          minItems: 1</w:t>
      </w:r>
    </w:p>
    <w:p>
      <w:pPr>
        <w:pStyle w:val="111"/>
        <w:rPr>
          <w:rFonts w:cs="Courier New"/>
          <w:szCs w:val="16"/>
        </w:rPr>
      </w:pPr>
      <w:r>
        <w:rPr>
          <w:rFonts w:cs="Courier New"/>
          <w:szCs w:val="16"/>
        </w:rPr>
        <w:t xml:space="preserve">          maxItems: 2</w:t>
      </w:r>
    </w:p>
    <w:p>
      <w:pPr>
        <w:pStyle w:val="111"/>
        <w:rPr>
          <w:rFonts w:cs="Courier New"/>
          <w:szCs w:val="16"/>
        </w:rPr>
      </w:pPr>
      <w:r>
        <w:rPr>
          <w:rFonts w:cs="Courier New"/>
          <w:szCs w:val="16"/>
        </w:rPr>
        <w:t xml:space="preserve">        </w:t>
      </w:r>
      <w:r>
        <w:rPr>
          <w:lang w:eastAsia="zh-CN"/>
        </w:rPr>
        <w:t>desMaxLatency</w:t>
      </w:r>
      <w:r>
        <w:rPr>
          <w:rFonts w:cs="Courier New"/>
          <w:szCs w:val="16"/>
        </w:rPr>
        <w:t>:</w:t>
      </w:r>
    </w:p>
    <w:p>
      <w:pPr>
        <w:pStyle w:val="111"/>
        <w:rPr>
          <w:rFonts w:cs="Courier New"/>
          <w:szCs w:val="16"/>
        </w:rPr>
      </w:pPr>
      <w:r>
        <w:rPr>
          <w:rFonts w:cs="Courier New"/>
          <w:szCs w:val="16"/>
        </w:rPr>
        <w:t xml:space="preserve">          $ref: 'TS29571_CommonData.yaml#/components/schemas/FloatRm'</w:t>
      </w:r>
    </w:p>
    <w:p>
      <w:pPr>
        <w:pStyle w:val="111"/>
        <w:rPr>
          <w:rFonts w:cs="Courier New"/>
          <w:szCs w:val="16"/>
        </w:rPr>
      </w:pPr>
      <w:r>
        <w:rPr>
          <w:rFonts w:cs="Courier New"/>
          <w:szCs w:val="16"/>
        </w:rPr>
        <w:t xml:space="preserve">        </w:t>
      </w:r>
      <w:r>
        <w:rPr>
          <w:lang w:eastAsia="zh-CN"/>
        </w:rPr>
        <w:t>desMaxLoss</w:t>
      </w:r>
      <w:r>
        <w:rPr>
          <w:rFonts w:cs="Courier New"/>
          <w:szCs w:val="16"/>
        </w:rPr>
        <w:t>:</w:t>
      </w:r>
    </w:p>
    <w:p>
      <w:pPr>
        <w:pStyle w:val="111"/>
        <w:rPr>
          <w:rFonts w:cs="Courier New"/>
          <w:szCs w:val="16"/>
        </w:rPr>
      </w:pPr>
      <w:r>
        <w:rPr>
          <w:rFonts w:cs="Courier New"/>
          <w:szCs w:val="16"/>
        </w:rPr>
        <w:t xml:space="preserve">          $ref: 'TS29571_CommonData.yaml#/components/schemas/FloatRm'</w:t>
      </w:r>
    </w:p>
    <w:p>
      <w:pPr>
        <w:pStyle w:val="111"/>
        <w:rPr>
          <w:rFonts w:cs="Courier New"/>
          <w:szCs w:val="16"/>
        </w:rPr>
      </w:pPr>
      <w:r>
        <w:rPr>
          <w:rFonts w:cs="Courier New"/>
          <w:szCs w:val="16"/>
        </w:rPr>
        <w:t xml:space="preserve">        </w:t>
      </w:r>
      <w:r>
        <w:rPr>
          <w:lang w:eastAsia="zh-CN"/>
        </w:rPr>
        <w:t>flusId</w:t>
      </w:r>
      <w:r>
        <w:rPr>
          <w:rFonts w:cs="Courier New"/>
          <w:szCs w:val="16"/>
        </w:rPr>
        <w: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fStatus:</w:t>
      </w:r>
    </w:p>
    <w:p>
      <w:pPr>
        <w:pStyle w:val="111"/>
        <w:rPr>
          <w:rFonts w:cs="Courier New"/>
          <w:szCs w:val="16"/>
        </w:rPr>
      </w:pPr>
      <w:r>
        <w:rPr>
          <w:rFonts w:cs="Courier New"/>
          <w:szCs w:val="16"/>
        </w:rPr>
        <w:t xml:space="preserve">          $ref: '#/components/schemas/FlowStatus'</w:t>
      </w:r>
    </w:p>
    <w:p>
      <w:pPr>
        <w:pStyle w:val="111"/>
        <w:rPr>
          <w:rFonts w:cs="Courier New"/>
          <w:szCs w:val="16"/>
        </w:rPr>
      </w:pPr>
      <w:r>
        <w:rPr>
          <w:rFonts w:cs="Courier New"/>
          <w:szCs w:val="16"/>
        </w:rPr>
        <w:t xml:space="preserve">        marBwDl: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marBwUl:</w:t>
      </w:r>
    </w:p>
    <w:p>
      <w:pPr>
        <w:pStyle w:val="111"/>
        <w:rPr>
          <w:rFonts w:cs="Courier New"/>
          <w:szCs w:val="16"/>
        </w:rPr>
      </w:pPr>
      <w:r>
        <w:rPr>
          <w:rFonts w:cs="Courier New"/>
          <w:szCs w:val="16"/>
        </w:rPr>
        <w:t xml:space="preserve">          $ref: 'TS29571_CommonData.yaml#/components/schemas/BitRateRm'</w:t>
      </w:r>
    </w:p>
    <w:p>
      <w:pPr>
        <w:pStyle w:val="111"/>
      </w:pPr>
      <w:r>
        <w:t xml:space="preserve">        maxPacketLossRateDl:</w:t>
      </w:r>
    </w:p>
    <w:p>
      <w:pPr>
        <w:pStyle w:val="111"/>
      </w:pPr>
      <w:r>
        <w:t xml:space="preserve">          $ref: 'TS29571_CommonData.yaml#/components/schemas/PacketLossRateRm'</w:t>
      </w:r>
    </w:p>
    <w:p>
      <w:pPr>
        <w:pStyle w:val="111"/>
      </w:pPr>
      <w:r>
        <w:t xml:space="preserve">        maxPacketLossRateUl:</w:t>
      </w:r>
    </w:p>
    <w:p>
      <w:pPr>
        <w:pStyle w:val="111"/>
      </w:pPr>
      <w:r>
        <w:t xml:space="preserve">          $ref: 'TS29571_CommonData.yaml#/components/schemas/PacketLossRateRm'</w:t>
      </w:r>
    </w:p>
    <w:p>
      <w:pPr>
        <w:pStyle w:val="111"/>
        <w:rPr>
          <w:rFonts w:cs="Courier New"/>
          <w:szCs w:val="16"/>
        </w:rPr>
      </w:pPr>
      <w:r>
        <w:rPr>
          <w:rFonts w:cs="Courier New"/>
          <w:szCs w:val="16"/>
        </w:rPr>
        <w:t xml:space="preserve">        maxSuppBwDl: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maxSuppBwUl: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medCompN:</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medSubComps: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additionalProperties:</w:t>
      </w:r>
    </w:p>
    <w:p>
      <w:pPr>
        <w:pStyle w:val="111"/>
        <w:rPr>
          <w:rFonts w:cs="Courier New"/>
          <w:szCs w:val="16"/>
        </w:rPr>
      </w:pPr>
      <w:r>
        <w:rPr>
          <w:rFonts w:cs="Courier New"/>
          <w:szCs w:val="16"/>
        </w:rPr>
        <w:t xml:space="preserve">            $ref: '#/components/schemas/MediaSubComponentRm'</w:t>
      </w:r>
    </w:p>
    <w:p>
      <w:pPr>
        <w:pStyle w:val="111"/>
        <w:rPr>
          <w:rFonts w:cs="Courier New"/>
          <w:szCs w:val="16"/>
        </w:rPr>
      </w:pPr>
      <w:r>
        <w:rPr>
          <w:rFonts w:cs="Courier New"/>
          <w:szCs w:val="16"/>
        </w:rPr>
        <w:t xml:space="preserve">          minProperties: 1</w:t>
      </w:r>
    </w:p>
    <w:p>
      <w:pPr>
        <w:pStyle w:val="111"/>
        <w:rPr>
          <w:rFonts w:cs="Courier New"/>
          <w:szCs w:val="16"/>
        </w:rPr>
      </w:pPr>
      <w:r>
        <w:rPr>
          <w:rFonts w:cs="Courier New"/>
          <w:szCs w:val="16"/>
        </w:rPr>
        <w:t xml:space="preserve">          description: &gt;</w:t>
      </w:r>
    </w:p>
    <w:p>
      <w:pPr>
        <w:pStyle w:val="111"/>
        <w:rPr>
          <w:rFonts w:cs="Arial"/>
          <w:szCs w:val="18"/>
        </w:rPr>
      </w:pPr>
      <w:r>
        <w:rPr>
          <w:rFonts w:cs="Courier New"/>
          <w:szCs w:val="16"/>
        </w:rPr>
        <w:t xml:space="preserve">            </w:t>
      </w:r>
      <w:r>
        <w:rPr>
          <w:rFonts w:cs="Arial"/>
          <w:szCs w:val="18"/>
        </w:rPr>
        <w:t>Contains the requested bitrate and filters for the set of service data flows identified</w:t>
      </w:r>
    </w:p>
    <w:p>
      <w:pPr>
        <w:pStyle w:val="111"/>
        <w:rPr>
          <w:rFonts w:cs="Courier New"/>
          <w:szCs w:val="16"/>
        </w:rPr>
      </w:pPr>
      <w:r>
        <w:rPr>
          <w:rFonts w:cs="Courier New"/>
          <w:szCs w:val="16"/>
        </w:rPr>
        <w:t xml:space="preserve">            </w:t>
      </w:r>
      <w:r>
        <w:rPr>
          <w:rFonts w:cs="Arial"/>
          <w:szCs w:val="18"/>
        </w:rPr>
        <w:t xml:space="preserve">by their common flow identifier. The key of the map is the </w:t>
      </w:r>
      <w:r>
        <w:t xml:space="preserve">fNum </w:t>
      </w:r>
      <w:r>
        <w:rPr>
          <w:rFonts w:cs="Arial"/>
          <w:szCs w:val="18"/>
        </w:rPr>
        <w:t>attribute</w:t>
      </w:r>
      <w:r>
        <w:t>.</w:t>
      </w:r>
    </w:p>
    <w:p>
      <w:pPr>
        <w:pStyle w:val="111"/>
        <w:rPr>
          <w:rFonts w:cs="Courier New"/>
          <w:szCs w:val="16"/>
        </w:rPr>
      </w:pPr>
      <w:r>
        <w:rPr>
          <w:rFonts w:cs="Courier New"/>
          <w:szCs w:val="16"/>
        </w:rPr>
        <w:t xml:space="preserve">        medType:</w:t>
      </w:r>
    </w:p>
    <w:p>
      <w:pPr>
        <w:pStyle w:val="111"/>
        <w:rPr>
          <w:rFonts w:cs="Courier New"/>
          <w:szCs w:val="16"/>
        </w:rPr>
      </w:pPr>
      <w:r>
        <w:rPr>
          <w:rFonts w:cs="Courier New"/>
          <w:szCs w:val="16"/>
        </w:rPr>
        <w:t xml:space="preserve">          $ref: '#/components/schemas/MediaType'</w:t>
      </w:r>
    </w:p>
    <w:p>
      <w:pPr>
        <w:pStyle w:val="111"/>
        <w:rPr>
          <w:rFonts w:cs="Courier New"/>
          <w:szCs w:val="16"/>
        </w:rPr>
      </w:pPr>
      <w:r>
        <w:rPr>
          <w:rFonts w:cs="Courier New"/>
          <w:szCs w:val="16"/>
        </w:rPr>
        <w:t xml:space="preserve">        minDesBwDl: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minDesBwUl: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mirBwDl: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mirBwUl: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preemptCap:</w:t>
      </w:r>
    </w:p>
    <w:p>
      <w:pPr>
        <w:pStyle w:val="111"/>
        <w:rPr>
          <w:rFonts w:cs="Courier New"/>
          <w:szCs w:val="16"/>
        </w:rPr>
      </w:pPr>
      <w:r>
        <w:rPr>
          <w:rFonts w:cs="Courier New"/>
          <w:szCs w:val="16"/>
        </w:rPr>
        <w:t xml:space="preserve">          $ref: 'TS29571_CommonData.yaml#/components/schemas/PreemptionCapabilityRm'</w:t>
      </w:r>
    </w:p>
    <w:p>
      <w:pPr>
        <w:pStyle w:val="111"/>
        <w:rPr>
          <w:rFonts w:cs="Courier New"/>
          <w:szCs w:val="16"/>
        </w:rPr>
      </w:pPr>
      <w:r>
        <w:rPr>
          <w:rFonts w:cs="Courier New"/>
          <w:szCs w:val="16"/>
        </w:rPr>
        <w:t xml:space="preserve">        preemptVuln:</w:t>
      </w:r>
    </w:p>
    <w:p>
      <w:pPr>
        <w:pStyle w:val="111"/>
        <w:rPr>
          <w:rFonts w:cs="Courier New"/>
          <w:szCs w:val="16"/>
        </w:rPr>
      </w:pPr>
      <w:r>
        <w:rPr>
          <w:rFonts w:cs="Courier New"/>
          <w:szCs w:val="16"/>
        </w:rPr>
        <w:t xml:space="preserve">          $ref: 'TS29571_CommonData.yaml#/components/schemas/PreemptionVulnerabilityRm'</w:t>
      </w:r>
    </w:p>
    <w:p>
      <w:pPr>
        <w:pStyle w:val="111"/>
        <w:rPr>
          <w:rFonts w:cs="Courier New"/>
          <w:szCs w:val="16"/>
        </w:rPr>
      </w:pPr>
      <w:r>
        <w:rPr>
          <w:rFonts w:cs="Courier New"/>
          <w:szCs w:val="16"/>
        </w:rPr>
        <w:t xml:space="preserve">        prioSharingInd:</w:t>
      </w:r>
    </w:p>
    <w:p>
      <w:pPr>
        <w:pStyle w:val="111"/>
        <w:rPr>
          <w:rFonts w:cs="Courier New"/>
          <w:szCs w:val="16"/>
        </w:rPr>
      </w:pPr>
      <w:r>
        <w:rPr>
          <w:rFonts w:cs="Courier New"/>
          <w:szCs w:val="16"/>
        </w:rPr>
        <w:t xml:space="preserve">          $ref: '#/components/schemas/PrioritySharingIndicator'</w:t>
      </w:r>
    </w:p>
    <w:p>
      <w:pPr>
        <w:pStyle w:val="111"/>
        <w:rPr>
          <w:rFonts w:cs="Courier New"/>
          <w:szCs w:val="16"/>
        </w:rPr>
      </w:pPr>
      <w:r>
        <w:rPr>
          <w:rFonts w:cs="Courier New"/>
          <w:szCs w:val="16"/>
        </w:rPr>
        <w:t xml:space="preserve">        resPrio:</w:t>
      </w:r>
    </w:p>
    <w:p>
      <w:pPr>
        <w:pStyle w:val="111"/>
        <w:rPr>
          <w:rFonts w:cs="Courier New"/>
          <w:szCs w:val="16"/>
        </w:rPr>
      </w:pPr>
      <w:r>
        <w:rPr>
          <w:rFonts w:cs="Courier New"/>
          <w:szCs w:val="16"/>
        </w:rPr>
        <w:t xml:space="preserve">          $ref: '#/components/schemas/ReservPriority'</w:t>
      </w:r>
    </w:p>
    <w:p>
      <w:pPr>
        <w:pStyle w:val="111"/>
        <w:rPr>
          <w:rFonts w:cs="Courier New"/>
          <w:szCs w:val="16"/>
        </w:rPr>
      </w:pPr>
      <w:r>
        <w:rPr>
          <w:rFonts w:cs="Courier New"/>
          <w:szCs w:val="16"/>
        </w:rPr>
        <w:t xml:space="preserve">        rrBw:</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rsBw:</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sharingKeyDl:</w:t>
      </w:r>
    </w:p>
    <w:p>
      <w:pPr>
        <w:pStyle w:val="111"/>
        <w:rPr>
          <w:rFonts w:cs="Courier New"/>
          <w:szCs w:val="16"/>
        </w:rPr>
      </w:pPr>
      <w:r>
        <w:rPr>
          <w:rFonts w:cs="Courier New"/>
          <w:szCs w:val="16"/>
        </w:rPr>
        <w:t xml:space="preserve">          $ref: 'TS29571_CommonData.yaml#/components/schemas/Uint32Rm'</w:t>
      </w:r>
    </w:p>
    <w:p>
      <w:pPr>
        <w:pStyle w:val="111"/>
        <w:rPr>
          <w:rFonts w:cs="Courier New"/>
          <w:szCs w:val="16"/>
        </w:rPr>
      </w:pPr>
      <w:r>
        <w:rPr>
          <w:rFonts w:cs="Courier New"/>
          <w:szCs w:val="16"/>
        </w:rPr>
        <w:t xml:space="preserve">        sharingKeyUl:</w:t>
      </w:r>
    </w:p>
    <w:p>
      <w:pPr>
        <w:pStyle w:val="111"/>
        <w:rPr>
          <w:rFonts w:cs="Courier New"/>
          <w:szCs w:val="16"/>
        </w:rPr>
      </w:pPr>
      <w:r>
        <w:rPr>
          <w:rFonts w:cs="Courier New"/>
          <w:szCs w:val="16"/>
        </w:rPr>
        <w:t xml:space="preserve">          $ref: 'TS29571_CommonData.yaml#/components/schemas/Uint32Rm'</w:t>
      </w:r>
    </w:p>
    <w:p>
      <w:pPr>
        <w:pStyle w:val="111"/>
        <w:rPr>
          <w:rFonts w:cs="Courier New"/>
          <w:szCs w:val="16"/>
        </w:rPr>
      </w:pPr>
      <w:r>
        <w:rPr>
          <w:rFonts w:cs="Courier New"/>
          <w:szCs w:val="16"/>
        </w:rPr>
        <w:t xml:space="preserve">        tsnQos:</w:t>
      </w:r>
    </w:p>
    <w:p>
      <w:pPr>
        <w:pStyle w:val="111"/>
        <w:rPr>
          <w:rFonts w:cs="Courier New"/>
          <w:szCs w:val="16"/>
        </w:rPr>
      </w:pPr>
      <w:r>
        <w:rPr>
          <w:rFonts w:cs="Courier New"/>
          <w:szCs w:val="16"/>
        </w:rPr>
        <w:t xml:space="preserve">          $ref: '#/components/schemas/TsnQosContainerRm'</w:t>
      </w:r>
    </w:p>
    <w:p>
      <w:pPr>
        <w:pStyle w:val="111"/>
        <w:rPr>
          <w:rFonts w:cs="Courier New"/>
          <w:szCs w:val="16"/>
        </w:rPr>
      </w:pPr>
      <w:r>
        <w:rPr>
          <w:rFonts w:cs="Courier New"/>
          <w:szCs w:val="16"/>
        </w:rPr>
        <w:t xml:space="preserve">        tscaiInputDl:</w:t>
      </w:r>
    </w:p>
    <w:p>
      <w:pPr>
        <w:pStyle w:val="111"/>
        <w:rPr>
          <w:rFonts w:cs="Courier New"/>
          <w:szCs w:val="16"/>
        </w:rPr>
      </w:pPr>
      <w:r>
        <w:rPr>
          <w:rFonts w:cs="Courier New"/>
          <w:szCs w:val="16"/>
        </w:rPr>
        <w:t xml:space="preserve">          $ref: '#/components/schemas/TscaiInputContainer'</w:t>
      </w:r>
    </w:p>
    <w:p>
      <w:pPr>
        <w:pStyle w:val="111"/>
        <w:rPr>
          <w:rFonts w:cs="Courier New"/>
          <w:szCs w:val="16"/>
        </w:rPr>
      </w:pPr>
      <w:r>
        <w:rPr>
          <w:rFonts w:cs="Courier New"/>
          <w:szCs w:val="16"/>
        </w:rPr>
        <w:t xml:space="preserve">        tscaiInputUl:</w:t>
      </w:r>
    </w:p>
    <w:p>
      <w:pPr>
        <w:pStyle w:val="111"/>
        <w:rPr>
          <w:rFonts w:cs="Courier New"/>
          <w:szCs w:val="16"/>
        </w:rPr>
      </w:pPr>
      <w:r>
        <w:rPr>
          <w:rFonts w:cs="Courier New"/>
          <w:szCs w:val="16"/>
        </w:rPr>
        <w:t xml:space="preserve">          $ref: '#/components/schemas/TscaiInputContainer'</w:t>
      </w:r>
    </w:p>
    <w:p>
      <w:pPr>
        <w:pStyle w:val="111"/>
        <w:rPr>
          <w:rFonts w:cs="Courier New"/>
          <w:szCs w:val="16"/>
        </w:rPr>
      </w:pPr>
      <w:r>
        <w:rPr>
          <w:rFonts w:cs="Courier New"/>
          <w:szCs w:val="16"/>
        </w:rPr>
        <w:t xml:space="preserve">        </w:t>
      </w:r>
      <w:r>
        <w:t>tscaiTimeDom</w:t>
      </w:r>
      <w:r>
        <w:rPr>
          <w:rFonts w:cs="Courier New"/>
          <w:szCs w:val="16"/>
        </w:rPr>
        <w:t>:</w:t>
      </w:r>
    </w:p>
    <w:p>
      <w:pPr>
        <w:pStyle w:val="111"/>
        <w:rPr>
          <w:ins w:id="738" w:author="CMCC" w:date="2023-04-10T01:09:40Z"/>
          <w:rFonts w:cs="Courier New"/>
          <w:szCs w:val="16"/>
        </w:rPr>
      </w:pPr>
      <w:r>
        <w:rPr>
          <w:rFonts w:cs="Courier New"/>
          <w:szCs w:val="16"/>
        </w:rPr>
        <w:t xml:space="preserve">          $ref: 'TS29571_CommonData.yaml#/components/schemas/Uinteger'</w:t>
      </w:r>
    </w:p>
    <w:p>
      <w:pPr>
        <w:pStyle w:val="111"/>
        <w:rPr>
          <w:ins w:id="739" w:author="CMCC" w:date="2023-04-10T01:09:40Z"/>
          <w:rFonts w:cs="Courier New"/>
          <w:szCs w:val="16"/>
        </w:rPr>
      </w:pPr>
      <w:ins w:id="740" w:author="CMCC" w:date="2023-04-10T01:09:40Z">
        <w:r>
          <w:rPr>
            <w:rFonts w:cs="Courier New"/>
            <w:szCs w:val="16"/>
          </w:rPr>
          <w:t xml:space="preserve">        </w:t>
        </w:r>
      </w:ins>
      <w:ins w:id="741" w:author="CMCC-r2" w:date="2023-04-20T19:33:50Z">
        <w:r>
          <w:rPr>
            <w:rFonts w:hint="eastAsia" w:eastAsia="宋体" w:cs="Courier New"/>
            <w:szCs w:val="16"/>
            <w:lang w:val="en-US" w:eastAsia="zh-CN"/>
          </w:rPr>
          <w:t>P</w:t>
        </w:r>
      </w:ins>
      <w:ins w:id="742" w:author="CMCC" w:date="2023-04-10T01:09:40Z">
        <w:del w:id="743" w:author="CMCC-r2" w:date="2023-04-20T19:33:49Z">
          <w:r>
            <w:rPr>
              <w:rFonts w:hint="eastAsia" w:eastAsia="宋体" w:cs="Courier New"/>
              <w:szCs w:val="16"/>
              <w:lang w:val="en-US" w:eastAsia="zh-CN"/>
            </w:rPr>
            <w:delText>p</w:delText>
          </w:r>
        </w:del>
      </w:ins>
      <w:ins w:id="744" w:author="CMCC" w:date="2023-04-10T01:09:40Z">
        <w:r>
          <w:rPr>
            <w:rFonts w:hint="eastAsia" w:eastAsia="宋体" w:cs="Courier New"/>
            <w:szCs w:val="16"/>
            <w:lang w:val="en-US" w:eastAsia="zh-CN"/>
          </w:rPr>
          <w:t>duSet</w:t>
        </w:r>
      </w:ins>
      <w:ins w:id="745" w:author="CMCC" w:date="2023-04-10T01:09:40Z">
        <w:r>
          <w:rPr>
            <w:rFonts w:cs="Courier New"/>
            <w:szCs w:val="16"/>
          </w:rPr>
          <w:t>Qos:</w:t>
        </w:r>
      </w:ins>
    </w:p>
    <w:p>
      <w:pPr>
        <w:pStyle w:val="111"/>
        <w:rPr>
          <w:rFonts w:cs="Courier New"/>
          <w:szCs w:val="16"/>
        </w:rPr>
      </w:pPr>
      <w:ins w:id="746" w:author="CMCC" w:date="2023-04-10T01:09:40Z">
        <w:r>
          <w:rPr>
            <w:rFonts w:cs="Courier New"/>
            <w:szCs w:val="16"/>
          </w:rPr>
          <w:t xml:space="preserve">          </w:t>
        </w:r>
      </w:ins>
      <w:ins w:id="747" w:author="CMCC2" w:date="2023-04-19T07:43:31Z">
        <w:r>
          <w:rPr/>
          <w:t>$ref: 'TS29571_CommonData.yaml#/components/schemas/</w:t>
        </w:r>
      </w:ins>
      <w:ins w:id="748" w:author="CMCC2" w:date="2023-04-19T07:43:31Z">
        <w:r>
          <w:rPr>
            <w:rFonts w:hint="eastAsia"/>
            <w:lang w:eastAsia="zh-CN"/>
          </w:rPr>
          <w:t>P</w:t>
        </w:r>
      </w:ins>
      <w:ins w:id="749" w:author="CMCC2" w:date="2023-04-19T07:43:31Z">
        <w:r>
          <w:rPr>
            <w:lang w:eastAsia="zh-CN"/>
          </w:rPr>
          <w:t>duSetQosParaRm</w:t>
        </w:r>
      </w:ins>
      <w:ins w:id="750" w:author="CMCC2" w:date="2023-04-19T07:43:31Z">
        <w:r>
          <w:rPr/>
          <w:t>'</w:t>
        </w:r>
      </w:ins>
      <w:ins w:id="751" w:author="CMCC" w:date="2023-04-10T01:09:40Z">
        <w:del w:id="752" w:author="CMCC2" w:date="2023-04-19T07:43:31Z">
          <w:r>
            <w:rPr>
              <w:rFonts w:cs="Courier New"/>
              <w:szCs w:val="16"/>
            </w:rPr>
            <w:delText>$ref: '#/components/schemas/</w:delText>
          </w:r>
        </w:del>
      </w:ins>
      <w:ins w:id="753" w:author="CMCC" w:date="2023-04-10T01:17:45Z">
        <w:del w:id="754" w:author="CMCC2" w:date="2023-04-19T07:43:31Z">
          <w:r>
            <w:rPr>
              <w:rFonts w:hint="eastAsia" w:eastAsia="宋体" w:cs="Courier New"/>
              <w:szCs w:val="16"/>
              <w:lang w:val="en-US" w:eastAsia="zh-CN"/>
            </w:rPr>
            <w:delText>PduSetQosContainerRm</w:delText>
          </w:r>
        </w:del>
      </w:ins>
      <w:ins w:id="755" w:author="CMCC" w:date="2023-04-10T01:09:40Z">
        <w:del w:id="756" w:author="CMCC2" w:date="2023-04-19T07:43:31Z">
          <w:r>
            <w:rPr>
              <w:rFonts w:cs="Courier New"/>
              <w:szCs w:val="16"/>
            </w:rPr>
            <w:delText>'</w:delText>
          </w:r>
        </w:del>
      </w:ins>
    </w:p>
    <w:p>
      <w:pPr>
        <w:pStyle w:val="111"/>
        <w:rPr>
          <w:rFonts w:cs="Courier New"/>
          <w:szCs w:val="16"/>
        </w:rPr>
      </w:pPr>
      <w:r>
        <w:rPr>
          <w:rFonts w:cs="Courier New"/>
          <w:szCs w:val="16"/>
        </w:rPr>
        <w:t xml:space="preserve">        capBatAdaptation:</w:t>
      </w:r>
    </w:p>
    <w:p>
      <w:pPr>
        <w:pStyle w:val="111"/>
        <w:rPr>
          <w:rFonts w:cs="Courier New"/>
          <w:szCs w:val="16"/>
        </w:rPr>
      </w:pPr>
      <w:r>
        <w:rPr>
          <w:rFonts w:cs="Courier New"/>
          <w:szCs w:val="16"/>
        </w:rPr>
        <w:t xml:space="preserve">          type: boolean</w:t>
      </w:r>
    </w:p>
    <w:p>
      <w:pPr>
        <w:pStyle w:val="111"/>
      </w:pPr>
      <w:r>
        <w:t xml:space="preserve">          description: &gt;</w:t>
      </w:r>
    </w:p>
    <w:p>
      <w:pPr>
        <w:pStyle w:val="111"/>
        <w:rPr>
          <w:rFonts w:cs="Arial"/>
          <w:szCs w:val="18"/>
          <w:lang w:eastAsia="zh-CN"/>
        </w:rPr>
      </w:pPr>
      <w:r>
        <w:rPr>
          <w:rFonts w:cs="Arial"/>
          <w:szCs w:val="18"/>
          <w:lang w:eastAsia="zh-CN"/>
        </w:rPr>
        <w:t xml:space="preserve">            Indicates the capability for AF to adjust the burst sending time, when it is supported</w:t>
      </w:r>
    </w:p>
    <w:p>
      <w:pPr>
        <w:pStyle w:val="111"/>
        <w:rPr>
          <w:rFonts w:cs="Courier New"/>
          <w:szCs w:val="16"/>
        </w:rPr>
      </w:pPr>
      <w:r>
        <w:rPr>
          <w:rFonts w:cs="Arial"/>
          <w:szCs w:val="18"/>
          <w:lang w:eastAsia="zh-CN"/>
        </w:rPr>
        <w:t xml:space="preserve">            and set to "true".</w:t>
      </w:r>
      <w:r>
        <w:rPr>
          <w:rFonts w:hint="eastAsia" w:cs="Arial"/>
          <w:szCs w:val="18"/>
          <w:lang w:eastAsia="zh-CN"/>
        </w:rPr>
        <w:t xml:space="preserve"> </w:t>
      </w:r>
      <w:r>
        <w:rPr>
          <w:rFonts w:cs="Arial"/>
          <w:szCs w:val="18"/>
          <w:lang w:eastAsia="zh-CN"/>
        </w:rPr>
        <w:t>The default value is "false" if omitted.</w:t>
      </w:r>
    </w:p>
    <w:p>
      <w:pPr>
        <w:pStyle w:val="111"/>
        <w:rPr>
          <w:rFonts w:cs="Courier New"/>
          <w:szCs w:val="16"/>
        </w:rPr>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MediaSubComponent:</w:t>
      </w:r>
    </w:p>
    <w:p>
      <w:pPr>
        <w:pStyle w:val="111"/>
        <w:rPr>
          <w:rFonts w:cs="Courier New"/>
          <w:szCs w:val="16"/>
        </w:rPr>
      </w:pPr>
      <w:r>
        <w:rPr>
          <w:rFonts w:cs="Courier New"/>
          <w:szCs w:val="16"/>
        </w:rPr>
        <w:t xml:space="preserve">      description: Identifies a media subcomponent.</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fNum</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afSigProtocol:</w:t>
      </w:r>
    </w:p>
    <w:p>
      <w:pPr>
        <w:pStyle w:val="111"/>
        <w:rPr>
          <w:rFonts w:cs="Courier New"/>
          <w:szCs w:val="16"/>
        </w:rPr>
      </w:pPr>
      <w:r>
        <w:rPr>
          <w:rFonts w:cs="Courier New"/>
          <w:szCs w:val="16"/>
        </w:rPr>
        <w:t xml:space="preserve">          $ref: 'TS29512_Npcf_SMPolicyControl.yaml#/components/schemas/AfSigProtocol'</w:t>
      </w:r>
    </w:p>
    <w:p>
      <w:pPr>
        <w:pStyle w:val="111"/>
        <w:rPr>
          <w:rFonts w:cs="Courier New"/>
          <w:szCs w:val="16"/>
        </w:rPr>
      </w:pPr>
      <w:r>
        <w:rPr>
          <w:rFonts w:cs="Courier New"/>
          <w:szCs w:val="16"/>
        </w:rPr>
        <w:t xml:space="preserve">        ethfDescs: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'#/components/schemas/EthFlowDescription'</w:t>
      </w:r>
    </w:p>
    <w:p>
      <w:pPr>
        <w:pStyle w:val="111"/>
      </w:pPr>
      <w:r>
        <w:t xml:space="preserve">          minItems: 1</w:t>
      </w:r>
    </w:p>
    <w:p>
      <w:pPr>
        <w:pStyle w:val="111"/>
      </w:pPr>
      <w:r>
        <w:t xml:space="preserve">          maxItems: 2</w:t>
      </w:r>
    </w:p>
    <w:p>
      <w:pPr>
        <w:pStyle w:val="111"/>
        <w:rPr>
          <w:rFonts w:cs="Courier New"/>
          <w:szCs w:val="16"/>
        </w:rPr>
      </w:pPr>
      <w:r>
        <w:rPr>
          <w:rFonts w:cs="Courier New"/>
          <w:szCs w:val="16"/>
        </w:rPr>
        <w:t xml:space="preserve">        fNum:</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fDescs: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'#/components/schemas/FlowDescription'</w:t>
      </w:r>
    </w:p>
    <w:p>
      <w:pPr>
        <w:pStyle w:val="111"/>
      </w:pPr>
      <w:r>
        <w:t xml:space="preserve">          minItems: 1</w:t>
      </w:r>
    </w:p>
    <w:p>
      <w:pPr>
        <w:pStyle w:val="111"/>
      </w:pPr>
      <w:r>
        <w:t xml:space="preserve">          maxItems: 2</w:t>
      </w:r>
    </w:p>
    <w:p>
      <w:pPr>
        <w:pStyle w:val="111"/>
        <w:rPr>
          <w:rFonts w:cs="Courier New"/>
          <w:szCs w:val="16"/>
        </w:rPr>
      </w:pPr>
      <w:r>
        <w:rPr>
          <w:rFonts w:cs="Courier New"/>
          <w:szCs w:val="16"/>
        </w:rPr>
        <w:t xml:space="preserve">        fStatus:</w:t>
      </w:r>
    </w:p>
    <w:p>
      <w:pPr>
        <w:pStyle w:val="111"/>
        <w:rPr>
          <w:rFonts w:cs="Courier New"/>
          <w:szCs w:val="16"/>
        </w:rPr>
      </w:pPr>
      <w:r>
        <w:rPr>
          <w:rFonts w:cs="Courier New"/>
          <w:szCs w:val="16"/>
        </w:rPr>
        <w:t xml:space="preserve">          $ref: '#/components/schemas/FlowStatus'</w:t>
      </w:r>
    </w:p>
    <w:p>
      <w:pPr>
        <w:pStyle w:val="111"/>
        <w:rPr>
          <w:rFonts w:cs="Courier New"/>
          <w:szCs w:val="16"/>
        </w:rPr>
      </w:pPr>
      <w:r>
        <w:rPr>
          <w:rFonts w:cs="Courier New"/>
          <w:szCs w:val="16"/>
        </w:rPr>
        <w:t xml:space="preserve">        marBwDl: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marBwUl: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tosTrCl:</w:t>
      </w:r>
    </w:p>
    <w:p>
      <w:pPr>
        <w:pStyle w:val="111"/>
        <w:rPr>
          <w:rFonts w:cs="Courier New"/>
          <w:szCs w:val="16"/>
        </w:rPr>
      </w:pPr>
      <w:r>
        <w:rPr>
          <w:rFonts w:cs="Courier New"/>
          <w:szCs w:val="16"/>
        </w:rPr>
        <w:t xml:space="preserve">          $ref: '#/components/schemas/TosTrafficClass'</w:t>
      </w:r>
    </w:p>
    <w:p>
      <w:pPr>
        <w:pStyle w:val="111"/>
        <w:rPr>
          <w:rFonts w:cs="Courier New"/>
          <w:szCs w:val="16"/>
        </w:rPr>
      </w:pPr>
      <w:r>
        <w:rPr>
          <w:rFonts w:cs="Courier New"/>
          <w:szCs w:val="16"/>
        </w:rPr>
        <w:t xml:space="preserve">        flowUsage:</w:t>
      </w:r>
    </w:p>
    <w:p>
      <w:pPr>
        <w:pStyle w:val="111"/>
        <w:rPr>
          <w:rFonts w:cs="Courier New"/>
          <w:szCs w:val="16"/>
        </w:rPr>
      </w:pPr>
      <w:r>
        <w:rPr>
          <w:rFonts w:cs="Courier New"/>
          <w:szCs w:val="16"/>
        </w:rPr>
        <w:t xml:space="preserve">          $ref: '#/components/schemas/FlowUsage'</w:t>
      </w:r>
    </w:p>
    <w:p>
      <w:pPr>
        <w:pStyle w:val="111"/>
        <w:rPr>
          <w:rFonts w:cs="Courier New"/>
          <w:szCs w:val="16"/>
        </w:rPr>
      </w:pPr>
    </w:p>
    <w:p>
      <w:pPr>
        <w:pStyle w:val="111"/>
        <w:rPr>
          <w:rFonts w:cs="Courier New"/>
          <w:szCs w:val="16"/>
        </w:rPr>
      </w:pPr>
      <w:r>
        <w:rPr>
          <w:rFonts w:cs="Courier New"/>
          <w:szCs w:val="16"/>
        </w:rPr>
        <w:t xml:space="preserve">    MediaSubComponentRm:</w:t>
      </w:r>
    </w:p>
    <w:p>
      <w:pPr>
        <w:pStyle w:val="111"/>
        <w:rPr>
          <w:rFonts w:cs="Courier New"/>
          <w:szCs w:val="16"/>
        </w:rPr>
      </w:pPr>
      <w:r>
        <w:rPr>
          <w:rFonts w:cs="Courier New"/>
          <w:szCs w:val="16"/>
        </w:rPr>
        <w:t xml:space="preserve">      description: &gt;</w:t>
      </w:r>
    </w:p>
    <w:p>
      <w:pPr>
        <w:pStyle w:val="111"/>
      </w:pPr>
      <w:r>
        <w:rPr>
          <w:rFonts w:cs="Courier New"/>
          <w:szCs w:val="16"/>
        </w:rPr>
        <w:t xml:space="preserve">        </w:t>
      </w:r>
      <w:r>
        <w:t>This data type is defined in the same way as the MediaSubComponent data type, but with the</w:t>
      </w:r>
    </w:p>
    <w:p>
      <w:pPr>
        <w:pStyle w:val="111"/>
      </w:pPr>
      <w:r>
        <w:t xml:space="preserve">        OpenAPI nullable property set to true. Removable attributes marBwDl and marBwUl are defined</w:t>
      </w:r>
    </w:p>
    <w:p>
      <w:pPr>
        <w:pStyle w:val="111"/>
        <w:rPr>
          <w:rFonts w:cs="Courier New"/>
          <w:szCs w:val="16"/>
        </w:rPr>
      </w:pPr>
      <w:r>
        <w:t xml:space="preserve">        with the corresponding removable data type.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fNum</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afSigProtocol:</w:t>
      </w:r>
    </w:p>
    <w:p>
      <w:pPr>
        <w:pStyle w:val="111"/>
        <w:rPr>
          <w:rFonts w:cs="Courier New"/>
          <w:szCs w:val="16"/>
        </w:rPr>
      </w:pPr>
      <w:r>
        <w:rPr>
          <w:rFonts w:cs="Courier New"/>
          <w:szCs w:val="16"/>
        </w:rPr>
        <w:t xml:space="preserve">          $ref: 'TS29512_Npcf_SMPolicyControl.yaml#/components/schemas/AfSigProtocol'</w:t>
      </w:r>
    </w:p>
    <w:p>
      <w:pPr>
        <w:pStyle w:val="111"/>
        <w:rPr>
          <w:rFonts w:cs="Courier New"/>
          <w:szCs w:val="16"/>
        </w:rPr>
      </w:pPr>
      <w:r>
        <w:rPr>
          <w:rFonts w:cs="Courier New"/>
          <w:szCs w:val="16"/>
        </w:rPr>
        <w:t xml:space="preserve">        ethfDescs: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'#/components/schemas/EthFlowDescription'</w:t>
      </w:r>
    </w:p>
    <w:p>
      <w:pPr>
        <w:pStyle w:val="111"/>
      </w:pPr>
      <w:r>
        <w:t xml:space="preserve">          minItems: 1</w:t>
      </w:r>
    </w:p>
    <w:p>
      <w:pPr>
        <w:pStyle w:val="111"/>
      </w:pPr>
      <w:r>
        <w:t xml:space="preserve">          maxItems: 2</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fNum:</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fDescs: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'#/components/schemas/FlowDescription'</w:t>
      </w:r>
    </w:p>
    <w:p>
      <w:pPr>
        <w:pStyle w:val="111"/>
      </w:pPr>
      <w:r>
        <w:t xml:space="preserve">          minItems: 1</w:t>
      </w:r>
    </w:p>
    <w:p>
      <w:pPr>
        <w:pStyle w:val="111"/>
      </w:pPr>
      <w:r>
        <w:t xml:space="preserve">          maxItems: 2</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fStatus:</w:t>
      </w:r>
    </w:p>
    <w:p>
      <w:pPr>
        <w:pStyle w:val="111"/>
        <w:rPr>
          <w:rFonts w:cs="Courier New"/>
          <w:szCs w:val="16"/>
        </w:rPr>
      </w:pPr>
      <w:r>
        <w:rPr>
          <w:rFonts w:cs="Courier New"/>
          <w:szCs w:val="16"/>
        </w:rPr>
        <w:t xml:space="preserve">          $ref: '#/components/schemas/FlowStatus'</w:t>
      </w:r>
    </w:p>
    <w:p>
      <w:pPr>
        <w:pStyle w:val="111"/>
        <w:rPr>
          <w:rFonts w:cs="Courier New"/>
          <w:szCs w:val="16"/>
        </w:rPr>
      </w:pPr>
      <w:r>
        <w:rPr>
          <w:rFonts w:cs="Courier New"/>
          <w:szCs w:val="16"/>
        </w:rPr>
        <w:t xml:space="preserve">        marBwDl: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marBwUl: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tosTrCl:</w:t>
      </w:r>
    </w:p>
    <w:p>
      <w:pPr>
        <w:pStyle w:val="111"/>
        <w:rPr>
          <w:rFonts w:cs="Courier New"/>
          <w:szCs w:val="16"/>
        </w:rPr>
      </w:pPr>
      <w:r>
        <w:rPr>
          <w:rFonts w:cs="Courier New"/>
          <w:szCs w:val="16"/>
        </w:rPr>
        <w:t xml:space="preserve">          $ref: '#/components/schemas/TosTrafficClassRm'</w:t>
      </w:r>
    </w:p>
    <w:p>
      <w:pPr>
        <w:pStyle w:val="111"/>
        <w:rPr>
          <w:rFonts w:cs="Courier New"/>
          <w:szCs w:val="16"/>
        </w:rPr>
      </w:pPr>
      <w:r>
        <w:rPr>
          <w:rFonts w:cs="Courier New"/>
          <w:szCs w:val="16"/>
        </w:rPr>
        <w:t xml:space="preserve">        flowUsage:</w:t>
      </w:r>
    </w:p>
    <w:p>
      <w:pPr>
        <w:pStyle w:val="111"/>
        <w:rPr>
          <w:rFonts w:cs="Courier New"/>
          <w:szCs w:val="16"/>
        </w:rPr>
      </w:pPr>
      <w:r>
        <w:rPr>
          <w:rFonts w:cs="Courier New"/>
          <w:szCs w:val="16"/>
        </w:rPr>
        <w:t xml:space="preserve">          $ref: '#/components/schemas/FlowUsage'</w:t>
      </w:r>
    </w:p>
    <w:p>
      <w:pPr>
        <w:pStyle w:val="111"/>
        <w:rPr>
          <w:rFonts w:cs="Courier New"/>
          <w:szCs w:val="16"/>
        </w:rPr>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EventsNotification:</w:t>
      </w:r>
    </w:p>
    <w:p>
      <w:pPr>
        <w:pStyle w:val="111"/>
        <w:rPr>
          <w:rFonts w:cs="Courier New"/>
          <w:szCs w:val="16"/>
        </w:rPr>
      </w:pPr>
      <w:r>
        <w:rPr>
          <w:rFonts w:cs="Courier New"/>
          <w:szCs w:val="16"/>
        </w:rPr>
        <w:t xml:space="preserve">      description: Describes the notification of a matched event.</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evSubsUri</w:t>
      </w:r>
    </w:p>
    <w:p>
      <w:pPr>
        <w:pStyle w:val="111"/>
        <w:rPr>
          <w:rFonts w:cs="Courier New"/>
          <w:szCs w:val="16"/>
        </w:rPr>
      </w:pPr>
      <w:r>
        <w:rPr>
          <w:rFonts w:cs="Courier New"/>
          <w:szCs w:val="16"/>
        </w:rPr>
        <w:t xml:space="preserve">        - evNotifs</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w:t>
      </w:r>
      <w:r>
        <w:t>adReports</w:t>
      </w:r>
      <w:r>
        <w:rPr>
          <w:rFonts w:cs="Courier New"/>
          <w:szCs w:val="16"/>
        </w:rPr>
        <w:t>:</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w:t>
      </w:r>
      <w:r>
        <w:t>AppDetectionReport</w:t>
      </w:r>
      <w:r>
        <w:rPr>
          <w:rFonts w:cs="Courier New"/>
          <w:szCs w:val="16"/>
        </w:rPr>
        <w:t>'</w:t>
      </w:r>
    </w:p>
    <w:p>
      <w:pPr>
        <w:pStyle w:val="111"/>
      </w:pPr>
      <w:r>
        <w:t xml:space="preserve">          minItems: 1</w:t>
      </w:r>
    </w:p>
    <w:p>
      <w:pPr>
        <w:pStyle w:val="111"/>
        <w:rPr>
          <w:rFonts w:cs="Courier New"/>
          <w:szCs w:val="16"/>
        </w:rPr>
      </w:pPr>
      <w:r>
        <w:rPr>
          <w:rFonts w:cs="Courier New"/>
          <w:szCs w:val="16"/>
        </w:rPr>
        <w:t xml:space="preserve">          description: Includes the detected application report.</w:t>
      </w:r>
    </w:p>
    <w:p>
      <w:pPr>
        <w:pStyle w:val="111"/>
        <w:rPr>
          <w:rFonts w:cs="Courier New"/>
          <w:szCs w:val="16"/>
        </w:rPr>
      </w:pPr>
      <w:r>
        <w:rPr>
          <w:rFonts w:cs="Courier New"/>
          <w:szCs w:val="16"/>
        </w:rPr>
        <w:t xml:space="preserve">        accessType:</w:t>
      </w:r>
    </w:p>
    <w:p>
      <w:pPr>
        <w:pStyle w:val="111"/>
        <w:rPr>
          <w:rFonts w:cs="Courier New"/>
          <w:szCs w:val="16"/>
        </w:rPr>
      </w:pPr>
      <w:r>
        <w:rPr>
          <w:rFonts w:cs="Courier New"/>
          <w:szCs w:val="16"/>
        </w:rPr>
        <w:t xml:space="preserve">          $ref: 'TS29571_CommonData.yaml#/components/schemas/AccessType'</w:t>
      </w:r>
    </w:p>
    <w:p>
      <w:pPr>
        <w:pStyle w:val="111"/>
        <w:rPr>
          <w:rFonts w:cs="Courier New"/>
          <w:szCs w:val="16"/>
        </w:rPr>
      </w:pPr>
      <w:r>
        <w:rPr>
          <w:rFonts w:cs="Courier New"/>
          <w:szCs w:val="16"/>
        </w:rPr>
        <w:t xml:space="preserve">        addAccessInfo:</w:t>
      </w:r>
    </w:p>
    <w:p>
      <w:pPr>
        <w:pStyle w:val="111"/>
        <w:rPr>
          <w:rFonts w:cs="Courier New"/>
          <w:szCs w:val="16"/>
        </w:rPr>
      </w:pPr>
      <w:r>
        <w:rPr>
          <w:rFonts w:cs="Courier New"/>
          <w:szCs w:val="16"/>
        </w:rPr>
        <w:t xml:space="preserve">          $ref: 'TS29512_Npcf_SMPolicyControl.yaml#/components/schemas/</w:t>
      </w:r>
      <w:r>
        <w:t>AdditionalAccessInfo</w:t>
      </w:r>
      <w:r>
        <w:rPr>
          <w:rFonts w:cs="Courier New"/>
          <w:szCs w:val="16"/>
        </w:rPr>
        <w:t>'</w:t>
      </w:r>
    </w:p>
    <w:p>
      <w:pPr>
        <w:pStyle w:val="111"/>
        <w:rPr>
          <w:rFonts w:cs="Courier New"/>
          <w:szCs w:val="16"/>
        </w:rPr>
      </w:pPr>
      <w:r>
        <w:rPr>
          <w:rFonts w:cs="Courier New"/>
          <w:szCs w:val="16"/>
        </w:rPr>
        <w:t xml:space="preserve">        relAccessInfo:</w:t>
      </w:r>
    </w:p>
    <w:p>
      <w:pPr>
        <w:pStyle w:val="111"/>
        <w:rPr>
          <w:rFonts w:cs="Courier New"/>
          <w:szCs w:val="16"/>
        </w:rPr>
      </w:pPr>
      <w:r>
        <w:rPr>
          <w:rFonts w:cs="Courier New"/>
          <w:szCs w:val="16"/>
        </w:rPr>
        <w:t xml:space="preserve">          $ref: 'TS29512_Npcf_SMPolicyControl.yaml#/components/schemas/</w:t>
      </w:r>
      <w:r>
        <w:t>AdditionalAccessInfo</w:t>
      </w:r>
      <w:r>
        <w:rPr>
          <w:rFonts w:cs="Courier New"/>
          <w:szCs w:val="16"/>
        </w:rPr>
        <w:t>'</w:t>
      </w:r>
    </w:p>
    <w:p>
      <w:pPr>
        <w:pStyle w:val="111"/>
        <w:rPr>
          <w:rFonts w:cs="Courier New"/>
          <w:szCs w:val="16"/>
        </w:rPr>
      </w:pPr>
      <w:r>
        <w:rPr>
          <w:rFonts w:cs="Courier New"/>
          <w:szCs w:val="16"/>
        </w:rPr>
        <w:t xml:space="preserve">        anChargAddr:</w:t>
      </w:r>
    </w:p>
    <w:p>
      <w:pPr>
        <w:pStyle w:val="111"/>
        <w:rPr>
          <w:rFonts w:cs="Courier New"/>
          <w:szCs w:val="16"/>
        </w:rPr>
      </w:pPr>
      <w:r>
        <w:rPr>
          <w:rFonts w:cs="Courier New"/>
          <w:szCs w:val="16"/>
        </w:rPr>
        <w:t xml:space="preserve">          $ref: 'TS29512_Npcf_SMPolicyControl.yaml#/components/schemas/</w:t>
      </w:r>
      <w:r>
        <w:rPr>
          <w:lang w:eastAsia="zh-CN"/>
        </w:rPr>
        <w:t>AccNetChargingAddress</w:t>
      </w:r>
      <w:r>
        <w:rPr>
          <w:rFonts w:cs="Courier New"/>
          <w:szCs w:val="16"/>
        </w:rPr>
        <w:t>'</w:t>
      </w:r>
    </w:p>
    <w:p>
      <w:pPr>
        <w:pStyle w:val="111"/>
        <w:rPr>
          <w:rFonts w:cs="Courier New"/>
          <w:szCs w:val="16"/>
        </w:rPr>
      </w:pPr>
      <w:r>
        <w:rPr>
          <w:rFonts w:cs="Courier New"/>
          <w:szCs w:val="16"/>
        </w:rPr>
        <w:t xml:space="preserve">        </w:t>
      </w:r>
      <w:r>
        <w:t>anChargIds</w:t>
      </w:r>
      <w:r>
        <w:rPr>
          <w:rFonts w:cs="Courier New"/>
          <w:szCs w:val="16"/>
        </w:rPr>
        <w:t>:</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w:t>
      </w:r>
      <w:r>
        <w:t>AccessNetChargingIdentifier</w:t>
      </w:r>
      <w:r>
        <w:rPr>
          <w:rFonts w:cs="Courier New"/>
          <w:szCs w:val="16"/>
        </w:rPr>
        <w:t>'</w:t>
      </w:r>
    </w:p>
    <w:p>
      <w:pPr>
        <w:pStyle w:val="111"/>
      </w:pPr>
      <w:r>
        <w:t xml:space="preserve">          minItems: 1</w:t>
      </w:r>
    </w:p>
    <w:p>
      <w:pPr>
        <w:pStyle w:val="111"/>
        <w:rPr>
          <w:rFonts w:cs="Courier New"/>
          <w:szCs w:val="16"/>
        </w:rPr>
      </w:pPr>
      <w:r>
        <w:rPr>
          <w:rFonts w:cs="Courier New"/>
          <w:szCs w:val="16"/>
        </w:rPr>
        <w:t xml:space="preserve">        anGwAddr:</w:t>
      </w:r>
    </w:p>
    <w:p>
      <w:pPr>
        <w:pStyle w:val="111"/>
        <w:rPr>
          <w:rFonts w:cs="Courier New"/>
          <w:szCs w:val="16"/>
        </w:rPr>
      </w:pPr>
      <w:r>
        <w:rPr>
          <w:rFonts w:cs="Courier New"/>
          <w:szCs w:val="16"/>
        </w:rPr>
        <w:t xml:space="preserve">          $ref: '#/components/schemas/AnGwAddress'</w:t>
      </w:r>
    </w:p>
    <w:p>
      <w:pPr>
        <w:pStyle w:val="111"/>
        <w:rPr>
          <w:rFonts w:cs="Courier New"/>
          <w:szCs w:val="16"/>
        </w:rPr>
      </w:pPr>
      <w:r>
        <w:rPr>
          <w:rFonts w:cs="Courier New"/>
          <w:szCs w:val="16"/>
        </w:rPr>
        <w:t xml:space="preserve">        evSubsUri:</w:t>
      </w:r>
    </w:p>
    <w:p>
      <w:pPr>
        <w:pStyle w:val="111"/>
        <w:rPr>
          <w:rFonts w:cs="Courier New"/>
          <w:szCs w:val="16"/>
        </w:rPr>
      </w:pPr>
      <w:r>
        <w:rPr>
          <w:rFonts w:cs="Courier New"/>
          <w:szCs w:val="16"/>
        </w:rPr>
        <w:t xml:space="preserve">          $ref: 'TS29571_CommonData.yaml#/components/schemas/Uri'</w:t>
      </w:r>
    </w:p>
    <w:p>
      <w:pPr>
        <w:pStyle w:val="111"/>
        <w:rPr>
          <w:rFonts w:cs="Courier New"/>
          <w:szCs w:val="16"/>
        </w:rPr>
      </w:pPr>
      <w:r>
        <w:rPr>
          <w:rFonts w:cs="Courier New"/>
          <w:szCs w:val="16"/>
        </w:rPr>
        <w:t xml:space="preserve">        evNotifs: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'#/components/schemas/AfEventNotification'</w:t>
      </w:r>
    </w:p>
    <w:p>
      <w:pPr>
        <w:pStyle w:val="111"/>
      </w:pPr>
      <w:r>
        <w:t xml:space="preserve">          minItems: 1</w:t>
      </w:r>
    </w:p>
    <w:p>
      <w:pPr>
        <w:pStyle w:val="111"/>
        <w:rPr>
          <w:rFonts w:cs="Courier New"/>
          <w:szCs w:val="16"/>
        </w:rPr>
      </w:pPr>
      <w:r>
        <w:rPr>
          <w:rFonts w:cs="Courier New"/>
          <w:szCs w:val="16"/>
        </w:rPr>
        <w:t xml:space="preserve">        failedResourcAllocReports: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'#/components/schemas/ResourcesAllocationInfo'</w:t>
      </w:r>
    </w:p>
    <w:p>
      <w:pPr>
        <w:pStyle w:val="111"/>
      </w:pPr>
      <w:r>
        <w:t xml:space="preserve">          minItems: 1</w:t>
      </w:r>
    </w:p>
    <w:p>
      <w:pPr>
        <w:pStyle w:val="111"/>
        <w:rPr>
          <w:rFonts w:cs="Courier New"/>
          <w:szCs w:val="16"/>
        </w:rPr>
      </w:pPr>
      <w:r>
        <w:rPr>
          <w:rFonts w:cs="Courier New"/>
          <w:szCs w:val="16"/>
        </w:rPr>
        <w:t xml:space="preserve">        succResourcAllocReports: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'#/components/schemas/ResourcesAllocationInfo'</w:t>
      </w:r>
    </w:p>
    <w:p>
      <w:pPr>
        <w:pStyle w:val="111"/>
      </w:pPr>
      <w:r>
        <w:t xml:space="preserve">          minItems: 1</w:t>
      </w:r>
    </w:p>
    <w:p>
      <w:pPr>
        <w:pStyle w:val="111"/>
        <w:rPr>
          <w:rFonts w:cs="Courier New"/>
          <w:szCs w:val="16"/>
        </w:rPr>
      </w:pPr>
      <w:r>
        <w:rPr>
          <w:rFonts w:cs="Courier New"/>
          <w:szCs w:val="16"/>
        </w:rPr>
        <w:t xml:space="preserve">        noNetLocSupp:</w:t>
      </w:r>
    </w:p>
    <w:p>
      <w:pPr>
        <w:pStyle w:val="111"/>
        <w:rPr>
          <w:rFonts w:cs="Courier New"/>
          <w:szCs w:val="16"/>
        </w:rPr>
      </w:pPr>
      <w:r>
        <w:rPr>
          <w:rFonts w:cs="Courier New"/>
          <w:szCs w:val="16"/>
        </w:rPr>
        <w:t xml:space="preserve">          $ref: 'TS29512_Npcf_SMPolicyControl.yaml#/components/schemas/NetLocAccessSupport'</w:t>
      </w:r>
    </w:p>
    <w:p>
      <w:pPr>
        <w:pStyle w:val="111"/>
        <w:rPr>
          <w:rFonts w:cs="Courier New"/>
          <w:szCs w:val="16"/>
        </w:rPr>
      </w:pPr>
      <w:r>
        <w:rPr>
          <w:rFonts w:cs="Courier New"/>
          <w:szCs w:val="16"/>
        </w:rPr>
        <w:t xml:space="preserve">        outOfCredReports: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'#/components/schemas/OutOfCreditInformation'</w:t>
      </w:r>
    </w:p>
    <w:p>
      <w:pPr>
        <w:pStyle w:val="111"/>
      </w:pPr>
      <w:r>
        <w:t xml:space="preserve">          minItems: 1</w:t>
      </w:r>
    </w:p>
    <w:p>
      <w:pPr>
        <w:pStyle w:val="111"/>
        <w:rPr>
          <w:rFonts w:cs="Courier New"/>
          <w:szCs w:val="16"/>
        </w:rPr>
      </w:pPr>
      <w:r>
        <w:rPr>
          <w:rFonts w:cs="Courier New"/>
          <w:szCs w:val="16"/>
        </w:rPr>
        <w:t xml:space="preserve">        plmnId:</w:t>
      </w:r>
    </w:p>
    <w:p>
      <w:pPr>
        <w:pStyle w:val="111"/>
        <w:rPr>
          <w:rFonts w:cs="Courier New"/>
          <w:szCs w:val="16"/>
        </w:rPr>
      </w:pPr>
      <w:r>
        <w:rPr>
          <w:rFonts w:cs="Courier New"/>
          <w:szCs w:val="16"/>
        </w:rPr>
        <w:t xml:space="preserve">          $ref: 'TS29571_CommonData.yaml#/components/schemas/PlmnIdNid'</w:t>
      </w:r>
    </w:p>
    <w:p>
      <w:pPr>
        <w:pStyle w:val="111"/>
        <w:rPr>
          <w:rFonts w:cs="Courier New"/>
          <w:szCs w:val="16"/>
        </w:rPr>
      </w:pPr>
      <w:r>
        <w:rPr>
          <w:rFonts w:cs="Courier New"/>
          <w:szCs w:val="16"/>
        </w:rPr>
        <w:t xml:space="preserve">        qncReports: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'#/components/schemas/QosNotificationControlInfo'</w:t>
      </w:r>
    </w:p>
    <w:p>
      <w:pPr>
        <w:pStyle w:val="111"/>
      </w:pPr>
      <w:r>
        <w:t xml:space="preserve">          minItems: 1</w:t>
      </w:r>
    </w:p>
    <w:p>
      <w:pPr>
        <w:pStyle w:val="111"/>
        <w:rPr>
          <w:rFonts w:cs="Courier New"/>
          <w:szCs w:val="16"/>
        </w:rPr>
      </w:pPr>
      <w:r>
        <w:rPr>
          <w:rFonts w:cs="Courier New"/>
          <w:szCs w:val="16"/>
        </w:rPr>
        <w:t xml:space="preserve">        </w:t>
      </w:r>
      <w:r>
        <w:t>qosMonReports</w:t>
      </w:r>
      <w:r>
        <w:rPr>
          <w:rFonts w:cs="Courier New"/>
          <w:szCs w:val="16"/>
        </w:rPr>
        <w:t>:</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'#/components/schemas/QosMonitoringReport'</w:t>
      </w:r>
    </w:p>
    <w:p>
      <w:pPr>
        <w:pStyle w:val="111"/>
      </w:pPr>
      <w:r>
        <w:t xml:space="preserve">          minItems: 1</w:t>
      </w:r>
    </w:p>
    <w:p>
      <w:pPr>
        <w:pStyle w:val="111"/>
        <w:rPr>
          <w:lang w:eastAsia="zh-CN"/>
        </w:rPr>
      </w:pPr>
      <w:r>
        <w:t xml:space="preserve">        </w:t>
      </w:r>
      <w:bookmarkStart w:id="110" w:name="_Hlk22052291"/>
      <w:r>
        <w:rPr>
          <w:lang w:eastAsia="zh-CN"/>
        </w:rPr>
        <w:t>ranNasRelCauses:</w:t>
      </w:r>
    </w:p>
    <w:p>
      <w:pPr>
        <w:pStyle w:val="111"/>
      </w:pPr>
      <w:r>
        <w:t xml:space="preserve">          type: array</w:t>
      </w:r>
    </w:p>
    <w:p>
      <w:pPr>
        <w:pStyle w:val="111"/>
      </w:pPr>
      <w:r>
        <w:t xml:space="preserve">          items:</w:t>
      </w:r>
    </w:p>
    <w:p>
      <w:pPr>
        <w:pStyle w:val="111"/>
      </w:pPr>
      <w:r>
        <w:t xml:space="preserve">            $ref: '</w:t>
      </w:r>
      <w:r>
        <w:rPr>
          <w:rFonts w:cs="Courier New"/>
          <w:szCs w:val="16"/>
        </w:rPr>
        <w:t>TS29512_Npcf_SMPolicyControl.yaml</w:t>
      </w:r>
      <w:r>
        <w:t>#/components/schemas/</w:t>
      </w:r>
      <w:r>
        <w:rPr>
          <w:lang w:eastAsia="zh-CN"/>
        </w:rPr>
        <w:t>RanNasRelCause</w:t>
      </w:r>
      <w:r>
        <w:t>'</w:t>
      </w:r>
    </w:p>
    <w:p>
      <w:pPr>
        <w:pStyle w:val="111"/>
      </w:pPr>
      <w:r>
        <w:t xml:space="preserve">          minItems: 1</w:t>
      </w:r>
    </w:p>
    <w:p>
      <w:pPr>
        <w:pStyle w:val="111"/>
      </w:pPr>
      <w:r>
        <w:t xml:space="preserve">          description: Contains the RAN and/or NAS release cause.</w:t>
      </w:r>
    </w:p>
    <w:bookmarkEnd w:id="110"/>
    <w:p>
      <w:pPr>
        <w:pStyle w:val="111"/>
        <w:rPr>
          <w:rFonts w:cs="Courier New"/>
          <w:szCs w:val="16"/>
        </w:rPr>
      </w:pPr>
      <w:r>
        <w:rPr>
          <w:rFonts w:cs="Courier New"/>
          <w:szCs w:val="16"/>
        </w:rPr>
        <w:t xml:space="preserve">        ratType: </w:t>
      </w:r>
    </w:p>
    <w:p>
      <w:pPr>
        <w:pStyle w:val="111"/>
        <w:rPr>
          <w:rFonts w:cs="Courier New"/>
          <w:szCs w:val="16"/>
        </w:rPr>
      </w:pPr>
      <w:r>
        <w:rPr>
          <w:rFonts w:cs="Courier New"/>
          <w:szCs w:val="16"/>
        </w:rPr>
        <w:t xml:space="preserve">          $ref: 'TS29571_CommonData.yaml#/components/schemas/RatType'</w:t>
      </w:r>
    </w:p>
    <w:p>
      <w:pPr>
        <w:pStyle w:val="111"/>
        <w:rPr>
          <w:rFonts w:cs="Courier New"/>
          <w:szCs w:val="16"/>
        </w:rPr>
      </w:pPr>
      <w:r>
        <w:rPr>
          <w:rFonts w:cs="Courier New"/>
          <w:szCs w:val="16"/>
        </w:rPr>
        <w:t xml:space="preserve">        satBackhaulCategory: </w:t>
      </w:r>
    </w:p>
    <w:p>
      <w:pPr>
        <w:pStyle w:val="111"/>
        <w:rPr>
          <w:rFonts w:cs="Courier New"/>
          <w:szCs w:val="16"/>
        </w:rPr>
      </w:pPr>
      <w:r>
        <w:rPr>
          <w:rFonts w:cs="Courier New"/>
          <w:szCs w:val="16"/>
        </w:rPr>
        <w:t xml:space="preserve">          $ref: 'TS29571_CommonData.yaml#/components/schemas/SatelliteBackhaulCategory'</w:t>
      </w:r>
    </w:p>
    <w:p>
      <w:pPr>
        <w:pStyle w:val="111"/>
        <w:rPr>
          <w:rFonts w:cs="Courier New"/>
          <w:szCs w:val="16"/>
        </w:rPr>
      </w:pPr>
      <w:r>
        <w:rPr>
          <w:rFonts w:cs="Courier New"/>
          <w:szCs w:val="16"/>
        </w:rPr>
        <w:t xml:space="preserve">        ueLoc:</w:t>
      </w:r>
    </w:p>
    <w:p>
      <w:pPr>
        <w:pStyle w:val="111"/>
        <w:rPr>
          <w:rFonts w:cs="Courier New"/>
          <w:szCs w:val="16"/>
        </w:rPr>
      </w:pPr>
      <w:r>
        <w:rPr>
          <w:rFonts w:cs="Courier New"/>
          <w:szCs w:val="16"/>
        </w:rPr>
        <w:t xml:space="preserve">          $ref: 'TS29571_CommonData.yaml#/components/schemas/UserLocation'</w:t>
      </w:r>
    </w:p>
    <w:p>
      <w:pPr>
        <w:pStyle w:val="111"/>
        <w:rPr>
          <w:rFonts w:cs="Courier New"/>
          <w:szCs w:val="16"/>
        </w:rPr>
      </w:pPr>
      <w:r>
        <w:rPr>
          <w:rFonts w:cs="Courier New"/>
          <w:szCs w:val="16"/>
        </w:rPr>
        <w:t xml:space="preserve">        ueLocTime:</w:t>
      </w:r>
    </w:p>
    <w:p>
      <w:pPr>
        <w:pStyle w:val="111"/>
        <w:rPr>
          <w:rFonts w:cs="Courier New"/>
          <w:szCs w:val="16"/>
        </w:rPr>
      </w:pPr>
      <w:r>
        <w:rPr>
          <w:rFonts w:cs="Courier New"/>
          <w:szCs w:val="16"/>
        </w:rPr>
        <w:t xml:space="preserve">          $ref: 'TS29571_CommonData.yaml#/components/schemas/DateTime'</w:t>
      </w:r>
    </w:p>
    <w:p>
      <w:pPr>
        <w:pStyle w:val="111"/>
        <w:rPr>
          <w:rFonts w:cs="Courier New"/>
          <w:szCs w:val="16"/>
        </w:rPr>
      </w:pPr>
      <w:r>
        <w:rPr>
          <w:rFonts w:cs="Courier New"/>
          <w:szCs w:val="16"/>
        </w:rPr>
        <w:t xml:space="preserve">        ueTimeZone:</w:t>
      </w:r>
    </w:p>
    <w:p>
      <w:pPr>
        <w:pStyle w:val="111"/>
        <w:rPr>
          <w:rFonts w:cs="Courier New"/>
          <w:szCs w:val="16"/>
        </w:rPr>
      </w:pPr>
      <w:r>
        <w:rPr>
          <w:rFonts w:cs="Courier New"/>
          <w:szCs w:val="16"/>
        </w:rPr>
        <w:t xml:space="preserve">          $ref: 'TS29571_CommonData.yaml#/components/schemas/TimeZone'</w:t>
      </w:r>
    </w:p>
    <w:p>
      <w:pPr>
        <w:pStyle w:val="111"/>
        <w:rPr>
          <w:rFonts w:cs="Courier New"/>
          <w:szCs w:val="16"/>
        </w:rPr>
      </w:pPr>
      <w:r>
        <w:rPr>
          <w:rFonts w:cs="Courier New"/>
          <w:szCs w:val="16"/>
        </w:rPr>
        <w:t xml:space="preserve">        usgRep:</w:t>
      </w:r>
    </w:p>
    <w:p>
      <w:pPr>
        <w:pStyle w:val="111"/>
        <w:rPr>
          <w:rFonts w:cs="Courier New"/>
          <w:szCs w:val="16"/>
        </w:rPr>
      </w:pPr>
      <w:r>
        <w:rPr>
          <w:rFonts w:cs="Courier New"/>
          <w:szCs w:val="16"/>
        </w:rPr>
        <w:t xml:space="preserve">          $ref: 'TS29122_CommonData.yaml#/components/schemas/AccumulatedUsage'</w:t>
      </w:r>
    </w:p>
    <w:p>
      <w:pPr>
        <w:pStyle w:val="111"/>
      </w:pPr>
      <w:r>
        <w:t xml:space="preserve">        tsnBridgeManCont:</w:t>
      </w:r>
    </w:p>
    <w:p>
      <w:pPr>
        <w:pStyle w:val="111"/>
      </w:pPr>
      <w:r>
        <w:t xml:space="preserve">          $ref: </w:t>
      </w:r>
      <w:r>
        <w:rPr>
          <w:rFonts w:cs="Courier New"/>
          <w:szCs w:val="16"/>
        </w:rPr>
        <w:t>'TS29512_Npcf_SMPolicyControl.yaml</w:t>
      </w:r>
      <w:r>
        <w:t>#/components/schemas/BridgeManagementContainer'</w:t>
      </w:r>
    </w:p>
    <w:p>
      <w:pPr>
        <w:pStyle w:val="111"/>
        <w:rPr>
          <w:rFonts w:cs="Courier New"/>
          <w:szCs w:val="16"/>
        </w:rPr>
      </w:pPr>
      <w:r>
        <w:rPr>
          <w:rFonts w:cs="Courier New"/>
          <w:szCs w:val="16"/>
        </w:rPr>
        <w:t xml:space="preserve">        tsnPortManContDstt: </w:t>
      </w:r>
    </w:p>
    <w:p>
      <w:pPr>
        <w:pStyle w:val="111"/>
        <w:rPr>
          <w:rFonts w:cs="Courier New"/>
          <w:szCs w:val="16"/>
        </w:rPr>
      </w:pPr>
      <w:r>
        <w:rPr>
          <w:rFonts w:cs="Courier New"/>
          <w:szCs w:val="16"/>
        </w:rPr>
        <w:t xml:space="preserve">          $ref: 'TS29512_Npcf_SMPolicyControl.yaml#/components/schemas/</w:t>
      </w:r>
      <w:r>
        <w:t>PortManagementContainer</w:t>
      </w:r>
      <w:r>
        <w:rPr>
          <w:rFonts w:cs="Courier New"/>
          <w:szCs w:val="16"/>
        </w:rPr>
        <w:t>'</w:t>
      </w:r>
    </w:p>
    <w:p>
      <w:pPr>
        <w:pStyle w:val="111"/>
        <w:rPr>
          <w:rFonts w:cs="Courier New"/>
          <w:szCs w:val="16"/>
        </w:rPr>
      </w:pPr>
      <w:r>
        <w:rPr>
          <w:rFonts w:cs="Courier New"/>
          <w:szCs w:val="16"/>
        </w:rPr>
        <w:t xml:space="preserve">        tsnPortManContNwtts: </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'TS29512_Npcf_SMPolicyControl.yaml#/components/schemas/</w:t>
      </w:r>
      <w:r>
        <w:t>PortManagementContainer</w:t>
      </w:r>
      <w:r>
        <w:rPr>
          <w:rFonts w:cs="Courier New"/>
          <w:szCs w:val="16"/>
        </w:rPr>
        <w:t>'</w:t>
      </w:r>
    </w:p>
    <w:p>
      <w:pPr>
        <w:pStyle w:val="111"/>
        <w:rPr>
          <w:rFonts w:cs="Courier New"/>
          <w:szCs w:val="16"/>
        </w:rPr>
      </w:pPr>
      <w:r>
        <w:rPr>
          <w:rFonts w:cs="Courier New"/>
          <w:szCs w:val="16"/>
        </w:rPr>
        <w:t xml:space="preserve">          minItems: 1</w:t>
      </w:r>
    </w:p>
    <w:p>
      <w:pPr>
        <w:pStyle w:val="111"/>
      </w:pPr>
      <w:r>
        <w:t xml:space="preserve">        ipv4AddrList:</w:t>
      </w:r>
    </w:p>
    <w:p>
      <w:pPr>
        <w:pStyle w:val="111"/>
      </w:pPr>
      <w:r>
        <w:t xml:space="preserve">          type: array</w:t>
      </w:r>
    </w:p>
    <w:p>
      <w:pPr>
        <w:pStyle w:val="111"/>
      </w:pPr>
      <w:r>
        <w:t xml:space="preserve">          items:</w:t>
      </w:r>
    </w:p>
    <w:p>
      <w:pPr>
        <w:pStyle w:val="111"/>
      </w:pPr>
      <w:r>
        <w:t xml:space="preserve">            $ref: 'TS29571_CommonData.yaml#/components/schemas/Ipv4AddrMask'</w:t>
      </w:r>
    </w:p>
    <w:p>
      <w:pPr>
        <w:pStyle w:val="111"/>
      </w:pPr>
      <w:r>
        <w:t xml:space="preserve">          minItems: 1</w:t>
      </w:r>
    </w:p>
    <w:p>
      <w:pPr>
        <w:pStyle w:val="111"/>
      </w:pPr>
      <w:r>
        <w:rPr>
          <w:rFonts w:cs="Courier New"/>
          <w:szCs w:val="16"/>
        </w:rPr>
        <w:t xml:space="preserve">        </w:t>
      </w:r>
      <w:r>
        <w:t>ipv6PrefixList:</w:t>
      </w:r>
    </w:p>
    <w:p>
      <w:pPr>
        <w:pStyle w:val="111"/>
      </w:pPr>
      <w:r>
        <w:t xml:space="preserve">          type: array</w:t>
      </w:r>
    </w:p>
    <w:p>
      <w:pPr>
        <w:pStyle w:val="111"/>
      </w:pPr>
      <w:r>
        <w:t xml:space="preserve">          items:</w:t>
      </w:r>
    </w:p>
    <w:p>
      <w:pPr>
        <w:pStyle w:val="111"/>
      </w:pPr>
      <w:r>
        <w:t xml:space="preserve">            $ref: 'TS29571_CommonData.yaml#/components/schemas/Ipv6Prefix'</w:t>
      </w:r>
    </w:p>
    <w:p>
      <w:pPr>
        <w:pStyle w:val="111"/>
      </w:pPr>
      <w:r>
        <w:t xml:space="preserve">          minItems: 1</w:t>
      </w:r>
    </w:p>
    <w:p>
      <w:pPr>
        <w:pStyle w:val="111"/>
        <w:rPr>
          <w:rFonts w:cs="Courier New"/>
          <w:szCs w:val="16"/>
        </w:rPr>
      </w:pPr>
    </w:p>
    <w:p>
      <w:pPr>
        <w:pStyle w:val="111"/>
        <w:rPr>
          <w:rFonts w:cs="Courier New"/>
          <w:szCs w:val="16"/>
        </w:rPr>
      </w:pPr>
      <w:r>
        <w:rPr>
          <w:rFonts w:cs="Courier New"/>
          <w:szCs w:val="16"/>
        </w:rPr>
        <w:t xml:space="preserve">    AfEventSubscription:</w:t>
      </w:r>
    </w:p>
    <w:p>
      <w:pPr>
        <w:pStyle w:val="111"/>
        <w:rPr>
          <w:rFonts w:cs="Courier New"/>
          <w:szCs w:val="16"/>
        </w:rPr>
      </w:pPr>
      <w:r>
        <w:rPr>
          <w:rFonts w:cs="Courier New"/>
          <w:szCs w:val="16"/>
        </w:rPr>
        <w:t xml:space="preserve">      description: Describes the event information delivered in the subscription.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event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event:</w:t>
      </w:r>
    </w:p>
    <w:p>
      <w:pPr>
        <w:pStyle w:val="111"/>
        <w:rPr>
          <w:rFonts w:cs="Courier New"/>
          <w:szCs w:val="16"/>
        </w:rPr>
      </w:pPr>
      <w:r>
        <w:rPr>
          <w:rFonts w:cs="Courier New"/>
          <w:szCs w:val="16"/>
        </w:rPr>
        <w:t xml:space="preserve">          $ref: '#/components/schemas/AfEvent'</w:t>
      </w:r>
    </w:p>
    <w:p>
      <w:pPr>
        <w:pStyle w:val="111"/>
        <w:rPr>
          <w:rFonts w:cs="Courier New"/>
          <w:szCs w:val="16"/>
        </w:rPr>
      </w:pPr>
      <w:r>
        <w:rPr>
          <w:rFonts w:cs="Courier New"/>
          <w:szCs w:val="16"/>
        </w:rPr>
        <w:t xml:space="preserve">        notifMethod:</w:t>
      </w:r>
    </w:p>
    <w:p>
      <w:pPr>
        <w:pStyle w:val="111"/>
        <w:rPr>
          <w:rFonts w:cs="Courier New"/>
          <w:szCs w:val="16"/>
        </w:rPr>
      </w:pPr>
      <w:r>
        <w:rPr>
          <w:rFonts w:cs="Courier New"/>
          <w:szCs w:val="16"/>
        </w:rPr>
        <w:t xml:space="preserve">          $ref: '#/components/schemas/AfNotifMethod'</w:t>
      </w:r>
    </w:p>
    <w:p>
      <w:pPr>
        <w:pStyle w:val="111"/>
        <w:rPr>
          <w:lang w:eastAsia="es-ES"/>
        </w:rPr>
      </w:pPr>
      <w:r>
        <w:rPr>
          <w:lang w:eastAsia="es-ES"/>
        </w:rPr>
        <w:t xml:space="preserve">        repPeriod:</w:t>
      </w:r>
    </w:p>
    <w:p>
      <w:pPr>
        <w:pStyle w:val="111"/>
        <w:rPr>
          <w:lang w:eastAsia="es-ES"/>
        </w:rPr>
      </w:pPr>
      <w:r>
        <w:rPr>
          <w:lang w:eastAsia="es-ES"/>
        </w:rPr>
        <w:t xml:space="preserve">          $ref: 'TS29571_CommonData.yaml#/components/schemas/DurationSec'</w:t>
      </w:r>
    </w:p>
    <w:p>
      <w:pPr>
        <w:pStyle w:val="111"/>
        <w:rPr>
          <w:lang w:eastAsia="es-ES"/>
        </w:rPr>
      </w:pPr>
      <w:r>
        <w:rPr>
          <w:lang w:eastAsia="es-ES"/>
        </w:rPr>
        <w:t xml:space="preserve">        waitTime:</w:t>
      </w:r>
    </w:p>
    <w:p>
      <w:pPr>
        <w:pStyle w:val="111"/>
        <w:rPr>
          <w:lang w:eastAsia="es-ES"/>
        </w:rPr>
      </w:pPr>
      <w:r>
        <w:rPr>
          <w:lang w:eastAsia="es-ES"/>
        </w:rPr>
        <w:t xml:space="preserve">          $ref: 'TS29571_CommonData.yaml#/components/schemas/DurationSec'</w:t>
      </w:r>
    </w:p>
    <w:p>
      <w:pPr>
        <w:pStyle w:val="111"/>
        <w:rPr>
          <w:rFonts w:cs="Courier New"/>
          <w:szCs w:val="16"/>
        </w:rPr>
      </w:pPr>
    </w:p>
    <w:p>
      <w:pPr>
        <w:pStyle w:val="111"/>
        <w:rPr>
          <w:rFonts w:cs="Courier New"/>
          <w:szCs w:val="16"/>
        </w:rPr>
      </w:pPr>
      <w:r>
        <w:rPr>
          <w:rFonts w:cs="Courier New"/>
          <w:szCs w:val="16"/>
        </w:rPr>
        <w:t xml:space="preserve">    AfEventNotification:</w:t>
      </w:r>
    </w:p>
    <w:p>
      <w:pPr>
        <w:pStyle w:val="111"/>
        <w:rPr>
          <w:rFonts w:cs="Courier New"/>
          <w:szCs w:val="16"/>
        </w:rPr>
      </w:pPr>
      <w:r>
        <w:rPr>
          <w:rFonts w:cs="Courier New"/>
          <w:szCs w:val="16"/>
        </w:rPr>
        <w:t xml:space="preserve">      description: Describes the event information delivered in the notification.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event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event:</w:t>
      </w:r>
    </w:p>
    <w:p>
      <w:pPr>
        <w:pStyle w:val="111"/>
        <w:rPr>
          <w:rFonts w:cs="Courier New"/>
          <w:szCs w:val="16"/>
        </w:rPr>
      </w:pPr>
      <w:r>
        <w:rPr>
          <w:rFonts w:cs="Courier New"/>
          <w:szCs w:val="16"/>
        </w:rPr>
        <w:t xml:space="preserve">          $ref: '#/components/schemas/AfEvent'</w:t>
      </w:r>
    </w:p>
    <w:p>
      <w:pPr>
        <w:pStyle w:val="111"/>
        <w:rPr>
          <w:rFonts w:cs="Courier New"/>
          <w:szCs w:val="16"/>
        </w:rPr>
      </w:pPr>
      <w:r>
        <w:rPr>
          <w:rFonts w:cs="Courier New"/>
          <w:szCs w:val="16"/>
        </w:rPr>
        <w:t xml:space="preserve">        flows: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'#/components/schemas/Flows'</w:t>
      </w:r>
    </w:p>
    <w:p>
      <w:pPr>
        <w:pStyle w:val="111"/>
      </w:pPr>
      <w:r>
        <w:t xml:space="preserve">          minItems: 1</w:t>
      </w:r>
    </w:p>
    <w:p>
      <w:pPr>
        <w:pStyle w:val="111"/>
      </w:pPr>
      <w:r>
        <w:t xml:space="preserve">        retryAfter:</w:t>
      </w:r>
    </w:p>
    <w:p>
      <w:pPr>
        <w:pStyle w:val="111"/>
      </w:pPr>
      <w:r>
        <w:t xml:space="preserve">          $ref: 'TS29571_CommonData.yaml#/components/schemas/Uinteger'</w:t>
      </w:r>
    </w:p>
    <w:p>
      <w:pPr>
        <w:pStyle w:val="111"/>
        <w:rPr>
          <w:rFonts w:cs="Courier New"/>
          <w:szCs w:val="16"/>
        </w:rPr>
      </w:pPr>
    </w:p>
    <w:p>
      <w:pPr>
        <w:pStyle w:val="111"/>
        <w:rPr>
          <w:rFonts w:cs="Courier New"/>
          <w:szCs w:val="16"/>
        </w:rPr>
      </w:pPr>
      <w:r>
        <w:rPr>
          <w:rFonts w:cs="Courier New"/>
          <w:szCs w:val="16"/>
        </w:rPr>
        <w:t xml:space="preserve">    TerminationInfo:</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Indicates the cause for requesting the deletion of the Individual Application Session</w:t>
      </w:r>
    </w:p>
    <w:p>
      <w:pPr>
        <w:pStyle w:val="111"/>
        <w:rPr>
          <w:rFonts w:cs="Courier New"/>
          <w:szCs w:val="16"/>
        </w:rPr>
      </w:pPr>
      <w:r>
        <w:rPr>
          <w:rFonts w:cs="Courier New"/>
          <w:szCs w:val="16"/>
        </w:rPr>
        <w:t xml:space="preserve">        Context resource.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termCause</w:t>
      </w:r>
    </w:p>
    <w:p>
      <w:pPr>
        <w:pStyle w:val="111"/>
        <w:rPr>
          <w:rFonts w:cs="Courier New"/>
          <w:szCs w:val="16"/>
        </w:rPr>
      </w:pPr>
      <w:r>
        <w:rPr>
          <w:rFonts w:cs="Courier New"/>
          <w:szCs w:val="16"/>
        </w:rPr>
        <w:t xml:space="preserve">        - resUri</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termCause:</w:t>
      </w:r>
    </w:p>
    <w:p>
      <w:pPr>
        <w:pStyle w:val="111"/>
        <w:rPr>
          <w:rFonts w:cs="Courier New"/>
          <w:szCs w:val="16"/>
        </w:rPr>
      </w:pPr>
      <w:r>
        <w:rPr>
          <w:rFonts w:cs="Courier New"/>
          <w:szCs w:val="16"/>
        </w:rPr>
        <w:t xml:space="preserve">          $ref: '#/components/schemas/TerminationCause'</w:t>
      </w:r>
    </w:p>
    <w:p>
      <w:pPr>
        <w:pStyle w:val="111"/>
        <w:rPr>
          <w:rFonts w:cs="Courier New"/>
          <w:szCs w:val="16"/>
        </w:rPr>
      </w:pPr>
      <w:r>
        <w:rPr>
          <w:rFonts w:cs="Courier New"/>
          <w:szCs w:val="16"/>
        </w:rPr>
        <w:t xml:space="preserve">        resUri:</w:t>
      </w:r>
    </w:p>
    <w:p>
      <w:pPr>
        <w:pStyle w:val="111"/>
        <w:rPr>
          <w:rFonts w:cs="Courier New"/>
          <w:szCs w:val="16"/>
        </w:rPr>
      </w:pPr>
      <w:r>
        <w:rPr>
          <w:rFonts w:cs="Courier New"/>
          <w:szCs w:val="16"/>
        </w:rPr>
        <w:t xml:space="preserve">          $ref: 'TS29571_CommonData.yaml#/components/schemas/Uri'</w:t>
      </w:r>
    </w:p>
    <w:p>
      <w:pPr>
        <w:pStyle w:val="111"/>
        <w:rPr>
          <w:rFonts w:cs="Courier New"/>
          <w:szCs w:val="16"/>
        </w:rPr>
      </w:pPr>
    </w:p>
    <w:p>
      <w:pPr>
        <w:pStyle w:val="111"/>
        <w:rPr>
          <w:rFonts w:cs="Courier New"/>
          <w:szCs w:val="16"/>
        </w:rPr>
      </w:pPr>
      <w:r>
        <w:rPr>
          <w:rFonts w:cs="Courier New"/>
          <w:szCs w:val="16"/>
        </w:rPr>
        <w:t xml:space="preserve">    AfRoutingRequirement:</w:t>
      </w:r>
    </w:p>
    <w:p>
      <w:pPr>
        <w:pStyle w:val="111"/>
        <w:rPr>
          <w:rFonts w:cs="Courier New"/>
          <w:szCs w:val="16"/>
        </w:rPr>
      </w:pPr>
      <w:r>
        <w:rPr>
          <w:rFonts w:cs="Courier New"/>
          <w:szCs w:val="16"/>
        </w:rPr>
        <w:t xml:space="preserve">      description: Describes AF requirements on routing traffic.</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appReloc:</w:t>
      </w:r>
    </w:p>
    <w:p>
      <w:pPr>
        <w:pStyle w:val="111"/>
        <w:rPr>
          <w:rFonts w:cs="Courier New"/>
          <w:szCs w:val="16"/>
        </w:rPr>
      </w:pPr>
      <w:r>
        <w:rPr>
          <w:rFonts w:cs="Courier New"/>
          <w:szCs w:val="16"/>
        </w:rPr>
        <w:t xml:space="preserve">          type: boolean</w:t>
      </w:r>
    </w:p>
    <w:p>
      <w:pPr>
        <w:pStyle w:val="111"/>
        <w:rPr>
          <w:rFonts w:cs="Courier New"/>
          <w:szCs w:val="16"/>
        </w:rPr>
      </w:pPr>
      <w:r>
        <w:rPr>
          <w:rFonts w:cs="Courier New"/>
          <w:szCs w:val="16"/>
        </w:rPr>
        <w:t xml:space="preserve">        routeToLocs: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'TS29571_CommonData.yaml#/components/schemas/RouteToLocation'</w:t>
      </w:r>
    </w:p>
    <w:p>
      <w:pPr>
        <w:pStyle w:val="111"/>
      </w:pPr>
      <w:r>
        <w:t xml:space="preserve">          minItems: 1</w:t>
      </w:r>
    </w:p>
    <w:p>
      <w:pPr>
        <w:pStyle w:val="111"/>
        <w:rPr>
          <w:rFonts w:cs="Courier New"/>
          <w:szCs w:val="16"/>
        </w:rPr>
      </w:pPr>
      <w:r>
        <w:rPr>
          <w:rFonts w:cs="Courier New"/>
          <w:szCs w:val="16"/>
        </w:rPr>
        <w:t xml:space="preserve">        spVal:</w:t>
      </w:r>
    </w:p>
    <w:p>
      <w:pPr>
        <w:pStyle w:val="111"/>
        <w:rPr>
          <w:rFonts w:cs="Courier New"/>
          <w:szCs w:val="16"/>
        </w:rPr>
      </w:pPr>
      <w:r>
        <w:rPr>
          <w:rFonts w:cs="Courier New"/>
          <w:szCs w:val="16"/>
        </w:rPr>
        <w:t xml:space="preserve">          $ref: '#/components/schemas/SpatialValidity'</w:t>
      </w:r>
    </w:p>
    <w:p>
      <w:pPr>
        <w:pStyle w:val="111"/>
        <w:rPr>
          <w:rFonts w:cs="Courier New"/>
          <w:szCs w:val="16"/>
        </w:rPr>
      </w:pPr>
      <w:r>
        <w:rPr>
          <w:rFonts w:cs="Courier New"/>
          <w:szCs w:val="16"/>
        </w:rPr>
        <w:t xml:space="preserve">        tempVals: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'#/components/schemas/TemporalValidity'</w:t>
      </w:r>
    </w:p>
    <w:p>
      <w:pPr>
        <w:pStyle w:val="111"/>
      </w:pPr>
      <w:r>
        <w:t xml:space="preserve">          minItems: 1</w:t>
      </w:r>
    </w:p>
    <w:p>
      <w:pPr>
        <w:pStyle w:val="111"/>
        <w:rPr>
          <w:rFonts w:cs="Courier New"/>
          <w:szCs w:val="16"/>
        </w:rPr>
      </w:pPr>
      <w:r>
        <w:rPr>
          <w:rFonts w:cs="Courier New"/>
          <w:szCs w:val="16"/>
        </w:rPr>
        <w:t xml:space="preserve">        </w:t>
      </w:r>
      <w:r>
        <w:t>upPathChgSub</w:t>
      </w:r>
      <w:r>
        <w:rPr>
          <w:rFonts w:cs="Courier New"/>
          <w:szCs w:val="16"/>
        </w:rPr>
        <w:t>:</w:t>
      </w:r>
    </w:p>
    <w:p>
      <w:pPr>
        <w:pStyle w:val="111"/>
        <w:rPr>
          <w:rFonts w:cs="Courier New"/>
          <w:szCs w:val="16"/>
        </w:rPr>
      </w:pPr>
      <w:r>
        <w:rPr>
          <w:rFonts w:cs="Courier New"/>
          <w:szCs w:val="16"/>
        </w:rPr>
        <w:t xml:space="preserve">          $ref: 'TS29512_Npcf_SMPolicyControl.yaml#/components/schemas/UpPathChgEvent'</w:t>
      </w:r>
    </w:p>
    <w:p>
      <w:pPr>
        <w:pStyle w:val="111"/>
      </w:pPr>
      <w:r>
        <w:t xml:space="preserve">        </w:t>
      </w:r>
      <w:r>
        <w:rPr>
          <w:lang w:eastAsia="zh-CN"/>
        </w:rPr>
        <w:t>addrPreserInd</w:t>
      </w:r>
      <w:r>
        <w:t>:</w:t>
      </w:r>
    </w:p>
    <w:p>
      <w:pPr>
        <w:pStyle w:val="111"/>
      </w:pPr>
      <w:r>
        <w:t xml:space="preserve">          type: boolean</w:t>
      </w:r>
    </w:p>
    <w:p>
      <w:pPr>
        <w:pStyle w:val="111"/>
      </w:pPr>
      <w:r>
        <w:t xml:space="preserve">        </w:t>
      </w:r>
      <w:r>
        <w:rPr>
          <w:lang w:eastAsia="zh-CN"/>
        </w:rPr>
        <w:t>simConnInd</w:t>
      </w:r>
      <w:r>
        <w:t>:</w:t>
      </w:r>
    </w:p>
    <w:p>
      <w:pPr>
        <w:pStyle w:val="111"/>
      </w:pPr>
      <w:r>
        <w:t xml:space="preserve">          type: boolean</w:t>
      </w:r>
    </w:p>
    <w:p>
      <w:pPr>
        <w:pStyle w:val="111"/>
        <w:rPr>
          <w:rFonts w:eastAsia="Batang"/>
        </w:rPr>
      </w:pPr>
      <w:r>
        <w:rPr>
          <w:rFonts w:eastAsia="Batang"/>
        </w:rPr>
        <w:t xml:space="preserve">          description: &gt;</w:t>
      </w:r>
    </w:p>
    <w:p>
      <w:pPr>
        <w:pStyle w:val="111"/>
        <w:rPr>
          <w:rFonts w:cs="Arial"/>
          <w:szCs w:val="18"/>
        </w:rPr>
      </w:pPr>
      <w:r>
        <w:rPr>
          <w:rFonts w:eastAsia="Batang"/>
        </w:rPr>
        <w:t xml:space="preserve">            </w:t>
      </w:r>
      <w:r>
        <w:rPr>
          <w:rFonts w:cs="Arial"/>
          <w:szCs w:val="18"/>
        </w:rPr>
        <w:t>Indicates whether simultaneous connectivity should be temporarily maintained for the</w:t>
      </w:r>
    </w:p>
    <w:p>
      <w:pPr>
        <w:pStyle w:val="111"/>
      </w:pPr>
      <w:r>
        <w:rPr>
          <w:rFonts w:eastAsia="Batang"/>
        </w:rPr>
        <w:t xml:space="preserve">            </w:t>
      </w:r>
      <w:r>
        <w:rPr>
          <w:rFonts w:cs="Arial"/>
          <w:szCs w:val="18"/>
        </w:rPr>
        <w:t>source and target PSA.</w:t>
      </w:r>
    </w:p>
    <w:p>
      <w:pPr>
        <w:pStyle w:val="111"/>
        <w:rPr>
          <w:lang w:eastAsia="es-ES"/>
        </w:rPr>
      </w:pPr>
      <w:r>
        <w:rPr>
          <w:lang w:eastAsia="es-ES"/>
        </w:rPr>
        <w:t xml:space="preserve">        </w:t>
      </w:r>
      <w:r>
        <w:rPr>
          <w:lang w:eastAsia="zh-CN"/>
        </w:rPr>
        <w:t>simConnTerm</w:t>
      </w:r>
      <w:r>
        <w:rPr>
          <w:lang w:eastAsia="es-ES"/>
        </w:rPr>
        <w:t>:</w:t>
      </w:r>
    </w:p>
    <w:p>
      <w:pPr>
        <w:pStyle w:val="111"/>
        <w:rPr>
          <w:lang w:eastAsia="es-ES"/>
        </w:rPr>
      </w:pPr>
      <w:r>
        <w:rPr>
          <w:lang w:eastAsia="es-ES"/>
        </w:rPr>
        <w:t xml:space="preserve">          $ref: 'TS29571_CommonData.yaml#/components/schemas/DurationSec'</w:t>
      </w:r>
    </w:p>
    <w:p>
      <w:pPr>
        <w:pStyle w:val="111"/>
      </w:pPr>
      <w:r>
        <w:t xml:space="preserve">        easIpReplaceInfos:</w:t>
      </w:r>
    </w:p>
    <w:p>
      <w:pPr>
        <w:pStyle w:val="111"/>
      </w:pPr>
      <w:r>
        <w:t xml:space="preserve">          type: array</w:t>
      </w:r>
    </w:p>
    <w:p>
      <w:pPr>
        <w:pStyle w:val="111"/>
      </w:pPr>
      <w:r>
        <w:t xml:space="preserve">          items:</w:t>
      </w:r>
    </w:p>
    <w:p>
      <w:pPr>
        <w:pStyle w:val="111"/>
      </w:pPr>
      <w:r>
        <w:t xml:space="preserve">            $ref: '</w:t>
      </w:r>
      <w:r>
        <w:rPr>
          <w:rFonts w:cs="Courier New"/>
          <w:szCs w:val="16"/>
        </w:rPr>
        <w:t>TS29571_CommonData.yaml</w:t>
      </w:r>
      <w:r>
        <w:t>#/components/schemas/EasIpReplacementInfo'</w:t>
      </w:r>
    </w:p>
    <w:p>
      <w:pPr>
        <w:pStyle w:val="111"/>
      </w:pPr>
      <w:r>
        <w:t xml:space="preserve">          minItems: 1</w:t>
      </w:r>
    </w:p>
    <w:p>
      <w:pPr>
        <w:pStyle w:val="111"/>
      </w:pPr>
      <w:r>
        <w:t xml:space="preserve">          description: Contains EAS IP replacement information</w:t>
      </w:r>
      <w:r>
        <w:rPr>
          <w:rFonts w:cs="Arial"/>
          <w:szCs w:val="18"/>
          <w:lang w:eastAsia="zh-CN"/>
        </w:rPr>
        <w:t>.</w:t>
      </w:r>
    </w:p>
    <w:p>
      <w:pPr>
        <w:pStyle w:val="111"/>
      </w:pPr>
      <w:r>
        <w:t xml:space="preserve">        easRedisInd:</w:t>
      </w:r>
    </w:p>
    <w:p>
      <w:pPr>
        <w:pStyle w:val="111"/>
      </w:pPr>
      <w:r>
        <w:t xml:space="preserve">          type: boolean</w:t>
      </w:r>
    </w:p>
    <w:p>
      <w:pPr>
        <w:pStyle w:val="111"/>
        <w:rPr>
          <w:rFonts w:cs="Arial"/>
          <w:szCs w:val="18"/>
          <w:lang w:eastAsia="zh-CN"/>
        </w:rPr>
      </w:pPr>
      <w:r>
        <w:t xml:space="preserve">          description: Indicates the EAS rediscovery is required</w:t>
      </w:r>
      <w:r>
        <w:rPr>
          <w:rFonts w:cs="Arial"/>
          <w:szCs w:val="18"/>
          <w:lang w:eastAsia="zh-CN"/>
        </w:rPr>
        <w:t>.</w:t>
      </w:r>
    </w:p>
    <w:p>
      <w:pPr>
        <w:pStyle w:val="111"/>
      </w:pPr>
      <w:r>
        <w:t xml:space="preserve">        maxAllowedUpLat:</w:t>
      </w:r>
    </w:p>
    <w:p>
      <w:pPr>
        <w:pStyle w:val="111"/>
      </w:pPr>
      <w:r>
        <w:t xml:space="preserve">          $ref: 'TS29571_CommonData.yaml#/components/schemas/Uinteger'</w:t>
      </w:r>
    </w:p>
    <w:p>
      <w:pPr>
        <w:pStyle w:val="111"/>
        <w:rPr>
          <w:rFonts w:cs="Courier New"/>
          <w:szCs w:val="16"/>
        </w:rPr>
      </w:pPr>
      <w:r>
        <w:rPr>
          <w:rFonts w:cs="Courier New"/>
          <w:szCs w:val="16"/>
        </w:rPr>
        <w:t xml:space="preserve">        tfcCorreInfo:</w:t>
      </w:r>
    </w:p>
    <w:p>
      <w:pPr>
        <w:pStyle w:val="111"/>
      </w:pPr>
      <w:r>
        <w:rPr>
          <w:rFonts w:cs="Courier New"/>
          <w:szCs w:val="16"/>
        </w:rPr>
        <w:t xml:space="preserve">          $ref: 'TS29522_</w:t>
      </w:r>
      <w:r>
        <w:t>TrafficInfluence</w:t>
      </w:r>
      <w:r>
        <w:rPr>
          <w:rFonts w:cs="Courier New"/>
          <w:szCs w:val="16"/>
        </w:rPr>
        <w:t>.yaml#/components/schemas/TrafficCorrelationInfo'</w:t>
      </w:r>
    </w:p>
    <w:p>
      <w:pPr>
        <w:pStyle w:val="111"/>
        <w:rPr>
          <w:rFonts w:cs="Courier New"/>
          <w:szCs w:val="16"/>
        </w:rPr>
      </w:pPr>
      <w:r>
        <w:rPr>
          <w:rFonts w:cs="Courier New"/>
          <w:szCs w:val="16"/>
        </w:rPr>
        <w:t xml:space="preserve">    AfSfcRequirement:</w:t>
      </w:r>
    </w:p>
    <w:p>
      <w:pPr>
        <w:pStyle w:val="111"/>
        <w:rPr>
          <w:rFonts w:cs="Courier New"/>
          <w:szCs w:val="16"/>
        </w:rPr>
      </w:pPr>
      <w:r>
        <w:rPr>
          <w:rFonts w:cs="Courier New"/>
          <w:szCs w:val="16"/>
        </w:rPr>
        <w:t xml:space="preserve">      description: Describes AF requirements on steering traffic to N6-LAN.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pPr>
      <w:r>
        <w:t xml:space="preserve">        sfcDlId:</w:t>
      </w:r>
    </w:p>
    <w:p>
      <w:pPr>
        <w:pStyle w:val="111"/>
      </w:pPr>
      <w:r>
        <w:t xml:space="preserve">          type: string</w:t>
      </w:r>
    </w:p>
    <w:p>
      <w:pPr>
        <w:pStyle w:val="111"/>
      </w:pPr>
      <w:r>
        <w:t xml:space="preserve">          description: Reference to a pre-configured SFC policy for downlink traffic.</w:t>
      </w:r>
    </w:p>
    <w:p>
      <w:pPr>
        <w:pStyle w:val="111"/>
        <w:rPr>
          <w:rFonts w:cs="Courier New"/>
          <w:szCs w:val="16"/>
        </w:rPr>
      </w:pPr>
      <w:r>
        <w:rPr>
          <w:rFonts w:cs="Courier New"/>
          <w:szCs w:val="16"/>
        </w:rPr>
        <w:t xml:space="preserve">          nullable: true</w:t>
      </w:r>
    </w:p>
    <w:p>
      <w:pPr>
        <w:pStyle w:val="111"/>
      </w:pPr>
      <w:r>
        <w:t xml:space="preserve">        sfcUlId:</w:t>
      </w:r>
    </w:p>
    <w:p>
      <w:pPr>
        <w:pStyle w:val="111"/>
      </w:pPr>
      <w:r>
        <w:t xml:space="preserve">          type: string</w:t>
      </w:r>
    </w:p>
    <w:p>
      <w:pPr>
        <w:pStyle w:val="111"/>
      </w:pPr>
      <w:r>
        <w:t xml:space="preserve">          description: Reference to a pre-configured SFC policy for uplink traffic.</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spVal:</w:t>
      </w:r>
    </w:p>
    <w:p>
      <w:pPr>
        <w:pStyle w:val="111"/>
        <w:rPr>
          <w:rFonts w:cs="Courier New"/>
          <w:szCs w:val="16"/>
        </w:rPr>
      </w:pPr>
      <w:r>
        <w:rPr>
          <w:rFonts w:cs="Courier New"/>
          <w:szCs w:val="16"/>
        </w:rPr>
        <w:t xml:space="preserve">          $ref: '#/components/schemas/SpatialValidityRm'</w:t>
      </w:r>
    </w:p>
    <w:p>
      <w:pPr>
        <w:pStyle w:val="111"/>
        <w:rPr>
          <w:rFonts w:cs="Courier New"/>
          <w:szCs w:val="16"/>
        </w:rPr>
      </w:pPr>
      <w:r>
        <w:rPr>
          <w:rFonts w:cs="Courier New"/>
          <w:szCs w:val="16"/>
        </w:rPr>
        <w:t xml:space="preserve">        metadata:</w:t>
      </w:r>
    </w:p>
    <w:p>
      <w:pPr>
        <w:pStyle w:val="111"/>
      </w:pPr>
      <w:r>
        <w:t xml:space="preserve">          $ref: 'TS29571_CommonData.yaml#/components/schemas/Metadata'</w:t>
      </w:r>
    </w:p>
    <w:p>
      <w:pPr>
        <w:pStyle w:val="111"/>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SpatialValidity:</w:t>
      </w:r>
    </w:p>
    <w:p>
      <w:pPr>
        <w:pStyle w:val="111"/>
        <w:rPr>
          <w:rFonts w:cs="Courier New"/>
          <w:szCs w:val="16"/>
        </w:rPr>
      </w:pPr>
      <w:r>
        <w:rPr>
          <w:rFonts w:cs="Courier New"/>
          <w:szCs w:val="16"/>
        </w:rPr>
        <w:t xml:space="preserve">      description: Describes explicitly the route to an Application location.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presenceInfoList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presenceInfoList:</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additionalProperties:</w:t>
      </w:r>
    </w:p>
    <w:p>
      <w:pPr>
        <w:pStyle w:val="111"/>
        <w:rPr>
          <w:rFonts w:cs="Courier New"/>
          <w:szCs w:val="16"/>
        </w:rPr>
      </w:pPr>
      <w:r>
        <w:rPr>
          <w:rFonts w:cs="Courier New"/>
          <w:szCs w:val="16"/>
        </w:rPr>
        <w:t xml:space="preserve">            $ref: 'TS29571_CommonData.yaml#/components/schemas/PresenceInfo'</w:t>
      </w:r>
    </w:p>
    <w:p>
      <w:pPr>
        <w:pStyle w:val="111"/>
        <w:rPr>
          <w:rFonts w:cs="Courier New"/>
          <w:szCs w:val="16"/>
        </w:rPr>
      </w:pPr>
      <w:r>
        <w:rPr>
          <w:rFonts w:cs="Courier New"/>
          <w:szCs w:val="16"/>
        </w:rPr>
        <w:t xml:space="preserve">          minProperties: 1</w:t>
      </w:r>
    </w:p>
    <w:p>
      <w:pPr>
        <w:pStyle w:val="111"/>
        <w:rPr>
          <w:rFonts w:cs="Courier New"/>
          <w:szCs w:val="16"/>
        </w:rPr>
      </w:pPr>
      <w:r>
        <w:rPr>
          <w:rFonts w:cs="Courier New"/>
          <w:szCs w:val="16"/>
        </w:rPr>
        <w:t xml:space="preserve">          description: &gt;</w:t>
      </w:r>
    </w:p>
    <w:p>
      <w:pPr>
        <w:pStyle w:val="111"/>
        <w:rPr>
          <w:lang w:eastAsia="zh-CN"/>
        </w:rPr>
      </w:pPr>
      <w:r>
        <w:rPr>
          <w:rFonts w:cs="Courier New"/>
          <w:szCs w:val="16"/>
        </w:rPr>
        <w:t xml:space="preserve">            </w:t>
      </w:r>
      <w:r>
        <w:rPr>
          <w:rFonts w:eastAsia="等线"/>
          <w:lang w:eastAsia="zh-CN"/>
        </w:rPr>
        <w:t>Defines the presence information provisioned by the AF</w:t>
      </w:r>
      <w:r>
        <w:rPr>
          <w:lang w:eastAsia="zh-CN"/>
        </w:rPr>
        <w:t xml:space="preserve">. </w:t>
      </w:r>
      <w:r>
        <w:t xml:space="preserve">The </w:t>
      </w:r>
      <w:r>
        <w:rPr>
          <w:lang w:eastAsia="zh-CN"/>
        </w:rPr>
        <w:t>praId attribute within the</w:t>
      </w:r>
    </w:p>
    <w:p>
      <w:pPr>
        <w:pStyle w:val="111"/>
        <w:rPr>
          <w:rFonts w:cs="Courier New"/>
          <w:szCs w:val="16"/>
        </w:rPr>
      </w:pPr>
      <w:r>
        <w:rPr>
          <w:rFonts w:cs="Courier New"/>
          <w:szCs w:val="16"/>
        </w:rPr>
        <w:t xml:space="preserve">            </w:t>
      </w:r>
      <w:r>
        <w:rPr>
          <w:lang w:eastAsia="zh-CN"/>
        </w:rPr>
        <w:t>PresenceInfo data type is the key of the map.</w:t>
      </w:r>
    </w:p>
    <w:p>
      <w:pPr>
        <w:pStyle w:val="111"/>
        <w:rPr>
          <w:rFonts w:cs="Courier New"/>
          <w:szCs w:val="16"/>
        </w:rPr>
      </w:pPr>
    </w:p>
    <w:p>
      <w:pPr>
        <w:pStyle w:val="111"/>
        <w:rPr>
          <w:rFonts w:cs="Courier New"/>
          <w:szCs w:val="16"/>
        </w:rPr>
      </w:pPr>
      <w:r>
        <w:rPr>
          <w:rFonts w:cs="Courier New"/>
          <w:szCs w:val="16"/>
        </w:rPr>
        <w:t xml:space="preserve">    SpatialValidityRm:</w:t>
      </w:r>
    </w:p>
    <w:p>
      <w:pPr>
        <w:pStyle w:val="111"/>
        <w:rPr>
          <w:rFonts w:cs="Courier New"/>
          <w:szCs w:val="16"/>
        </w:rPr>
      </w:pPr>
      <w:r>
        <w:rPr>
          <w:rFonts w:cs="Courier New"/>
          <w:szCs w:val="16"/>
        </w:rPr>
        <w:t xml:space="preserve">      description: &gt;</w:t>
      </w:r>
    </w:p>
    <w:p>
      <w:pPr>
        <w:pStyle w:val="111"/>
      </w:pPr>
      <w:r>
        <w:rPr>
          <w:rFonts w:cs="Courier New"/>
          <w:szCs w:val="16"/>
        </w:rPr>
        <w:t xml:space="preserve">        </w:t>
      </w:r>
      <w:r>
        <w:t>This data type is defined in the same way as the SpatialValidity data type, but with the</w:t>
      </w:r>
    </w:p>
    <w:p>
      <w:pPr>
        <w:pStyle w:val="111"/>
        <w:rPr>
          <w:rFonts w:cs="Courier New"/>
          <w:szCs w:val="16"/>
        </w:rPr>
      </w:pPr>
      <w:r>
        <w:rPr>
          <w:rFonts w:cs="Courier New"/>
          <w:szCs w:val="16"/>
        </w:rPr>
        <w:t xml:space="preserve">        </w:t>
      </w:r>
      <w:r>
        <w:t>OpenAPI nullable property set to true.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presenceInfoList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presenceInfoList:</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additionalProperties:</w:t>
      </w:r>
    </w:p>
    <w:p>
      <w:pPr>
        <w:pStyle w:val="111"/>
        <w:rPr>
          <w:rFonts w:cs="Courier New"/>
          <w:szCs w:val="16"/>
        </w:rPr>
      </w:pPr>
      <w:r>
        <w:rPr>
          <w:rFonts w:cs="Courier New"/>
          <w:szCs w:val="16"/>
        </w:rPr>
        <w:t xml:space="preserve">            $ref: 'TS29571_CommonData.yaml#/components/schemas/PresenceInfo'</w:t>
      </w:r>
    </w:p>
    <w:p>
      <w:pPr>
        <w:pStyle w:val="111"/>
        <w:rPr>
          <w:rFonts w:cs="Courier New"/>
          <w:szCs w:val="16"/>
        </w:rPr>
      </w:pPr>
      <w:r>
        <w:rPr>
          <w:rFonts w:cs="Courier New"/>
          <w:szCs w:val="16"/>
        </w:rPr>
        <w:t xml:space="preserve">          minProperties: 1</w:t>
      </w:r>
    </w:p>
    <w:p>
      <w:pPr>
        <w:pStyle w:val="111"/>
        <w:rPr>
          <w:rFonts w:cs="Courier New"/>
          <w:szCs w:val="16"/>
        </w:rPr>
      </w:pPr>
      <w:r>
        <w:rPr>
          <w:rFonts w:cs="Courier New"/>
          <w:szCs w:val="16"/>
        </w:rPr>
        <w:t xml:space="preserve">          description: &gt;</w:t>
      </w:r>
    </w:p>
    <w:p>
      <w:pPr>
        <w:pStyle w:val="111"/>
        <w:rPr>
          <w:lang w:eastAsia="zh-CN"/>
        </w:rPr>
      </w:pPr>
      <w:r>
        <w:rPr>
          <w:rFonts w:cs="Courier New"/>
          <w:szCs w:val="16"/>
        </w:rPr>
        <w:t xml:space="preserve">            </w:t>
      </w:r>
      <w:r>
        <w:rPr>
          <w:rFonts w:eastAsia="等线"/>
          <w:lang w:eastAsia="zh-CN"/>
        </w:rPr>
        <w:t>Defines the presence information provisioned by the AF</w:t>
      </w:r>
      <w:r>
        <w:rPr>
          <w:lang w:eastAsia="zh-CN"/>
        </w:rPr>
        <w:t xml:space="preserve">. </w:t>
      </w:r>
      <w:r>
        <w:t xml:space="preserve">The </w:t>
      </w:r>
      <w:r>
        <w:rPr>
          <w:lang w:eastAsia="zh-CN"/>
        </w:rPr>
        <w:t xml:space="preserve">praId attribute within the </w:t>
      </w:r>
    </w:p>
    <w:p>
      <w:pPr>
        <w:pStyle w:val="111"/>
        <w:rPr>
          <w:rFonts w:cs="Courier New"/>
          <w:szCs w:val="16"/>
        </w:rPr>
      </w:pPr>
      <w:r>
        <w:rPr>
          <w:rFonts w:cs="Courier New"/>
          <w:szCs w:val="16"/>
        </w:rPr>
        <w:t xml:space="preserve">            </w:t>
      </w:r>
      <w:r>
        <w:rPr>
          <w:lang w:eastAsia="zh-CN"/>
        </w:rPr>
        <w:t>PresenceInfo data type is the key of the map.</w:t>
      </w:r>
    </w:p>
    <w:p>
      <w:pPr>
        <w:pStyle w:val="111"/>
        <w:rPr>
          <w:rFonts w:cs="Courier New"/>
          <w:szCs w:val="16"/>
        </w:rPr>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AfRoutingRequirementRm:</w:t>
      </w:r>
    </w:p>
    <w:p>
      <w:pPr>
        <w:pStyle w:val="111"/>
        <w:rPr>
          <w:rFonts w:cs="Courier New"/>
          <w:szCs w:val="16"/>
        </w:rPr>
      </w:pPr>
      <w:r>
        <w:rPr>
          <w:rFonts w:cs="Courier New"/>
          <w:szCs w:val="16"/>
        </w:rPr>
        <w:t xml:space="preserve">      description: &gt;</w:t>
      </w:r>
    </w:p>
    <w:p>
      <w:pPr>
        <w:pStyle w:val="111"/>
      </w:pPr>
      <w:r>
        <w:rPr>
          <w:rFonts w:cs="Courier New"/>
          <w:szCs w:val="16"/>
        </w:rPr>
        <w:t xml:space="preserve">        </w:t>
      </w:r>
      <w:r>
        <w:t>This data type is defined in the same way as the AfRoutingRequirement data type, but with</w:t>
      </w:r>
    </w:p>
    <w:p>
      <w:pPr>
        <w:pStyle w:val="111"/>
      </w:pPr>
      <w:r>
        <w:t xml:space="preserve">        the OpenAPI nullable property set to true and the spVal and tempVals attributes defined as</w:t>
      </w:r>
    </w:p>
    <w:p>
      <w:pPr>
        <w:pStyle w:val="111"/>
        <w:rPr>
          <w:rFonts w:cs="Courier New"/>
          <w:szCs w:val="16"/>
        </w:rPr>
      </w:pPr>
      <w:r>
        <w:t xml:space="preserve">        removable.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appReloc:</w:t>
      </w:r>
    </w:p>
    <w:p>
      <w:pPr>
        <w:pStyle w:val="111"/>
        <w:rPr>
          <w:rFonts w:cs="Courier New"/>
          <w:szCs w:val="16"/>
        </w:rPr>
      </w:pPr>
      <w:r>
        <w:rPr>
          <w:rFonts w:cs="Courier New"/>
          <w:szCs w:val="16"/>
        </w:rPr>
        <w:t xml:space="preserve">          type: boolean</w:t>
      </w:r>
    </w:p>
    <w:p>
      <w:pPr>
        <w:pStyle w:val="111"/>
        <w:rPr>
          <w:rFonts w:cs="Courier New"/>
          <w:szCs w:val="16"/>
        </w:rPr>
      </w:pPr>
      <w:r>
        <w:rPr>
          <w:rFonts w:cs="Courier New"/>
          <w:szCs w:val="16"/>
        </w:rPr>
        <w:t xml:space="preserve">        routeToLocs: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'TS29571_CommonData.yaml#/components/schemas/RouteToLocation'</w:t>
      </w:r>
    </w:p>
    <w:p>
      <w:pPr>
        <w:pStyle w:val="111"/>
        <w:rPr>
          <w:rFonts w:cs="Courier New"/>
          <w:szCs w:val="16"/>
        </w:rPr>
      </w:pPr>
      <w:r>
        <w:rPr>
          <w:rFonts w:cs="Courier New"/>
          <w:szCs w:val="16"/>
        </w:rPr>
        <w:t xml:space="preserve">          minItems: 1</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spVal:</w:t>
      </w:r>
    </w:p>
    <w:p>
      <w:pPr>
        <w:pStyle w:val="111"/>
        <w:rPr>
          <w:rFonts w:cs="Courier New"/>
          <w:szCs w:val="16"/>
        </w:rPr>
      </w:pPr>
      <w:r>
        <w:rPr>
          <w:rFonts w:cs="Courier New"/>
          <w:szCs w:val="16"/>
        </w:rPr>
        <w:t xml:space="preserve">          $ref: '#/components/schemas/SpatialValidityRm'</w:t>
      </w:r>
    </w:p>
    <w:p>
      <w:pPr>
        <w:pStyle w:val="111"/>
        <w:rPr>
          <w:rFonts w:cs="Courier New"/>
          <w:szCs w:val="16"/>
        </w:rPr>
      </w:pPr>
      <w:r>
        <w:rPr>
          <w:rFonts w:cs="Courier New"/>
          <w:szCs w:val="16"/>
        </w:rPr>
        <w:t xml:space="preserve">        tempVals: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'#/components/schemas/TemporalValidity'</w:t>
      </w:r>
    </w:p>
    <w:p>
      <w:pPr>
        <w:pStyle w:val="111"/>
        <w:rPr>
          <w:rFonts w:cs="Courier New"/>
          <w:szCs w:val="16"/>
        </w:rPr>
      </w:pPr>
      <w:r>
        <w:rPr>
          <w:rFonts w:cs="Courier New"/>
          <w:szCs w:val="16"/>
        </w:rPr>
        <w:t xml:space="preserve">          minItems: 1</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upPathChgSub:</w:t>
      </w:r>
    </w:p>
    <w:p>
      <w:pPr>
        <w:pStyle w:val="111"/>
        <w:rPr>
          <w:rFonts w:cs="Courier New"/>
          <w:szCs w:val="16"/>
        </w:rPr>
      </w:pPr>
      <w:r>
        <w:rPr>
          <w:rFonts w:cs="Courier New"/>
          <w:szCs w:val="16"/>
        </w:rPr>
        <w:t xml:space="preserve">          $ref: 'TS29512_Npcf_SMPolicyControl.yaml#/components/schemas/UpPathChgEvent'</w:t>
      </w:r>
    </w:p>
    <w:p>
      <w:pPr>
        <w:pStyle w:val="111"/>
      </w:pPr>
      <w:r>
        <w:t xml:space="preserve">        </w:t>
      </w:r>
      <w:r>
        <w:rPr>
          <w:lang w:eastAsia="zh-CN"/>
        </w:rPr>
        <w:t>addrPreserInd</w:t>
      </w:r>
      <w:r>
        <w:t>:</w:t>
      </w:r>
    </w:p>
    <w:p>
      <w:pPr>
        <w:pStyle w:val="111"/>
      </w:pPr>
      <w:r>
        <w:t xml:space="preserve">          type: boolean</w:t>
      </w:r>
    </w:p>
    <w:p>
      <w:pPr>
        <w:pStyle w:val="111"/>
        <w:rPr>
          <w:rFonts w:cs="Courier New"/>
          <w:szCs w:val="16"/>
        </w:rPr>
      </w:pPr>
      <w:r>
        <w:rPr>
          <w:rFonts w:cs="Courier New"/>
          <w:szCs w:val="16"/>
        </w:rPr>
        <w:t xml:space="preserve">          nullable: true</w:t>
      </w:r>
    </w:p>
    <w:p>
      <w:pPr>
        <w:pStyle w:val="111"/>
      </w:pPr>
      <w:r>
        <w:t xml:space="preserve">        </w:t>
      </w:r>
      <w:r>
        <w:rPr>
          <w:lang w:eastAsia="zh-CN"/>
        </w:rPr>
        <w:t>simConnInd</w:t>
      </w:r>
      <w:r>
        <w:t>:</w:t>
      </w:r>
    </w:p>
    <w:p>
      <w:pPr>
        <w:pStyle w:val="111"/>
      </w:pPr>
      <w:r>
        <w:t xml:space="preserve">          type: boolean</w:t>
      </w:r>
    </w:p>
    <w:p>
      <w:pPr>
        <w:pStyle w:val="111"/>
        <w:rPr>
          <w:rFonts w:cs="Courier New"/>
          <w:szCs w:val="16"/>
        </w:rPr>
      </w:pPr>
      <w:r>
        <w:rPr>
          <w:rFonts w:cs="Courier New"/>
          <w:szCs w:val="16"/>
        </w:rPr>
        <w:t xml:space="preserve">          nullable: true</w:t>
      </w:r>
    </w:p>
    <w:p>
      <w:pPr>
        <w:pStyle w:val="111"/>
        <w:rPr>
          <w:rFonts w:eastAsia="Batang"/>
        </w:rPr>
      </w:pPr>
      <w:r>
        <w:rPr>
          <w:rFonts w:eastAsia="Batang"/>
        </w:rPr>
        <w:t xml:space="preserve">          description: &gt;</w:t>
      </w:r>
    </w:p>
    <w:p>
      <w:pPr>
        <w:pStyle w:val="111"/>
        <w:rPr>
          <w:rFonts w:cs="Arial"/>
          <w:szCs w:val="18"/>
        </w:rPr>
      </w:pPr>
      <w:r>
        <w:rPr>
          <w:rFonts w:eastAsia="Batang"/>
        </w:rPr>
        <w:t xml:space="preserve">            </w:t>
      </w:r>
      <w:r>
        <w:rPr>
          <w:rFonts w:cs="Arial"/>
          <w:szCs w:val="18"/>
        </w:rPr>
        <w:t>Indicates whether simultaneous connectivity should be temporarily maintained for the</w:t>
      </w:r>
    </w:p>
    <w:p>
      <w:pPr>
        <w:pStyle w:val="111"/>
      </w:pPr>
      <w:r>
        <w:rPr>
          <w:rFonts w:eastAsia="Batang"/>
        </w:rPr>
        <w:t xml:space="preserve">            </w:t>
      </w:r>
      <w:r>
        <w:rPr>
          <w:rFonts w:cs="Arial"/>
          <w:szCs w:val="18"/>
        </w:rPr>
        <w:t>source and target PSA.</w:t>
      </w:r>
    </w:p>
    <w:p>
      <w:pPr>
        <w:pStyle w:val="111"/>
        <w:rPr>
          <w:lang w:eastAsia="es-ES"/>
        </w:rPr>
      </w:pPr>
      <w:r>
        <w:rPr>
          <w:lang w:eastAsia="es-ES"/>
        </w:rPr>
        <w:t xml:space="preserve">        </w:t>
      </w:r>
      <w:r>
        <w:rPr>
          <w:lang w:eastAsia="zh-CN"/>
        </w:rPr>
        <w:t>simConnTerm</w:t>
      </w:r>
      <w:r>
        <w:rPr>
          <w:lang w:eastAsia="es-ES"/>
        </w:rPr>
        <w:t>:</w:t>
      </w:r>
    </w:p>
    <w:p>
      <w:pPr>
        <w:pStyle w:val="111"/>
        <w:rPr>
          <w:lang w:eastAsia="es-ES"/>
        </w:rPr>
      </w:pPr>
      <w:r>
        <w:rPr>
          <w:lang w:eastAsia="es-ES"/>
        </w:rPr>
        <w:t xml:space="preserve">          $ref: 'TS29571_CommonData.yaml#/components/schemas/DurationSecRm'</w:t>
      </w:r>
    </w:p>
    <w:p>
      <w:pPr>
        <w:pStyle w:val="111"/>
      </w:pPr>
      <w:r>
        <w:t xml:space="preserve">        easIpReplaceInfos:</w:t>
      </w:r>
    </w:p>
    <w:p>
      <w:pPr>
        <w:pStyle w:val="111"/>
      </w:pPr>
      <w:r>
        <w:t xml:space="preserve">          type: array</w:t>
      </w:r>
    </w:p>
    <w:p>
      <w:pPr>
        <w:pStyle w:val="111"/>
      </w:pPr>
      <w:r>
        <w:t xml:space="preserve">          items:</w:t>
      </w:r>
    </w:p>
    <w:p>
      <w:pPr>
        <w:pStyle w:val="111"/>
      </w:pPr>
      <w:r>
        <w:t xml:space="preserve">            $ref: '</w:t>
      </w:r>
      <w:r>
        <w:rPr>
          <w:rFonts w:cs="Courier New"/>
          <w:szCs w:val="16"/>
        </w:rPr>
        <w:t>TS29571_CommonData.yaml</w:t>
      </w:r>
      <w:r>
        <w:t>#/components/schemas/EasIpReplacementInfo'</w:t>
      </w:r>
    </w:p>
    <w:p>
      <w:pPr>
        <w:pStyle w:val="111"/>
      </w:pPr>
      <w:r>
        <w:t xml:space="preserve">          minItems: 1</w:t>
      </w:r>
    </w:p>
    <w:p>
      <w:pPr>
        <w:pStyle w:val="111"/>
        <w:rPr>
          <w:rFonts w:cs="Arial"/>
          <w:szCs w:val="18"/>
          <w:lang w:eastAsia="zh-CN"/>
        </w:rPr>
      </w:pPr>
      <w:r>
        <w:t xml:space="preserve">          description: Contains EAS IP replacement information</w:t>
      </w:r>
      <w:r>
        <w:rPr>
          <w:rFonts w:cs="Arial"/>
          <w:szCs w:val="18"/>
          <w:lang w:eastAsia="zh-CN"/>
        </w:rPr>
        <w:t>.</w:t>
      </w:r>
    </w:p>
    <w:p>
      <w:pPr>
        <w:pStyle w:val="111"/>
        <w:rPr>
          <w:rFonts w:cs="Courier New"/>
          <w:szCs w:val="16"/>
        </w:rPr>
      </w:pPr>
      <w:r>
        <w:rPr>
          <w:rFonts w:cs="Arial"/>
          <w:szCs w:val="18"/>
          <w:lang w:eastAsia="zh-CN"/>
        </w:rPr>
        <w:t xml:space="preserve">          nullable: true</w:t>
      </w:r>
    </w:p>
    <w:p>
      <w:pPr>
        <w:pStyle w:val="111"/>
      </w:pPr>
      <w:r>
        <w:t xml:space="preserve">        easRedisInd:</w:t>
      </w:r>
    </w:p>
    <w:p>
      <w:pPr>
        <w:pStyle w:val="111"/>
      </w:pPr>
      <w:r>
        <w:t xml:space="preserve">          type: boolean</w:t>
      </w:r>
    </w:p>
    <w:p>
      <w:pPr>
        <w:pStyle w:val="111"/>
        <w:rPr>
          <w:rFonts w:cs="Arial"/>
          <w:szCs w:val="18"/>
          <w:lang w:eastAsia="zh-CN"/>
        </w:rPr>
      </w:pPr>
      <w:r>
        <w:t xml:space="preserve">          description: Indicates the EAS rediscovery is required</w:t>
      </w:r>
      <w:r>
        <w:rPr>
          <w:rFonts w:cs="Arial"/>
          <w:szCs w:val="18"/>
          <w:lang w:eastAsia="zh-CN"/>
        </w:rPr>
        <w:t>.</w:t>
      </w:r>
    </w:p>
    <w:p>
      <w:pPr>
        <w:pStyle w:val="111"/>
      </w:pPr>
      <w:r>
        <w:t xml:space="preserve">        maxAllowedUpLat:</w:t>
      </w:r>
    </w:p>
    <w:p>
      <w:pPr>
        <w:pStyle w:val="111"/>
      </w:pPr>
      <w:r>
        <w:t xml:space="preserve">          $ref: 'TS29571_CommonData.yaml#/components/schemas/UintegerRm'</w:t>
      </w:r>
    </w:p>
    <w:p>
      <w:pPr>
        <w:pStyle w:val="111"/>
        <w:rPr>
          <w:rFonts w:cs="Courier New"/>
          <w:szCs w:val="16"/>
        </w:rPr>
      </w:pPr>
      <w:r>
        <w:rPr>
          <w:rFonts w:cs="Courier New"/>
          <w:szCs w:val="16"/>
        </w:rPr>
        <w:t xml:space="preserve">        tfcCorreInfo:</w:t>
      </w:r>
    </w:p>
    <w:p>
      <w:pPr>
        <w:pStyle w:val="111"/>
        <w:rPr>
          <w:rFonts w:cs="Courier New"/>
          <w:szCs w:val="16"/>
        </w:rPr>
      </w:pPr>
      <w:r>
        <w:rPr>
          <w:rFonts w:cs="Courier New"/>
          <w:szCs w:val="16"/>
        </w:rPr>
        <w:t xml:space="preserve">          $ref: 'TS29522_</w:t>
      </w:r>
      <w:r>
        <w:t>TrafficInfluence</w:t>
      </w:r>
      <w:r>
        <w:rPr>
          <w:rFonts w:cs="Courier New"/>
          <w:szCs w:val="16"/>
        </w:rPr>
        <w:t>.yaml#/components/schemas/TrafficCorrelationInfo'</w:t>
      </w:r>
    </w:p>
    <w:p>
      <w:pPr>
        <w:pStyle w:val="111"/>
        <w:rPr>
          <w:rFonts w:cs="Courier New"/>
          <w:szCs w:val="16"/>
        </w:rPr>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AnGwAddress:</w:t>
      </w:r>
    </w:p>
    <w:p>
      <w:pPr>
        <w:pStyle w:val="111"/>
        <w:rPr>
          <w:rFonts w:cs="Courier New"/>
          <w:szCs w:val="16"/>
        </w:rPr>
      </w:pPr>
      <w:r>
        <w:rPr>
          <w:rFonts w:cs="Courier New"/>
          <w:szCs w:val="16"/>
        </w:rPr>
        <w:t xml:space="preserve">      description: Describes the address of the access network gateway control node.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anyOf:</w:t>
      </w:r>
    </w:p>
    <w:p>
      <w:pPr>
        <w:pStyle w:val="111"/>
        <w:rPr>
          <w:rFonts w:cs="Courier New"/>
          <w:szCs w:val="16"/>
        </w:rPr>
      </w:pPr>
      <w:r>
        <w:rPr>
          <w:rFonts w:cs="Courier New"/>
          <w:szCs w:val="16"/>
        </w:rPr>
        <w:t xml:space="preserve">        - required: [anGwIpv4Addr]</w:t>
      </w:r>
    </w:p>
    <w:p>
      <w:pPr>
        <w:pStyle w:val="111"/>
        <w:rPr>
          <w:rFonts w:cs="Courier New"/>
          <w:szCs w:val="16"/>
        </w:rPr>
      </w:pPr>
      <w:r>
        <w:rPr>
          <w:rFonts w:cs="Courier New"/>
          <w:szCs w:val="16"/>
        </w:rPr>
        <w:t xml:space="preserve">        - required: [anGwIpv6Addr]</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anGwIpv4Addr:</w:t>
      </w:r>
    </w:p>
    <w:p>
      <w:pPr>
        <w:pStyle w:val="111"/>
        <w:rPr>
          <w:rFonts w:cs="Courier New"/>
          <w:szCs w:val="16"/>
        </w:rPr>
      </w:pPr>
      <w:r>
        <w:rPr>
          <w:rFonts w:cs="Courier New"/>
          <w:szCs w:val="16"/>
        </w:rPr>
        <w:t xml:space="preserve">          $ref: 'TS29571_CommonData.yaml#/components/schemas/Ipv4Addr'</w:t>
      </w:r>
    </w:p>
    <w:p>
      <w:pPr>
        <w:pStyle w:val="111"/>
        <w:rPr>
          <w:rFonts w:cs="Courier New"/>
          <w:szCs w:val="16"/>
        </w:rPr>
      </w:pPr>
      <w:r>
        <w:rPr>
          <w:rFonts w:cs="Courier New"/>
          <w:szCs w:val="16"/>
        </w:rPr>
        <w:t xml:space="preserve">        anGwIpv6Addr:</w:t>
      </w:r>
    </w:p>
    <w:p>
      <w:pPr>
        <w:pStyle w:val="111"/>
        <w:rPr>
          <w:rFonts w:cs="Courier New"/>
          <w:szCs w:val="16"/>
        </w:rPr>
      </w:pPr>
      <w:r>
        <w:rPr>
          <w:rFonts w:cs="Courier New"/>
          <w:szCs w:val="16"/>
        </w:rPr>
        <w:t xml:space="preserve">          $ref: 'TS29571_CommonData.yaml#/components/schemas/Ipv6Addr'</w:t>
      </w:r>
    </w:p>
    <w:p>
      <w:pPr>
        <w:pStyle w:val="111"/>
        <w:rPr>
          <w:rFonts w:cs="Courier New"/>
          <w:szCs w:val="16"/>
        </w:rPr>
      </w:pPr>
    </w:p>
    <w:p>
      <w:pPr>
        <w:pStyle w:val="111"/>
        <w:rPr>
          <w:rFonts w:cs="Courier New"/>
          <w:szCs w:val="16"/>
        </w:rPr>
      </w:pPr>
      <w:r>
        <w:rPr>
          <w:rFonts w:cs="Courier New"/>
          <w:szCs w:val="16"/>
        </w:rPr>
        <w:t xml:space="preserve">    Flows:</w:t>
      </w:r>
    </w:p>
    <w:p>
      <w:pPr>
        <w:pStyle w:val="111"/>
        <w:rPr>
          <w:rFonts w:cs="Courier New"/>
          <w:szCs w:val="16"/>
        </w:rPr>
      </w:pPr>
      <w:r>
        <w:rPr>
          <w:rFonts w:cs="Courier New"/>
          <w:szCs w:val="16"/>
        </w:rPr>
        <w:t xml:space="preserve">      description: Identifies the flows.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medCompN</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contVers: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'#/components/schemas/ContentVersion'</w:t>
      </w:r>
    </w:p>
    <w:p>
      <w:pPr>
        <w:pStyle w:val="111"/>
      </w:pPr>
      <w:r>
        <w:t xml:space="preserve">          minItems: 1</w:t>
      </w:r>
    </w:p>
    <w:p>
      <w:pPr>
        <w:pStyle w:val="111"/>
        <w:rPr>
          <w:rFonts w:cs="Courier New"/>
          <w:szCs w:val="16"/>
        </w:rPr>
      </w:pPr>
      <w:r>
        <w:rPr>
          <w:rFonts w:cs="Courier New"/>
          <w:szCs w:val="16"/>
        </w:rPr>
        <w:t xml:space="preserve">        fNums: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type: integer</w:t>
      </w:r>
    </w:p>
    <w:p>
      <w:pPr>
        <w:pStyle w:val="111"/>
      </w:pPr>
      <w:r>
        <w:t xml:space="preserve">          minItems: 1</w:t>
      </w:r>
    </w:p>
    <w:p>
      <w:pPr>
        <w:pStyle w:val="111"/>
        <w:rPr>
          <w:rFonts w:cs="Courier New"/>
          <w:szCs w:val="16"/>
        </w:rPr>
      </w:pPr>
      <w:r>
        <w:rPr>
          <w:rFonts w:cs="Courier New"/>
          <w:szCs w:val="16"/>
        </w:rPr>
        <w:t xml:space="preserve">        medCompN:</w:t>
      </w:r>
    </w:p>
    <w:p>
      <w:pPr>
        <w:pStyle w:val="111"/>
        <w:rPr>
          <w:rFonts w:cs="Courier New"/>
          <w:szCs w:val="16"/>
        </w:rPr>
      </w:pPr>
      <w:r>
        <w:rPr>
          <w:rFonts w:cs="Courier New"/>
          <w:szCs w:val="16"/>
        </w:rPr>
        <w:t xml:space="preserve">          type: integer</w:t>
      </w:r>
    </w:p>
    <w:p>
      <w:pPr>
        <w:pStyle w:val="111"/>
        <w:rPr>
          <w:rFonts w:cs="Courier New"/>
          <w:szCs w:val="16"/>
        </w:rPr>
      </w:pPr>
    </w:p>
    <w:p>
      <w:pPr>
        <w:pStyle w:val="111"/>
        <w:rPr>
          <w:rFonts w:cs="Courier New"/>
          <w:szCs w:val="16"/>
        </w:rPr>
      </w:pPr>
      <w:r>
        <w:rPr>
          <w:rFonts w:cs="Courier New"/>
          <w:szCs w:val="16"/>
        </w:rPr>
        <w:t xml:space="preserve">    EthFlowDescription:</w:t>
      </w:r>
    </w:p>
    <w:p>
      <w:pPr>
        <w:pStyle w:val="111"/>
        <w:rPr>
          <w:rFonts w:cs="Courier New"/>
          <w:szCs w:val="16"/>
        </w:rPr>
      </w:pPr>
      <w:r>
        <w:rPr>
          <w:rFonts w:cs="Courier New"/>
          <w:szCs w:val="16"/>
        </w:rPr>
        <w:t xml:space="preserve">      description: Identifies an Ethernet flow.</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ethType</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destMacAddr:</w:t>
      </w:r>
    </w:p>
    <w:p>
      <w:pPr>
        <w:pStyle w:val="111"/>
        <w:rPr>
          <w:rFonts w:cs="Courier New"/>
          <w:szCs w:val="16"/>
        </w:rPr>
      </w:pPr>
      <w:r>
        <w:rPr>
          <w:rFonts w:cs="Courier New"/>
          <w:szCs w:val="16"/>
        </w:rPr>
        <w:t xml:space="preserve">          $ref: 'TS29571_CommonData.yaml#/components/schemas/MacAddr48'</w:t>
      </w:r>
    </w:p>
    <w:p>
      <w:pPr>
        <w:pStyle w:val="111"/>
        <w:rPr>
          <w:rFonts w:cs="Courier New"/>
          <w:szCs w:val="16"/>
        </w:rPr>
      </w:pPr>
      <w:r>
        <w:rPr>
          <w:rFonts w:cs="Courier New"/>
          <w:szCs w:val="16"/>
        </w:rPr>
        <w:t xml:space="preserve">        ethType:</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fDesc:</w:t>
      </w:r>
    </w:p>
    <w:p>
      <w:pPr>
        <w:pStyle w:val="111"/>
        <w:rPr>
          <w:rFonts w:cs="Courier New"/>
          <w:szCs w:val="16"/>
        </w:rPr>
      </w:pPr>
      <w:r>
        <w:rPr>
          <w:rFonts w:cs="Courier New"/>
          <w:szCs w:val="16"/>
        </w:rPr>
        <w:t xml:space="preserve">          $ref: '#/components/schemas/FlowDescription'</w:t>
      </w:r>
    </w:p>
    <w:p>
      <w:pPr>
        <w:pStyle w:val="111"/>
        <w:rPr>
          <w:rFonts w:cs="Courier New"/>
          <w:szCs w:val="16"/>
        </w:rPr>
      </w:pPr>
      <w:r>
        <w:rPr>
          <w:rFonts w:cs="Courier New"/>
          <w:szCs w:val="16"/>
        </w:rPr>
        <w:t xml:space="preserve">        fDir:</w:t>
      </w:r>
    </w:p>
    <w:p>
      <w:pPr>
        <w:pStyle w:val="111"/>
        <w:rPr>
          <w:rFonts w:cs="Courier New"/>
          <w:szCs w:val="16"/>
        </w:rPr>
      </w:pPr>
      <w:r>
        <w:rPr>
          <w:rFonts w:cs="Courier New"/>
          <w:szCs w:val="16"/>
        </w:rPr>
        <w:t xml:space="preserve">          $ref: 'TS29512_Npcf_SMPolicyControl.yaml#/components/schemas/FlowDirection'</w:t>
      </w:r>
    </w:p>
    <w:p>
      <w:pPr>
        <w:pStyle w:val="111"/>
        <w:rPr>
          <w:rFonts w:cs="Courier New"/>
          <w:szCs w:val="16"/>
        </w:rPr>
      </w:pPr>
      <w:r>
        <w:rPr>
          <w:rFonts w:cs="Courier New"/>
          <w:szCs w:val="16"/>
        </w:rPr>
        <w:t xml:space="preserve">        sourceMacAddr:</w:t>
      </w:r>
    </w:p>
    <w:p>
      <w:pPr>
        <w:pStyle w:val="111"/>
        <w:rPr>
          <w:rFonts w:cs="Courier New"/>
          <w:szCs w:val="16"/>
        </w:rPr>
      </w:pPr>
      <w:r>
        <w:rPr>
          <w:rFonts w:cs="Courier New"/>
          <w:szCs w:val="16"/>
        </w:rPr>
        <w:t xml:space="preserve">          $ref: 'TS29571_CommonData.yaml#/components/schemas/MacAddr48'</w:t>
      </w:r>
    </w:p>
    <w:p>
      <w:pPr>
        <w:pStyle w:val="111"/>
        <w:rPr>
          <w:rFonts w:cs="Courier New"/>
          <w:szCs w:val="16"/>
        </w:rPr>
      </w:pPr>
      <w:r>
        <w:rPr>
          <w:rFonts w:cs="Courier New"/>
          <w:szCs w:val="16"/>
        </w:rPr>
        <w:t xml:space="preserve">        vlanTags: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 </w:t>
      </w:r>
    </w:p>
    <w:p>
      <w:pPr>
        <w:pStyle w:val="111"/>
        <w:rPr>
          <w:rFonts w:cs="Courier New"/>
          <w:szCs w:val="16"/>
        </w:rPr>
      </w:pPr>
      <w:r>
        <w:rPr>
          <w:rFonts w:cs="Courier New"/>
          <w:szCs w:val="16"/>
        </w:rPr>
        <w:t xml:space="preserve">            type: string</w:t>
      </w:r>
    </w:p>
    <w:p>
      <w:pPr>
        <w:pStyle w:val="111"/>
      </w:pPr>
      <w:r>
        <w:t xml:space="preserve">          minItems: 1</w:t>
      </w:r>
    </w:p>
    <w:p>
      <w:pPr>
        <w:pStyle w:val="111"/>
      </w:pPr>
      <w:r>
        <w:t xml:space="preserve">          maxItems: 2</w:t>
      </w:r>
    </w:p>
    <w:p>
      <w:pPr>
        <w:pStyle w:val="111"/>
        <w:rPr>
          <w:rFonts w:cs="Courier New"/>
          <w:szCs w:val="16"/>
        </w:rPr>
      </w:pPr>
      <w:r>
        <w:rPr>
          <w:rFonts w:cs="Courier New"/>
          <w:szCs w:val="16"/>
        </w:rPr>
        <w:t xml:space="preserve">        srcMacAddrEnd:</w:t>
      </w:r>
    </w:p>
    <w:p>
      <w:pPr>
        <w:pStyle w:val="111"/>
        <w:rPr>
          <w:rFonts w:cs="Courier New"/>
          <w:szCs w:val="16"/>
        </w:rPr>
      </w:pPr>
      <w:r>
        <w:rPr>
          <w:rFonts w:cs="Courier New"/>
          <w:szCs w:val="16"/>
        </w:rPr>
        <w:t xml:space="preserve">          $ref: 'TS29571_CommonData.yaml#/components/schemas/MacAddr48'</w:t>
      </w:r>
    </w:p>
    <w:p>
      <w:pPr>
        <w:pStyle w:val="111"/>
        <w:rPr>
          <w:rFonts w:cs="Courier New"/>
          <w:szCs w:val="16"/>
        </w:rPr>
      </w:pPr>
      <w:r>
        <w:rPr>
          <w:rFonts w:cs="Courier New"/>
          <w:szCs w:val="16"/>
        </w:rPr>
        <w:t xml:space="preserve">        destMacAddrEnd:</w:t>
      </w:r>
    </w:p>
    <w:p>
      <w:pPr>
        <w:pStyle w:val="111"/>
        <w:rPr>
          <w:rFonts w:cs="Courier New"/>
          <w:szCs w:val="16"/>
        </w:rPr>
      </w:pPr>
      <w:r>
        <w:rPr>
          <w:rFonts w:cs="Courier New"/>
          <w:szCs w:val="16"/>
        </w:rPr>
        <w:t xml:space="preserve">          $ref: 'TS29571_CommonData.yaml#/components/schemas/MacAddr48'</w:t>
      </w:r>
    </w:p>
    <w:p>
      <w:pPr>
        <w:pStyle w:val="111"/>
        <w:rPr>
          <w:rFonts w:cs="Courier New"/>
          <w:szCs w:val="16"/>
        </w:rPr>
      </w:pPr>
    </w:p>
    <w:p>
      <w:pPr>
        <w:pStyle w:val="111"/>
        <w:rPr>
          <w:rFonts w:cs="Courier New"/>
          <w:szCs w:val="16"/>
        </w:rPr>
      </w:pPr>
      <w:r>
        <w:rPr>
          <w:rFonts w:cs="Courier New"/>
          <w:szCs w:val="16"/>
        </w:rPr>
        <w:t xml:space="preserve">    ResourcesAllocationInfo:</w:t>
      </w:r>
    </w:p>
    <w:p>
      <w:pPr>
        <w:pStyle w:val="111"/>
        <w:rPr>
          <w:rFonts w:cs="Courier New"/>
          <w:szCs w:val="16"/>
        </w:rPr>
      </w:pPr>
      <w:r>
        <w:rPr>
          <w:rFonts w:cs="Courier New"/>
          <w:szCs w:val="16"/>
        </w:rPr>
        <w:t xml:space="preserve">      description: Describes the status of the PCC rule(s) related to certain media components.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mcResourcStatus:</w:t>
      </w:r>
    </w:p>
    <w:p>
      <w:pPr>
        <w:pStyle w:val="111"/>
        <w:rPr>
          <w:rFonts w:cs="Courier New"/>
          <w:szCs w:val="16"/>
        </w:rPr>
      </w:pPr>
      <w:r>
        <w:rPr>
          <w:rFonts w:cs="Courier New"/>
          <w:szCs w:val="16"/>
        </w:rPr>
        <w:t xml:space="preserve">          $ref: '#/components/schemas/MediaComponentResourcesStatus'</w:t>
      </w:r>
    </w:p>
    <w:p>
      <w:pPr>
        <w:pStyle w:val="111"/>
        <w:rPr>
          <w:rFonts w:cs="Courier New"/>
          <w:szCs w:val="16"/>
        </w:rPr>
      </w:pPr>
      <w:r>
        <w:rPr>
          <w:rFonts w:cs="Courier New"/>
          <w:szCs w:val="16"/>
        </w:rPr>
        <w:t xml:space="preserve">        flows: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'#/components/schemas/Flows'</w:t>
      </w:r>
    </w:p>
    <w:p>
      <w:pPr>
        <w:pStyle w:val="111"/>
      </w:pPr>
      <w:r>
        <w:t xml:space="preserve">          minItems: 1</w:t>
      </w:r>
    </w:p>
    <w:p>
      <w:pPr>
        <w:pStyle w:val="111"/>
      </w:pPr>
      <w:r>
        <w:t xml:space="preserve">        </w:t>
      </w:r>
      <w:r>
        <w:rPr>
          <w:lang w:eastAsia="zh-CN"/>
        </w:rPr>
        <w:t>altSerReq</w:t>
      </w:r>
      <w:r>
        <w:t>:</w:t>
      </w:r>
    </w:p>
    <w:p>
      <w:pPr>
        <w:pStyle w:val="111"/>
      </w:pPr>
      <w:r>
        <w:t xml:space="preserve">          type: string</w:t>
      </w:r>
    </w:p>
    <w:p>
      <w:pPr>
        <w:pStyle w:val="111"/>
      </w:pPr>
      <w:r>
        <w:t xml:space="preserve">          description: &gt;</w:t>
      </w:r>
    </w:p>
    <w:p>
      <w:pPr>
        <w:pStyle w:val="111"/>
      </w:pPr>
      <w:r>
        <w:t xml:space="preserve">            Indicates whether NG-RAN supports alternative QoS parameters. The default value false</w:t>
      </w:r>
    </w:p>
    <w:p>
      <w:pPr>
        <w:pStyle w:val="111"/>
      </w:pPr>
      <w:r>
        <w:t xml:space="preserve">            shall apply if the attribute is not present. It shall be set to false to indicate that</w:t>
      </w:r>
    </w:p>
    <w:p>
      <w:pPr>
        <w:pStyle w:val="111"/>
      </w:pPr>
      <w:r>
        <w:t xml:space="preserve">            the lowest priority alternative QoS profile could not be fulfilled.</w:t>
      </w:r>
    </w:p>
    <w:p>
      <w:pPr>
        <w:pStyle w:val="111"/>
        <w:rPr>
          <w:rFonts w:cs="Courier New"/>
          <w:szCs w:val="16"/>
        </w:rPr>
      </w:pPr>
    </w:p>
    <w:p>
      <w:pPr>
        <w:pStyle w:val="111"/>
        <w:rPr>
          <w:rFonts w:cs="Courier New"/>
          <w:szCs w:val="16"/>
        </w:rPr>
      </w:pPr>
      <w:r>
        <w:rPr>
          <w:rFonts w:cs="Courier New"/>
          <w:szCs w:val="16"/>
        </w:rPr>
        <w:t xml:space="preserve">    TemporalValidity:</w:t>
      </w:r>
    </w:p>
    <w:p>
      <w:pPr>
        <w:pStyle w:val="111"/>
        <w:rPr>
          <w:rFonts w:cs="Courier New"/>
          <w:szCs w:val="16"/>
        </w:rPr>
      </w:pPr>
      <w:r>
        <w:rPr>
          <w:rFonts w:cs="Courier New"/>
          <w:szCs w:val="16"/>
        </w:rPr>
        <w:t xml:space="preserve">      description: Indicates the time interval(s) during which the AF request is to be applied.</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startTime:</w:t>
      </w:r>
    </w:p>
    <w:p>
      <w:pPr>
        <w:pStyle w:val="111"/>
        <w:rPr>
          <w:rFonts w:cs="Courier New"/>
          <w:szCs w:val="16"/>
        </w:rPr>
      </w:pPr>
      <w:r>
        <w:rPr>
          <w:rFonts w:cs="Courier New"/>
          <w:szCs w:val="16"/>
        </w:rPr>
        <w:t xml:space="preserve">          $ref: 'TS29571_CommonData.yaml#/components/schemas/DateTime'</w:t>
      </w:r>
    </w:p>
    <w:p>
      <w:pPr>
        <w:pStyle w:val="111"/>
        <w:rPr>
          <w:rFonts w:cs="Courier New"/>
          <w:szCs w:val="16"/>
        </w:rPr>
      </w:pPr>
      <w:r>
        <w:rPr>
          <w:rFonts w:cs="Courier New"/>
          <w:szCs w:val="16"/>
        </w:rPr>
        <w:t xml:space="preserve">        stopTime:</w:t>
      </w:r>
    </w:p>
    <w:p>
      <w:pPr>
        <w:pStyle w:val="111"/>
        <w:rPr>
          <w:rFonts w:cs="Courier New"/>
          <w:szCs w:val="16"/>
        </w:rPr>
      </w:pPr>
      <w:r>
        <w:rPr>
          <w:rFonts w:cs="Courier New"/>
          <w:szCs w:val="16"/>
        </w:rPr>
        <w:t xml:space="preserve">          $ref: 'TS29571_CommonData.yaml#/components/schemas/DateTime'</w:t>
      </w:r>
    </w:p>
    <w:p>
      <w:pPr>
        <w:pStyle w:val="111"/>
        <w:rPr>
          <w:rFonts w:cs="Courier New"/>
          <w:szCs w:val="16"/>
        </w:rPr>
      </w:pPr>
    </w:p>
    <w:p>
      <w:pPr>
        <w:pStyle w:val="111"/>
        <w:rPr>
          <w:rFonts w:cs="Courier New"/>
          <w:szCs w:val="16"/>
        </w:rPr>
      </w:pPr>
      <w:r>
        <w:rPr>
          <w:rFonts w:cs="Courier New"/>
          <w:szCs w:val="16"/>
        </w:rPr>
        <w:t xml:space="preserve">    QosNotificationControlInfo:</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Indicates whether the QoS targets for a GRB flow are not guaranteed or guaranteed again.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notifType</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notifType:</w:t>
      </w:r>
    </w:p>
    <w:p>
      <w:pPr>
        <w:pStyle w:val="111"/>
        <w:rPr>
          <w:rFonts w:cs="Courier New"/>
          <w:szCs w:val="16"/>
        </w:rPr>
      </w:pPr>
      <w:r>
        <w:rPr>
          <w:rFonts w:cs="Courier New"/>
          <w:szCs w:val="16"/>
        </w:rPr>
        <w:t xml:space="preserve">          $ref: '#/components/schemas/QosNotifType'</w:t>
      </w:r>
    </w:p>
    <w:p>
      <w:pPr>
        <w:pStyle w:val="111"/>
        <w:rPr>
          <w:rFonts w:cs="Courier New"/>
          <w:szCs w:val="16"/>
        </w:rPr>
      </w:pPr>
      <w:r>
        <w:rPr>
          <w:rFonts w:cs="Courier New"/>
          <w:szCs w:val="16"/>
        </w:rPr>
        <w:t xml:space="preserve">        flows: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'#/components/schemas/Flows'</w:t>
      </w:r>
    </w:p>
    <w:p>
      <w:pPr>
        <w:pStyle w:val="111"/>
      </w:pPr>
      <w:r>
        <w:t xml:space="preserve">          minItems: 1</w:t>
      </w:r>
    </w:p>
    <w:p>
      <w:pPr>
        <w:pStyle w:val="111"/>
      </w:pPr>
      <w:r>
        <w:t xml:space="preserve">        </w:t>
      </w:r>
      <w:r>
        <w:rPr>
          <w:lang w:eastAsia="zh-CN"/>
        </w:rPr>
        <w:t>altSerReq</w:t>
      </w:r>
      <w:r>
        <w:t>:</w:t>
      </w:r>
    </w:p>
    <w:p>
      <w:pPr>
        <w:pStyle w:val="111"/>
      </w:pPr>
      <w:r>
        <w:t xml:space="preserve">          type: string</w:t>
      </w:r>
    </w:p>
    <w:p>
      <w:pPr>
        <w:pStyle w:val="111"/>
      </w:pPr>
      <w:r>
        <w:t xml:space="preserve">          description: &gt;</w:t>
      </w:r>
    </w:p>
    <w:p>
      <w:pPr>
        <w:pStyle w:val="111"/>
      </w:pPr>
      <w:r>
        <w:t xml:space="preserve">            Indicates the alternative service requirement NG-RAN can guarantee. When it is omitted</w:t>
      </w:r>
    </w:p>
    <w:p>
      <w:pPr>
        <w:pStyle w:val="111"/>
      </w:pPr>
      <w:r>
        <w:t xml:space="preserve">            and the notifType attribute is set to NOT_GUAARANTEED it indicates that the lowest</w:t>
      </w:r>
    </w:p>
    <w:p>
      <w:pPr>
        <w:pStyle w:val="111"/>
      </w:pPr>
      <w:r>
        <w:t xml:space="preserve">            priority alternative alternative service requirement could not be fulfilled by NG-RAN.</w:t>
      </w:r>
    </w:p>
    <w:p>
      <w:pPr>
        <w:pStyle w:val="111"/>
      </w:pPr>
      <w:r>
        <w:t xml:space="preserve">        altSerReqNotSuppInd:</w:t>
      </w:r>
    </w:p>
    <w:p>
      <w:pPr>
        <w:pStyle w:val="111"/>
      </w:pPr>
      <w:r>
        <w:t xml:space="preserve">          type: boolean</w:t>
      </w:r>
    </w:p>
    <w:p>
      <w:pPr>
        <w:pStyle w:val="111"/>
      </w:pPr>
      <w:r>
        <w:t xml:space="preserve">          description: &gt;</w:t>
      </w:r>
    </w:p>
    <w:p>
      <w:pPr>
        <w:pStyle w:val="111"/>
      </w:pPr>
      <w:r>
        <w:t xml:space="preserve">            When present and set to true it indicates that Alternative Service Requirements are not </w:t>
      </w:r>
    </w:p>
    <w:p>
      <w:pPr>
        <w:pStyle w:val="111"/>
      </w:pPr>
      <w:r>
        <w:t xml:space="preserve">            supported by NG-RAN.</w:t>
      </w:r>
    </w:p>
    <w:p>
      <w:pPr>
        <w:pStyle w:val="111"/>
        <w:rPr>
          <w:rFonts w:cs="Courier New"/>
          <w:szCs w:val="16"/>
        </w:rPr>
      </w:pPr>
    </w:p>
    <w:p>
      <w:pPr>
        <w:pStyle w:val="111"/>
        <w:rPr>
          <w:rFonts w:cs="Courier New"/>
          <w:szCs w:val="16"/>
        </w:rPr>
      </w:pPr>
      <w:r>
        <w:rPr>
          <w:rFonts w:cs="Courier New"/>
          <w:szCs w:val="16"/>
        </w:rPr>
        <w:t xml:space="preserve">    AcceptableServiceInfo:</w:t>
      </w:r>
    </w:p>
    <w:p>
      <w:pPr>
        <w:pStyle w:val="111"/>
        <w:rPr>
          <w:rFonts w:cs="Courier New"/>
          <w:szCs w:val="16"/>
        </w:rPr>
      </w:pPr>
      <w:r>
        <w:rPr>
          <w:rFonts w:cs="Courier New"/>
          <w:szCs w:val="16"/>
        </w:rPr>
        <w:t xml:space="preserve">      description: Indicates the maximum bandwidth that shall be authorized by the PCF.</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accBwMedComps: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additionalProperties:</w:t>
      </w:r>
    </w:p>
    <w:p>
      <w:pPr>
        <w:pStyle w:val="111"/>
        <w:rPr>
          <w:rFonts w:cs="Courier New"/>
          <w:szCs w:val="16"/>
        </w:rPr>
      </w:pPr>
      <w:r>
        <w:rPr>
          <w:rFonts w:cs="Courier New"/>
          <w:szCs w:val="16"/>
        </w:rPr>
        <w:t xml:space="preserve">            $ref: '#/components/schemas/MediaComponent'</w:t>
      </w:r>
    </w:p>
    <w:p>
      <w:pPr>
        <w:pStyle w:val="111"/>
        <w:rPr>
          <w:rFonts w:cs="Courier New"/>
          <w:szCs w:val="16"/>
        </w:rPr>
      </w:pPr>
      <w:r>
        <w:rPr>
          <w:rFonts w:cs="Courier New"/>
          <w:szCs w:val="16"/>
        </w:rPr>
        <w:t xml:space="preserve">          description: &gt;</w:t>
      </w:r>
    </w:p>
    <w:p>
      <w:pPr>
        <w:pStyle w:val="111"/>
        <w:rPr>
          <w:rFonts w:cs="Arial"/>
          <w:szCs w:val="18"/>
        </w:rPr>
      </w:pPr>
      <w:r>
        <w:rPr>
          <w:rFonts w:cs="Courier New"/>
          <w:szCs w:val="16"/>
        </w:rPr>
        <w:t xml:space="preserve">            </w:t>
      </w:r>
      <w:r>
        <w:rPr>
          <w:rFonts w:cs="Arial"/>
          <w:szCs w:val="18"/>
        </w:rPr>
        <w:t>Indicates the maximum bandwidth that shall be authorized by the PCF for each media</w:t>
      </w:r>
    </w:p>
    <w:p>
      <w:pPr>
        <w:pStyle w:val="111"/>
        <w:rPr>
          <w:rFonts w:cs="Courier New"/>
          <w:szCs w:val="16"/>
        </w:rPr>
      </w:pPr>
      <w:r>
        <w:rPr>
          <w:rFonts w:cs="Courier New"/>
          <w:szCs w:val="16"/>
        </w:rPr>
        <w:t xml:space="preserve">            </w:t>
      </w:r>
      <w:r>
        <w:rPr>
          <w:rFonts w:cs="Arial"/>
          <w:szCs w:val="18"/>
        </w:rPr>
        <w:t>component of the map. The key of the map is the media component number.</w:t>
      </w:r>
    </w:p>
    <w:p>
      <w:pPr>
        <w:pStyle w:val="111"/>
        <w:rPr>
          <w:rFonts w:cs="Courier New"/>
          <w:szCs w:val="16"/>
        </w:rPr>
      </w:pPr>
      <w:r>
        <w:t xml:space="preserve">          minProperties: 1</w:t>
      </w:r>
    </w:p>
    <w:p>
      <w:pPr>
        <w:pStyle w:val="111"/>
        <w:rPr>
          <w:rFonts w:cs="Courier New"/>
          <w:szCs w:val="16"/>
        </w:rPr>
      </w:pPr>
      <w:r>
        <w:rPr>
          <w:rFonts w:cs="Courier New"/>
          <w:szCs w:val="16"/>
        </w:rPr>
        <w:t xml:space="preserve">        marBwUl: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marBwDl: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p>
    <w:p>
      <w:pPr>
        <w:pStyle w:val="111"/>
        <w:rPr>
          <w:rFonts w:cs="Courier New"/>
          <w:szCs w:val="16"/>
        </w:rPr>
      </w:pPr>
      <w:r>
        <w:rPr>
          <w:rFonts w:cs="Courier New"/>
          <w:szCs w:val="16"/>
        </w:rPr>
        <w:t xml:space="preserve">    UeIdentityInfo:</w:t>
      </w:r>
    </w:p>
    <w:p>
      <w:pPr>
        <w:pStyle w:val="111"/>
        <w:rPr>
          <w:rFonts w:cs="Courier New"/>
          <w:szCs w:val="16"/>
        </w:rPr>
      </w:pPr>
      <w:r>
        <w:rPr>
          <w:rFonts w:cs="Courier New"/>
          <w:szCs w:val="16"/>
        </w:rPr>
        <w:t xml:space="preserve">      description: Represents 5GS-Level UE identities.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anyOf:</w:t>
      </w:r>
    </w:p>
    <w:p>
      <w:pPr>
        <w:pStyle w:val="111"/>
        <w:rPr>
          <w:rFonts w:cs="Courier New"/>
          <w:szCs w:val="16"/>
        </w:rPr>
      </w:pPr>
      <w:r>
        <w:rPr>
          <w:rFonts w:cs="Courier New"/>
          <w:szCs w:val="16"/>
        </w:rPr>
        <w:t xml:space="preserve">        - required: [gpsi]</w:t>
      </w:r>
    </w:p>
    <w:p>
      <w:pPr>
        <w:pStyle w:val="111"/>
        <w:rPr>
          <w:rFonts w:cs="Courier New"/>
          <w:szCs w:val="16"/>
        </w:rPr>
      </w:pPr>
      <w:r>
        <w:rPr>
          <w:rFonts w:cs="Courier New"/>
          <w:szCs w:val="16"/>
        </w:rPr>
        <w:t xml:space="preserve">        - required: [pei]</w:t>
      </w:r>
    </w:p>
    <w:p>
      <w:pPr>
        <w:pStyle w:val="111"/>
        <w:rPr>
          <w:rFonts w:cs="Courier New"/>
          <w:szCs w:val="16"/>
        </w:rPr>
      </w:pPr>
      <w:r>
        <w:rPr>
          <w:rFonts w:cs="Courier New"/>
          <w:szCs w:val="16"/>
        </w:rPr>
        <w:t xml:space="preserve">        - required: [supi]</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gpsi:</w:t>
      </w:r>
    </w:p>
    <w:p>
      <w:pPr>
        <w:pStyle w:val="111"/>
        <w:rPr>
          <w:rFonts w:cs="Courier New"/>
          <w:szCs w:val="16"/>
        </w:rPr>
      </w:pPr>
      <w:r>
        <w:rPr>
          <w:rFonts w:cs="Courier New"/>
          <w:szCs w:val="16"/>
        </w:rPr>
        <w:t xml:space="preserve">          $ref: 'TS29571_CommonData.yaml#/components/schemas/Gpsi'</w:t>
      </w:r>
    </w:p>
    <w:p>
      <w:pPr>
        <w:pStyle w:val="111"/>
        <w:rPr>
          <w:rFonts w:cs="Courier New"/>
          <w:szCs w:val="16"/>
        </w:rPr>
      </w:pPr>
      <w:r>
        <w:rPr>
          <w:rFonts w:cs="Courier New"/>
          <w:szCs w:val="16"/>
        </w:rPr>
        <w:t xml:space="preserve">        pei:</w:t>
      </w:r>
    </w:p>
    <w:p>
      <w:pPr>
        <w:pStyle w:val="111"/>
        <w:rPr>
          <w:rFonts w:cs="Courier New"/>
          <w:szCs w:val="16"/>
        </w:rPr>
      </w:pPr>
      <w:r>
        <w:rPr>
          <w:rFonts w:cs="Courier New"/>
          <w:szCs w:val="16"/>
        </w:rPr>
        <w:t xml:space="preserve">          $ref: 'TS29571_CommonData.yaml#/components/schemas/Pei'</w:t>
      </w:r>
    </w:p>
    <w:p>
      <w:pPr>
        <w:pStyle w:val="111"/>
        <w:rPr>
          <w:rFonts w:cs="Courier New"/>
          <w:szCs w:val="16"/>
        </w:rPr>
      </w:pPr>
      <w:r>
        <w:rPr>
          <w:rFonts w:cs="Courier New"/>
          <w:szCs w:val="16"/>
        </w:rPr>
        <w:t xml:space="preserve">        supi:</w:t>
      </w:r>
    </w:p>
    <w:p>
      <w:pPr>
        <w:pStyle w:val="111"/>
        <w:rPr>
          <w:rFonts w:cs="Courier New"/>
          <w:szCs w:val="16"/>
        </w:rPr>
      </w:pPr>
      <w:r>
        <w:rPr>
          <w:rFonts w:cs="Courier New"/>
          <w:szCs w:val="16"/>
        </w:rPr>
        <w:t xml:space="preserve">          $ref: 'TS29571_CommonData.yaml#/components/schemas/Supi'</w:t>
      </w:r>
    </w:p>
    <w:p>
      <w:pPr>
        <w:pStyle w:val="111"/>
        <w:rPr>
          <w:rFonts w:cs="Courier New"/>
          <w:szCs w:val="16"/>
        </w:rPr>
      </w:pPr>
    </w:p>
    <w:p>
      <w:pPr>
        <w:pStyle w:val="111"/>
        <w:rPr>
          <w:rFonts w:cs="Courier New"/>
          <w:szCs w:val="16"/>
        </w:rPr>
      </w:pPr>
      <w:r>
        <w:rPr>
          <w:rFonts w:cs="Courier New"/>
          <w:szCs w:val="16"/>
        </w:rPr>
        <w:t xml:space="preserve">    AccessNetChargingIdentifier:</w:t>
      </w:r>
    </w:p>
    <w:p>
      <w:pPr>
        <w:pStyle w:val="111"/>
        <w:rPr>
          <w:rFonts w:cs="Courier New"/>
          <w:szCs w:val="16"/>
        </w:rPr>
      </w:pPr>
      <w:r>
        <w:rPr>
          <w:rFonts w:cs="Courier New"/>
          <w:szCs w:val="16"/>
        </w:rPr>
        <w:t xml:space="preserve">      description: Describes the access network charging identifier.</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oneOf:</w:t>
      </w:r>
    </w:p>
    <w:p>
      <w:pPr>
        <w:pStyle w:val="111"/>
        <w:rPr>
          <w:rFonts w:cs="Courier New"/>
          <w:szCs w:val="16"/>
        </w:rPr>
      </w:pPr>
      <w:r>
        <w:rPr>
          <w:rFonts w:cs="Courier New"/>
          <w:szCs w:val="16"/>
        </w:rPr>
        <w:t xml:space="preserve">        - required: [accNetChaIdValue]</w:t>
      </w:r>
    </w:p>
    <w:p>
      <w:pPr>
        <w:pStyle w:val="111"/>
        <w:rPr>
          <w:rFonts w:cs="Courier New"/>
          <w:szCs w:val="16"/>
        </w:rPr>
      </w:pPr>
      <w:r>
        <w:rPr>
          <w:rFonts w:cs="Courier New"/>
          <w:szCs w:val="16"/>
        </w:rPr>
        <w:t xml:space="preserve">        - required: [accNetChargIdString]</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w:t>
      </w:r>
      <w:r>
        <w:rPr>
          <w:lang w:eastAsia="zh-CN"/>
        </w:rPr>
        <w:t>accNetChaIdValue</w:t>
      </w:r>
      <w:r>
        <w:rPr>
          <w:rFonts w:cs="Courier New"/>
          <w:szCs w:val="16"/>
        </w:rPr>
        <w:t>:</w:t>
      </w:r>
    </w:p>
    <w:p>
      <w:pPr>
        <w:pStyle w:val="111"/>
        <w:rPr>
          <w:rFonts w:cs="Courier New"/>
          <w:szCs w:val="16"/>
        </w:rPr>
      </w:pPr>
      <w:r>
        <w:rPr>
          <w:rFonts w:cs="Courier New"/>
          <w:szCs w:val="16"/>
        </w:rPr>
        <w:t xml:space="preserve">          $ref: 'TS29571_CommonData.yaml#/components/schemas/ChargingId'</w:t>
      </w:r>
    </w:p>
    <w:p>
      <w:pPr>
        <w:pStyle w:val="111"/>
        <w:rPr>
          <w:lang w:eastAsia="zh-CN"/>
        </w:rPr>
      </w:pPr>
      <w:r>
        <w:rPr>
          <w:lang w:eastAsia="zh-CN"/>
        </w:rPr>
        <w:t xml:space="preserve">        accNetChargIdString:</w:t>
      </w:r>
    </w:p>
    <w:p>
      <w:pPr>
        <w:pStyle w:val="111"/>
        <w:rPr>
          <w:lang w:eastAsia="zh-CN"/>
        </w:rPr>
      </w:pPr>
      <w:r>
        <w:rPr>
          <w:lang w:eastAsia="zh-CN"/>
        </w:rPr>
        <w:t xml:space="preserve">          type: string</w:t>
      </w:r>
    </w:p>
    <w:p>
      <w:pPr>
        <w:pStyle w:val="111"/>
        <w:rPr>
          <w:lang w:eastAsia="zh-CN"/>
        </w:rPr>
      </w:pPr>
      <w:r>
        <w:rPr>
          <w:lang w:eastAsia="zh-CN"/>
        </w:rPr>
        <w:t xml:space="preserve">          description: A character string containing the access network charging identifier.</w:t>
      </w:r>
    </w:p>
    <w:p>
      <w:pPr>
        <w:pStyle w:val="111"/>
        <w:rPr>
          <w:rFonts w:cs="Courier New"/>
          <w:szCs w:val="16"/>
        </w:rPr>
      </w:pPr>
      <w:r>
        <w:rPr>
          <w:rFonts w:cs="Courier New"/>
          <w:szCs w:val="16"/>
        </w:rPr>
        <w:t xml:space="preserve">        flows: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'#/components/schemas/Flows'</w:t>
      </w:r>
    </w:p>
    <w:p>
      <w:pPr>
        <w:pStyle w:val="111"/>
      </w:pPr>
      <w:r>
        <w:t xml:space="preserve">          minItems: 1</w:t>
      </w:r>
    </w:p>
    <w:p>
      <w:pPr>
        <w:pStyle w:val="111"/>
        <w:rPr>
          <w:rFonts w:cs="Courier New"/>
          <w:szCs w:val="16"/>
        </w:rPr>
      </w:pPr>
    </w:p>
    <w:p>
      <w:pPr>
        <w:pStyle w:val="111"/>
        <w:rPr>
          <w:rFonts w:cs="Courier New"/>
          <w:szCs w:val="16"/>
        </w:rPr>
      </w:pPr>
      <w:r>
        <w:rPr>
          <w:rFonts w:cs="Courier New"/>
          <w:szCs w:val="16"/>
        </w:rPr>
        <w:t xml:space="preserve">    OutOfCreditInformation:</w:t>
      </w:r>
    </w:p>
    <w:p>
      <w:pPr>
        <w:pStyle w:val="111"/>
        <w:rPr>
          <w:rFonts w:cs="Courier New"/>
          <w:szCs w:val="16"/>
        </w:rPr>
      </w:pPr>
      <w:r>
        <w:rPr>
          <w:rFonts w:cs="Courier New"/>
          <w:szCs w:val="16"/>
        </w:rPr>
        <w:t xml:space="preserve">      description: &gt;</w:t>
      </w:r>
    </w:p>
    <w:p>
      <w:pPr>
        <w:pStyle w:val="111"/>
        <w:rPr>
          <w:rFonts w:cs="Arial"/>
          <w:szCs w:val="18"/>
        </w:rPr>
      </w:pPr>
      <w:r>
        <w:rPr>
          <w:rFonts w:cs="Courier New"/>
          <w:szCs w:val="16"/>
        </w:rPr>
        <w:t xml:space="preserve">        </w:t>
      </w:r>
      <w:r>
        <w:rPr>
          <w:rFonts w:cs="Arial"/>
          <w:szCs w:val="18"/>
        </w:rPr>
        <w:t>Indicates the SDFs without available credit and the corresponding termination action.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finUnitAct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finUnitAct:</w:t>
      </w:r>
    </w:p>
    <w:p>
      <w:pPr>
        <w:pStyle w:val="111"/>
        <w:rPr>
          <w:rFonts w:cs="Courier New"/>
          <w:szCs w:val="16"/>
        </w:rPr>
      </w:pPr>
      <w:r>
        <w:rPr>
          <w:rFonts w:cs="Courier New"/>
          <w:szCs w:val="16"/>
        </w:rPr>
        <w:t xml:space="preserve">          $ref: 'TS32291_Nchf_ConvergedCharging.yaml#/components/schemas/FinalUnitAction'</w:t>
      </w:r>
    </w:p>
    <w:p>
      <w:pPr>
        <w:pStyle w:val="111"/>
        <w:rPr>
          <w:rFonts w:cs="Courier New"/>
          <w:szCs w:val="16"/>
        </w:rPr>
      </w:pPr>
      <w:r>
        <w:rPr>
          <w:rFonts w:cs="Courier New"/>
          <w:szCs w:val="16"/>
        </w:rPr>
        <w:t xml:space="preserve">        flows: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'#/components/schemas/Flows'</w:t>
      </w:r>
    </w:p>
    <w:p>
      <w:pPr>
        <w:pStyle w:val="111"/>
      </w:pPr>
      <w:r>
        <w:t xml:space="preserve">          minItems: 1</w:t>
      </w:r>
    </w:p>
    <w:p>
      <w:pPr>
        <w:pStyle w:val="111"/>
        <w:rPr>
          <w:rFonts w:cs="Courier New"/>
          <w:szCs w:val="16"/>
        </w:rPr>
      </w:pPr>
    </w:p>
    <w:p>
      <w:pPr>
        <w:pStyle w:val="111"/>
        <w:rPr>
          <w:rFonts w:cs="Courier New"/>
          <w:szCs w:val="16"/>
        </w:rPr>
      </w:pPr>
      <w:r>
        <w:rPr>
          <w:rFonts w:cs="Courier New"/>
          <w:szCs w:val="16"/>
        </w:rPr>
        <w:t xml:space="preserve">    QosMonitoringInformation:</w:t>
      </w:r>
    </w:p>
    <w:p>
      <w:pPr>
        <w:pStyle w:val="111"/>
        <w:rPr>
          <w:rFonts w:cs="Courier New"/>
          <w:szCs w:val="16"/>
        </w:rPr>
      </w:pPr>
      <w:r>
        <w:rPr>
          <w:rFonts w:cs="Courier New"/>
          <w:szCs w:val="16"/>
        </w:rPr>
        <w:t xml:space="preserve">      description: &gt;</w:t>
      </w:r>
    </w:p>
    <w:p>
      <w:pPr>
        <w:pStyle w:val="111"/>
        <w:rPr>
          <w:rFonts w:cs="Arial"/>
          <w:szCs w:val="18"/>
        </w:rPr>
      </w:pPr>
      <w:r>
        <w:rPr>
          <w:rFonts w:cs="Courier New"/>
          <w:szCs w:val="16"/>
        </w:rPr>
        <w:t xml:space="preserve">        </w:t>
      </w:r>
      <w:r>
        <w:rPr>
          <w:rFonts w:cs="Arial"/>
          <w:szCs w:val="18"/>
        </w:rPr>
        <w:t>Indicates the QoS Monitoring information to report, i.e. UL and/or DL and or round trip delay.</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repThreshDl:</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repThreshUl:</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repThreshRp:</w:t>
      </w:r>
    </w:p>
    <w:p>
      <w:pPr>
        <w:pStyle w:val="111"/>
        <w:rPr>
          <w:rFonts w:cs="Courier New"/>
          <w:szCs w:val="16"/>
        </w:rPr>
      </w:pPr>
      <w:r>
        <w:rPr>
          <w:rFonts w:cs="Courier New"/>
          <w:szCs w:val="16"/>
        </w:rPr>
        <w:t xml:space="preserve">          type: integer</w:t>
      </w:r>
    </w:p>
    <w:p>
      <w:pPr>
        <w:pStyle w:val="111"/>
        <w:rPr>
          <w:rFonts w:cs="Courier New"/>
          <w:szCs w:val="16"/>
        </w:rPr>
      </w:pPr>
    </w:p>
    <w:p>
      <w:pPr>
        <w:pStyle w:val="111"/>
        <w:rPr>
          <w:rFonts w:cs="Courier New"/>
          <w:szCs w:val="16"/>
        </w:rPr>
      </w:pPr>
      <w:r>
        <w:rPr>
          <w:rFonts w:cs="Courier New"/>
          <w:szCs w:val="16"/>
        </w:rPr>
        <w:t xml:space="preserve">    PduSessionTsnBridge:</w:t>
      </w:r>
    </w:p>
    <w:p>
      <w:pPr>
        <w:pStyle w:val="111"/>
        <w:rPr>
          <w:rFonts w:cs="Courier New"/>
          <w:szCs w:val="16"/>
        </w:rPr>
      </w:pPr>
      <w:r>
        <w:rPr>
          <w:rFonts w:cs="Courier New"/>
          <w:szCs w:val="16"/>
        </w:rPr>
        <w:t xml:space="preserve">      description: &gt;</w:t>
      </w:r>
    </w:p>
    <w:p>
      <w:pPr>
        <w:pStyle w:val="111"/>
        <w:rPr>
          <w:rFonts w:cs="Arial"/>
          <w:szCs w:val="18"/>
        </w:rPr>
      </w:pPr>
      <w:r>
        <w:rPr>
          <w:rFonts w:cs="Courier New"/>
          <w:szCs w:val="16"/>
        </w:rPr>
        <w:t xml:space="preserve">        </w:t>
      </w:r>
      <w:r>
        <w:rPr>
          <w:rFonts w:cs="Arial"/>
          <w:szCs w:val="18"/>
        </w:rPr>
        <w:t>Contains the new TSC user plane node information and may contain the DS-TT port and/or</w:t>
      </w:r>
    </w:p>
    <w:p>
      <w:pPr>
        <w:pStyle w:val="111"/>
        <w:rPr>
          <w:rFonts w:cs="Arial"/>
          <w:szCs w:val="18"/>
        </w:rPr>
      </w:pPr>
      <w:r>
        <w:rPr>
          <w:rFonts w:cs="Courier New"/>
          <w:szCs w:val="16"/>
        </w:rPr>
        <w:t xml:space="preserve">        </w:t>
      </w:r>
      <w:r>
        <w:rPr>
          <w:rFonts w:cs="Arial"/>
          <w:szCs w:val="18"/>
        </w:rPr>
        <w:t>NW-TT port management information.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tsnBridgeInfo</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tsnBridgeInfo: </w:t>
      </w:r>
    </w:p>
    <w:p>
      <w:pPr>
        <w:pStyle w:val="111"/>
        <w:rPr>
          <w:rFonts w:cs="Courier New"/>
          <w:szCs w:val="16"/>
        </w:rPr>
      </w:pPr>
      <w:r>
        <w:rPr>
          <w:rFonts w:cs="Courier New"/>
          <w:szCs w:val="16"/>
        </w:rPr>
        <w:t xml:space="preserve">          $ref: 'TS29512_Npcf_SMPolicyControl.yaml#/components/schemas/TsnBridgeInfo'</w:t>
      </w:r>
    </w:p>
    <w:p>
      <w:pPr>
        <w:pStyle w:val="111"/>
        <w:rPr>
          <w:rFonts w:cs="Courier New"/>
          <w:szCs w:val="16"/>
        </w:rPr>
      </w:pPr>
      <w:r>
        <w:rPr>
          <w:rFonts w:cs="Courier New"/>
          <w:szCs w:val="16"/>
        </w:rPr>
        <w:t xml:space="preserve">        tsnBridgeManCont: </w:t>
      </w:r>
    </w:p>
    <w:p>
      <w:pPr>
        <w:pStyle w:val="111"/>
        <w:rPr>
          <w:rFonts w:cs="Courier New"/>
          <w:szCs w:val="16"/>
        </w:rPr>
      </w:pPr>
      <w:r>
        <w:rPr>
          <w:rFonts w:cs="Courier New"/>
          <w:szCs w:val="16"/>
        </w:rPr>
        <w:t xml:space="preserve">          $ref: 'TS29512_Npcf_SMPolicyControl.yaml#/components/schemas/</w:t>
      </w:r>
      <w:r>
        <w:t>BridgeManagementContainer</w:t>
      </w:r>
      <w:r>
        <w:rPr>
          <w:rFonts w:cs="Courier New"/>
          <w:szCs w:val="16"/>
        </w:rPr>
        <w:t>'</w:t>
      </w:r>
    </w:p>
    <w:p>
      <w:pPr>
        <w:pStyle w:val="111"/>
        <w:rPr>
          <w:rFonts w:cs="Courier New"/>
          <w:szCs w:val="16"/>
        </w:rPr>
      </w:pPr>
      <w:r>
        <w:rPr>
          <w:rFonts w:cs="Courier New"/>
          <w:szCs w:val="16"/>
        </w:rPr>
        <w:t xml:space="preserve">        tsnPortManContDstt: </w:t>
      </w:r>
    </w:p>
    <w:p>
      <w:pPr>
        <w:pStyle w:val="111"/>
        <w:rPr>
          <w:rFonts w:cs="Courier New"/>
          <w:szCs w:val="16"/>
        </w:rPr>
      </w:pPr>
      <w:r>
        <w:rPr>
          <w:rFonts w:cs="Courier New"/>
          <w:szCs w:val="16"/>
        </w:rPr>
        <w:t xml:space="preserve">          $ref: 'TS29512_Npcf_SMPolicyControl.yaml#/components/schemas/</w:t>
      </w:r>
      <w:r>
        <w:t>PortManagementContainer</w:t>
      </w:r>
      <w:r>
        <w:rPr>
          <w:rFonts w:cs="Courier New"/>
          <w:szCs w:val="16"/>
        </w:rPr>
        <w:t>'</w:t>
      </w:r>
    </w:p>
    <w:p>
      <w:pPr>
        <w:pStyle w:val="111"/>
        <w:rPr>
          <w:rFonts w:cs="Courier New"/>
          <w:szCs w:val="16"/>
        </w:rPr>
      </w:pPr>
      <w:r>
        <w:rPr>
          <w:rFonts w:cs="Courier New"/>
          <w:szCs w:val="16"/>
        </w:rPr>
        <w:t xml:space="preserve">        tsnPortManContNwtts: </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'TS29512_Npcf_SMPolicyControl.yaml#/components/schemas/</w:t>
      </w:r>
      <w:r>
        <w:t>PortManagementContainer</w:t>
      </w:r>
      <w:r>
        <w:rPr>
          <w:rFonts w:cs="Courier New"/>
          <w:szCs w:val="16"/>
        </w:rPr>
        <w:t>'</w:t>
      </w:r>
    </w:p>
    <w:p>
      <w:pPr>
        <w:pStyle w:val="111"/>
        <w:rPr>
          <w:rFonts w:cs="Courier New"/>
          <w:szCs w:val="16"/>
        </w:rPr>
      </w:pPr>
      <w:r>
        <w:rPr>
          <w:rFonts w:cs="Courier New"/>
          <w:szCs w:val="16"/>
        </w:rPr>
        <w:t xml:space="preserve">          minItems: 1</w:t>
      </w:r>
    </w:p>
    <w:p>
      <w:pPr>
        <w:pStyle w:val="111"/>
      </w:pPr>
      <w:r>
        <w:t xml:space="preserve">        ueIpv4Addr:</w:t>
      </w:r>
    </w:p>
    <w:p>
      <w:pPr>
        <w:pStyle w:val="111"/>
      </w:pPr>
      <w:r>
        <w:t xml:space="preserve">          $ref: 'TS29571_CommonData.yaml#/components/schemas/Ipv4Addr'</w:t>
      </w:r>
    </w:p>
    <w:p>
      <w:pPr>
        <w:pStyle w:val="111"/>
        <w:rPr>
          <w:rFonts w:cs="Courier New"/>
          <w:szCs w:val="16"/>
        </w:rPr>
      </w:pPr>
      <w:r>
        <w:rPr>
          <w:rFonts w:cs="Courier New"/>
          <w:szCs w:val="16"/>
        </w:rPr>
        <w:t xml:space="preserve">        dnn:</w:t>
      </w:r>
    </w:p>
    <w:p>
      <w:pPr>
        <w:pStyle w:val="111"/>
        <w:rPr>
          <w:rFonts w:cs="Courier New"/>
          <w:szCs w:val="16"/>
        </w:rPr>
      </w:pPr>
      <w:r>
        <w:rPr>
          <w:rFonts w:cs="Courier New"/>
          <w:szCs w:val="16"/>
        </w:rPr>
        <w:t xml:space="preserve">          $ref: 'TS29571_CommonData.yaml#/components/schemas/Dnn'</w:t>
      </w:r>
    </w:p>
    <w:p>
      <w:pPr>
        <w:pStyle w:val="111"/>
        <w:rPr>
          <w:rFonts w:cs="Courier New"/>
          <w:szCs w:val="16"/>
        </w:rPr>
      </w:pPr>
      <w:r>
        <w:rPr>
          <w:rFonts w:cs="Courier New"/>
          <w:szCs w:val="16"/>
        </w:rPr>
        <w:t xml:space="preserve">        snssai:</w:t>
      </w:r>
    </w:p>
    <w:p>
      <w:pPr>
        <w:pStyle w:val="111"/>
        <w:rPr>
          <w:rFonts w:cs="Courier New"/>
          <w:szCs w:val="16"/>
        </w:rPr>
      </w:pPr>
      <w:r>
        <w:rPr>
          <w:rFonts w:cs="Courier New"/>
          <w:szCs w:val="16"/>
        </w:rPr>
        <w:t xml:space="preserve">          $ref: 'TS29571_CommonData.yaml#/components/schemas/Snssai'</w:t>
      </w:r>
    </w:p>
    <w:p>
      <w:pPr>
        <w:pStyle w:val="111"/>
        <w:rPr>
          <w:rFonts w:cs="Courier New"/>
          <w:szCs w:val="16"/>
        </w:rPr>
      </w:pPr>
      <w:r>
        <w:rPr>
          <w:rFonts w:cs="Courier New"/>
          <w:szCs w:val="16"/>
        </w:rPr>
        <w:t xml:space="preserve">        ipDomain:</w:t>
      </w:r>
    </w:p>
    <w:p>
      <w:pPr>
        <w:pStyle w:val="111"/>
        <w:rPr>
          <w:rFonts w:cs="Courier New"/>
          <w:szCs w:val="16"/>
        </w:rPr>
      </w:pPr>
      <w:r>
        <w:rPr>
          <w:rFonts w:cs="Courier New"/>
          <w:szCs w:val="16"/>
        </w:rPr>
        <w:t xml:space="preserve">          type: string</w:t>
      </w:r>
    </w:p>
    <w:p>
      <w:pPr>
        <w:pStyle w:val="111"/>
      </w:pPr>
      <w:r>
        <w:t xml:space="preserve">          description: IPv4 address domain identifier.</w:t>
      </w:r>
    </w:p>
    <w:p>
      <w:pPr>
        <w:pStyle w:val="111"/>
      </w:pPr>
      <w:r>
        <w:t xml:space="preserve">        ueIpv6AddrPrefix:</w:t>
      </w:r>
    </w:p>
    <w:p>
      <w:pPr>
        <w:pStyle w:val="111"/>
      </w:pPr>
      <w:r>
        <w:t xml:space="preserve">          $ref: 'TS29571_CommonData.yaml#/components/schemas/Ipv6Prefix'</w:t>
      </w:r>
    </w:p>
    <w:p>
      <w:pPr>
        <w:pStyle w:val="111"/>
        <w:rPr>
          <w:rFonts w:cs="Courier New"/>
          <w:szCs w:val="16"/>
        </w:rPr>
      </w:pPr>
    </w:p>
    <w:p>
      <w:pPr>
        <w:pStyle w:val="111"/>
        <w:rPr>
          <w:rFonts w:cs="Courier New"/>
          <w:szCs w:val="16"/>
        </w:rPr>
      </w:pPr>
      <w:r>
        <w:rPr>
          <w:rFonts w:cs="Courier New"/>
          <w:szCs w:val="16"/>
        </w:rPr>
        <w:t xml:space="preserve">    QosMonitoringInformationRm:</w:t>
      </w:r>
    </w:p>
    <w:p>
      <w:pPr>
        <w:pStyle w:val="111"/>
        <w:rPr>
          <w:rFonts w:cs="Courier New"/>
          <w:szCs w:val="16"/>
        </w:rPr>
      </w:pPr>
      <w:r>
        <w:rPr>
          <w:rFonts w:cs="Courier New"/>
          <w:szCs w:val="16"/>
        </w:rPr>
        <w:t xml:space="preserve">      description: &gt;</w:t>
      </w:r>
    </w:p>
    <w:p>
      <w:pPr>
        <w:pStyle w:val="111"/>
      </w:pPr>
      <w:r>
        <w:rPr>
          <w:rFonts w:cs="Courier New"/>
          <w:szCs w:val="16"/>
        </w:rPr>
        <w:t xml:space="preserve">        </w:t>
      </w:r>
      <w:r>
        <w:t xml:space="preserve">This data type is defined in the same way as the </w:t>
      </w:r>
      <w:r>
        <w:rPr>
          <w:rFonts w:cs="Courier New"/>
          <w:szCs w:val="16"/>
        </w:rPr>
        <w:t>QosMonitoringInformation</w:t>
      </w:r>
      <w:r>
        <w:t xml:space="preserve"> data type, but</w:t>
      </w:r>
    </w:p>
    <w:p>
      <w:pPr>
        <w:pStyle w:val="111"/>
        <w:rPr>
          <w:rFonts w:cs="Arial"/>
          <w:szCs w:val="18"/>
        </w:rPr>
      </w:pPr>
      <w:r>
        <w:rPr>
          <w:rFonts w:cs="Courier New"/>
          <w:szCs w:val="16"/>
        </w:rPr>
        <w:t xml:space="preserve">        </w:t>
      </w:r>
      <w:r>
        <w:t>with the OpenAPI nullable property set to true</w:t>
      </w:r>
      <w:r>
        <w:rPr>
          <w:rFonts w:cs="Arial"/>
          <w:szCs w:val="18"/>
        </w:rPr>
        <w:t>.</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repThreshDl:</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repThreshUl:</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repThreshRp:</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PcscfRestorationRequestData:</w:t>
      </w:r>
    </w:p>
    <w:p>
      <w:pPr>
        <w:pStyle w:val="111"/>
        <w:rPr>
          <w:rFonts w:cs="Courier New"/>
          <w:szCs w:val="16"/>
        </w:rPr>
      </w:pPr>
      <w:r>
        <w:rPr>
          <w:rFonts w:cs="Courier New"/>
          <w:szCs w:val="16"/>
        </w:rPr>
        <w:t xml:space="preserve">      description: Indicates P-CSCF restoration.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oneOf:</w:t>
      </w:r>
    </w:p>
    <w:p>
      <w:pPr>
        <w:pStyle w:val="111"/>
        <w:rPr>
          <w:rFonts w:cs="Courier New"/>
          <w:szCs w:val="16"/>
        </w:rPr>
      </w:pPr>
      <w:r>
        <w:rPr>
          <w:rFonts w:cs="Courier New"/>
          <w:szCs w:val="16"/>
        </w:rPr>
        <w:t xml:space="preserve">        - required: [ueIpv4]</w:t>
      </w:r>
    </w:p>
    <w:p>
      <w:pPr>
        <w:pStyle w:val="111"/>
        <w:rPr>
          <w:rFonts w:cs="Courier New"/>
          <w:szCs w:val="16"/>
        </w:rPr>
      </w:pPr>
      <w:r>
        <w:rPr>
          <w:rFonts w:cs="Courier New"/>
          <w:szCs w:val="16"/>
        </w:rPr>
        <w:t xml:space="preserve">        - required: [ueIpv6]</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dnn:</w:t>
      </w:r>
    </w:p>
    <w:p>
      <w:pPr>
        <w:pStyle w:val="111"/>
        <w:rPr>
          <w:rFonts w:cs="Courier New"/>
          <w:szCs w:val="16"/>
        </w:rPr>
      </w:pPr>
      <w:r>
        <w:rPr>
          <w:rFonts w:cs="Courier New"/>
          <w:szCs w:val="16"/>
        </w:rPr>
        <w:t xml:space="preserve">          $ref: 'TS29571_CommonData.yaml#/components/schemas/Dnn'</w:t>
      </w:r>
    </w:p>
    <w:p>
      <w:pPr>
        <w:pStyle w:val="111"/>
        <w:rPr>
          <w:rFonts w:cs="Courier New"/>
          <w:szCs w:val="16"/>
        </w:rPr>
      </w:pPr>
      <w:r>
        <w:rPr>
          <w:rFonts w:cs="Courier New"/>
          <w:szCs w:val="16"/>
        </w:rPr>
        <w:t xml:space="preserve">        ipDomain:</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sliceInfo:</w:t>
      </w:r>
    </w:p>
    <w:p>
      <w:pPr>
        <w:pStyle w:val="111"/>
        <w:rPr>
          <w:rFonts w:cs="Courier New"/>
          <w:szCs w:val="16"/>
        </w:rPr>
      </w:pPr>
      <w:r>
        <w:rPr>
          <w:rFonts w:cs="Courier New"/>
          <w:szCs w:val="16"/>
        </w:rPr>
        <w:t xml:space="preserve">          $ref: 'TS29571_CommonData.yaml#/components/schemas/Snssai'</w:t>
      </w:r>
    </w:p>
    <w:p>
      <w:pPr>
        <w:pStyle w:val="111"/>
        <w:rPr>
          <w:rFonts w:cs="Courier New"/>
          <w:szCs w:val="16"/>
        </w:rPr>
      </w:pPr>
      <w:r>
        <w:rPr>
          <w:rFonts w:cs="Courier New"/>
          <w:szCs w:val="16"/>
        </w:rPr>
        <w:t xml:space="preserve">        supi:</w:t>
      </w:r>
    </w:p>
    <w:p>
      <w:pPr>
        <w:pStyle w:val="111"/>
        <w:rPr>
          <w:rFonts w:cs="Courier New"/>
          <w:szCs w:val="16"/>
        </w:rPr>
      </w:pPr>
      <w:r>
        <w:rPr>
          <w:rFonts w:cs="Courier New"/>
          <w:szCs w:val="16"/>
        </w:rPr>
        <w:t xml:space="preserve">          $ref: 'TS29571_CommonData.yaml#/components/schemas/Supi'</w:t>
      </w:r>
    </w:p>
    <w:p>
      <w:pPr>
        <w:pStyle w:val="111"/>
        <w:rPr>
          <w:rFonts w:cs="Courier New"/>
          <w:szCs w:val="16"/>
        </w:rPr>
      </w:pPr>
      <w:r>
        <w:rPr>
          <w:rFonts w:cs="Courier New"/>
          <w:szCs w:val="16"/>
        </w:rPr>
        <w:t xml:space="preserve">        ueIpv4:</w:t>
      </w:r>
    </w:p>
    <w:p>
      <w:pPr>
        <w:pStyle w:val="111"/>
        <w:rPr>
          <w:rFonts w:cs="Courier New"/>
          <w:szCs w:val="16"/>
        </w:rPr>
      </w:pPr>
      <w:r>
        <w:rPr>
          <w:rFonts w:cs="Courier New"/>
          <w:szCs w:val="16"/>
        </w:rPr>
        <w:t xml:space="preserve">          $ref: 'TS29571_CommonData.yaml#/components/schemas/Ipv4Addr'</w:t>
      </w:r>
    </w:p>
    <w:p>
      <w:pPr>
        <w:pStyle w:val="111"/>
        <w:rPr>
          <w:rFonts w:cs="Courier New"/>
          <w:szCs w:val="16"/>
        </w:rPr>
      </w:pPr>
      <w:r>
        <w:rPr>
          <w:rFonts w:cs="Courier New"/>
          <w:szCs w:val="16"/>
        </w:rPr>
        <w:t xml:space="preserve">        ueIpv6:</w:t>
      </w:r>
    </w:p>
    <w:p>
      <w:pPr>
        <w:pStyle w:val="111"/>
        <w:rPr>
          <w:rFonts w:cs="Courier New"/>
          <w:szCs w:val="16"/>
        </w:rPr>
      </w:pPr>
      <w:r>
        <w:rPr>
          <w:rFonts w:cs="Courier New"/>
          <w:szCs w:val="16"/>
        </w:rPr>
        <w:t xml:space="preserve">          $ref: 'TS29571_CommonData.yaml#/components/schemas/Ipv6Addr'</w:t>
      </w:r>
    </w:p>
    <w:p>
      <w:pPr>
        <w:pStyle w:val="111"/>
        <w:rPr>
          <w:rFonts w:cs="Courier New"/>
          <w:szCs w:val="16"/>
        </w:rPr>
      </w:pPr>
    </w:p>
    <w:p>
      <w:pPr>
        <w:pStyle w:val="111"/>
        <w:rPr>
          <w:rFonts w:cs="Courier New"/>
          <w:szCs w:val="16"/>
        </w:rPr>
      </w:pPr>
      <w:r>
        <w:rPr>
          <w:rFonts w:cs="Courier New"/>
          <w:szCs w:val="16"/>
        </w:rPr>
        <w:t xml:space="preserve">    QosMonitoringReport:</w:t>
      </w:r>
    </w:p>
    <w:p>
      <w:pPr>
        <w:pStyle w:val="111"/>
        <w:rPr>
          <w:rFonts w:cs="Courier New"/>
          <w:szCs w:val="16"/>
        </w:rPr>
      </w:pPr>
      <w:r>
        <w:rPr>
          <w:rFonts w:cs="Courier New"/>
          <w:szCs w:val="16"/>
        </w:rPr>
        <w:t xml:space="preserve">      description: QoS Monitoring reporting information.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flows: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'#/components/schemas/Flows'</w:t>
      </w:r>
    </w:p>
    <w:p>
      <w:pPr>
        <w:pStyle w:val="111"/>
      </w:pPr>
      <w:r>
        <w:t xml:space="preserve">          minItems: 1</w:t>
      </w:r>
    </w:p>
    <w:p>
      <w:pPr>
        <w:pStyle w:val="111"/>
      </w:pPr>
      <w:r>
        <w:t xml:space="preserve">        </w:t>
      </w:r>
      <w:r>
        <w:rPr>
          <w:lang w:eastAsia="zh-CN"/>
        </w:rPr>
        <w:t>ulDelays</w:t>
      </w:r>
      <w:r>
        <w:t>:</w:t>
      </w:r>
    </w:p>
    <w:p>
      <w:pPr>
        <w:pStyle w:val="111"/>
      </w:pPr>
      <w:r>
        <w:t xml:space="preserve">          type: array</w:t>
      </w:r>
    </w:p>
    <w:p>
      <w:pPr>
        <w:pStyle w:val="111"/>
      </w:pPr>
      <w:r>
        <w:t xml:space="preserve">          items:</w:t>
      </w:r>
    </w:p>
    <w:p>
      <w:pPr>
        <w:pStyle w:val="111"/>
      </w:pPr>
      <w:r>
        <w:t xml:space="preserve">            type: integer</w:t>
      </w:r>
    </w:p>
    <w:p>
      <w:pPr>
        <w:pStyle w:val="111"/>
      </w:pPr>
      <w:r>
        <w:t xml:space="preserve">          minItems: 1</w:t>
      </w:r>
    </w:p>
    <w:p>
      <w:pPr>
        <w:pStyle w:val="111"/>
      </w:pPr>
      <w:r>
        <w:t xml:space="preserve">        </w:t>
      </w:r>
      <w:r>
        <w:rPr>
          <w:lang w:eastAsia="zh-CN"/>
        </w:rPr>
        <w:t>dlDelays</w:t>
      </w:r>
      <w:r>
        <w:t>:</w:t>
      </w:r>
    </w:p>
    <w:p>
      <w:pPr>
        <w:pStyle w:val="111"/>
      </w:pPr>
      <w:r>
        <w:t xml:space="preserve">          type: array</w:t>
      </w:r>
    </w:p>
    <w:p>
      <w:pPr>
        <w:pStyle w:val="111"/>
      </w:pPr>
      <w:r>
        <w:t xml:space="preserve">          items:</w:t>
      </w:r>
    </w:p>
    <w:p>
      <w:pPr>
        <w:pStyle w:val="111"/>
        <w:tabs>
          <w:tab w:val="left" w:pos="385"/>
          <w:tab w:val="clear" w:pos="384"/>
        </w:tabs>
      </w:pPr>
      <w:r>
        <w:t xml:space="preserve">            type: integer</w:t>
      </w:r>
    </w:p>
    <w:p>
      <w:pPr>
        <w:pStyle w:val="111"/>
        <w:tabs>
          <w:tab w:val="left" w:pos="385"/>
          <w:tab w:val="clear" w:pos="384"/>
        </w:tabs>
      </w:pPr>
      <w:r>
        <w:t xml:space="preserve">          minItems: 1</w:t>
      </w:r>
    </w:p>
    <w:p>
      <w:pPr>
        <w:pStyle w:val="111"/>
      </w:pPr>
      <w:r>
        <w:t xml:space="preserve">        </w:t>
      </w:r>
      <w:r>
        <w:rPr>
          <w:lang w:eastAsia="zh-CN"/>
        </w:rPr>
        <w:t>rtDelays</w:t>
      </w:r>
      <w:r>
        <w:t>:</w:t>
      </w:r>
    </w:p>
    <w:p>
      <w:pPr>
        <w:pStyle w:val="111"/>
      </w:pPr>
      <w:r>
        <w:t xml:space="preserve">          type: array</w:t>
      </w:r>
    </w:p>
    <w:p>
      <w:pPr>
        <w:pStyle w:val="111"/>
      </w:pPr>
      <w:r>
        <w:t xml:space="preserve">          items:</w:t>
      </w:r>
    </w:p>
    <w:p>
      <w:pPr>
        <w:pStyle w:val="111"/>
        <w:tabs>
          <w:tab w:val="left" w:pos="385"/>
          <w:tab w:val="clear" w:pos="384"/>
        </w:tabs>
      </w:pPr>
      <w:r>
        <w:t xml:space="preserve">            type: integer</w:t>
      </w:r>
    </w:p>
    <w:p>
      <w:pPr>
        <w:pStyle w:val="111"/>
        <w:tabs>
          <w:tab w:val="left" w:pos="385"/>
          <w:tab w:val="clear" w:pos="384"/>
        </w:tabs>
      </w:pPr>
      <w:r>
        <w:t xml:space="preserve">          minItems: 1</w:t>
      </w:r>
    </w:p>
    <w:p>
      <w:pPr>
        <w:pStyle w:val="111"/>
      </w:pPr>
      <w:r>
        <w:t xml:space="preserve">        pdmf:</w:t>
      </w:r>
    </w:p>
    <w:p>
      <w:pPr>
        <w:pStyle w:val="111"/>
        <w:tabs>
          <w:tab w:val="left" w:pos="385"/>
          <w:tab w:val="clear" w:pos="384"/>
        </w:tabs>
      </w:pPr>
      <w:r>
        <w:t xml:space="preserve">          type: boolean</w:t>
      </w:r>
    </w:p>
    <w:p>
      <w:pPr>
        <w:pStyle w:val="111"/>
        <w:tabs>
          <w:tab w:val="left" w:pos="385"/>
          <w:tab w:val="clear" w:pos="384"/>
        </w:tabs>
      </w:pPr>
      <w:r>
        <w:t xml:space="preserve">          description: </w:t>
      </w:r>
      <w:r>
        <w:rPr>
          <w:color w:val="000000"/>
          <w:lang w:val="en-US" w:eastAsia="fr-FR"/>
        </w:rPr>
        <w:t>Represents the packet delay measurement failure indicator.</w:t>
      </w:r>
    </w:p>
    <w:p>
      <w:pPr>
        <w:pStyle w:val="111"/>
        <w:rPr>
          <w:rFonts w:cs="Courier New"/>
          <w:szCs w:val="16"/>
        </w:rPr>
      </w:pPr>
    </w:p>
    <w:p>
      <w:pPr>
        <w:pStyle w:val="111"/>
        <w:rPr>
          <w:rFonts w:cs="Courier New"/>
          <w:szCs w:val="16"/>
        </w:rPr>
      </w:pPr>
      <w:r>
        <w:rPr>
          <w:rFonts w:cs="Courier New"/>
          <w:szCs w:val="16"/>
        </w:rPr>
        <w:t xml:space="preserve">    TsnQosContainer:</w:t>
      </w:r>
    </w:p>
    <w:p>
      <w:pPr>
        <w:pStyle w:val="111"/>
        <w:rPr>
          <w:rFonts w:cs="Courier New"/>
          <w:szCs w:val="16"/>
        </w:rPr>
      </w:pPr>
      <w:r>
        <w:rPr>
          <w:rFonts w:cs="Courier New"/>
          <w:szCs w:val="16"/>
        </w:rPr>
        <w:t xml:space="preserve">      description: Indicates TSC Traffic QoS.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maxTscBurstSize:</w:t>
      </w:r>
    </w:p>
    <w:p>
      <w:pPr>
        <w:pStyle w:val="111"/>
        <w:rPr>
          <w:rFonts w:cs="Courier New"/>
          <w:szCs w:val="16"/>
        </w:rPr>
      </w:pPr>
      <w:r>
        <w:rPr>
          <w:rFonts w:cs="Courier New"/>
          <w:szCs w:val="16"/>
        </w:rPr>
        <w:t xml:space="preserve">          $ref: 'TS29571_CommonData.yaml#/components/schemas/ExtMaxDataBurstVol'</w:t>
      </w:r>
    </w:p>
    <w:p>
      <w:pPr>
        <w:pStyle w:val="111"/>
        <w:rPr>
          <w:rFonts w:cs="Courier New"/>
          <w:szCs w:val="16"/>
        </w:rPr>
      </w:pPr>
      <w:r>
        <w:rPr>
          <w:rFonts w:cs="Courier New"/>
          <w:szCs w:val="16"/>
        </w:rPr>
        <w:t xml:space="preserve">        tscPackDelay:</w:t>
      </w:r>
    </w:p>
    <w:p>
      <w:pPr>
        <w:pStyle w:val="111"/>
        <w:rPr>
          <w:rFonts w:cs="Courier New"/>
          <w:szCs w:val="16"/>
        </w:rPr>
      </w:pPr>
      <w:r>
        <w:rPr>
          <w:rFonts w:cs="Courier New"/>
          <w:szCs w:val="16"/>
        </w:rPr>
        <w:t xml:space="preserve">          $ref: 'TS29571_CommonData.yaml#/components/schemas/PacketDelBudget'</w:t>
      </w:r>
    </w:p>
    <w:p>
      <w:pPr>
        <w:pStyle w:val="111"/>
        <w:rPr>
          <w:rFonts w:cs="Courier New"/>
          <w:szCs w:val="16"/>
        </w:rPr>
      </w:pPr>
      <w:r>
        <w:rPr>
          <w:rFonts w:cs="Courier New"/>
          <w:szCs w:val="16"/>
        </w:rPr>
        <w:t xml:space="preserve">        maxPer:</w:t>
      </w:r>
    </w:p>
    <w:p>
      <w:pPr>
        <w:pStyle w:val="111"/>
        <w:rPr>
          <w:rFonts w:cs="Courier New"/>
          <w:szCs w:val="16"/>
        </w:rPr>
      </w:pPr>
      <w:r>
        <w:rPr>
          <w:rFonts w:cs="Courier New"/>
          <w:szCs w:val="16"/>
        </w:rPr>
        <w:t xml:space="preserve">          $ref: 'TS29571_CommonData.yaml#/components/schemas/PacketErrRate'</w:t>
      </w:r>
    </w:p>
    <w:p>
      <w:pPr>
        <w:pStyle w:val="111"/>
        <w:rPr>
          <w:rFonts w:cs="Courier New"/>
          <w:szCs w:val="16"/>
        </w:rPr>
      </w:pPr>
      <w:r>
        <w:rPr>
          <w:rFonts w:cs="Courier New"/>
          <w:szCs w:val="16"/>
        </w:rPr>
        <w:t xml:space="preserve">        tscPrioLevel:</w:t>
      </w:r>
    </w:p>
    <w:p>
      <w:pPr>
        <w:pStyle w:val="111"/>
        <w:rPr>
          <w:rFonts w:cs="Courier New"/>
          <w:szCs w:val="16"/>
        </w:rPr>
      </w:pPr>
      <w:r>
        <w:rPr>
          <w:rFonts w:cs="Courier New"/>
          <w:szCs w:val="16"/>
        </w:rPr>
        <w:t xml:space="preserve">          $ref: </w:t>
      </w:r>
      <w:bookmarkStart w:id="111" w:name="_Hlk33787637"/>
      <w:r>
        <w:rPr>
          <w:rFonts w:cs="Courier New"/>
          <w:szCs w:val="16"/>
        </w:rPr>
        <w:t>'#/components/schemas/TscPriorityLevel'</w:t>
      </w:r>
      <w:bookmarkEnd w:id="111"/>
    </w:p>
    <w:p>
      <w:pPr>
        <w:pStyle w:val="111"/>
        <w:rPr>
          <w:rFonts w:cs="Courier New"/>
          <w:szCs w:val="16"/>
        </w:rPr>
      </w:pPr>
    </w:p>
    <w:p>
      <w:pPr>
        <w:pStyle w:val="111"/>
        <w:rPr>
          <w:rFonts w:cs="Courier New"/>
          <w:szCs w:val="16"/>
        </w:rPr>
      </w:pPr>
      <w:r>
        <w:rPr>
          <w:rFonts w:cs="Courier New"/>
          <w:szCs w:val="16"/>
        </w:rPr>
        <w:t xml:space="preserve">   </w:t>
      </w:r>
      <w:bookmarkStart w:id="112" w:name="OLE_LINK9"/>
      <w:r>
        <w:rPr>
          <w:rFonts w:cs="Courier New"/>
          <w:szCs w:val="16"/>
        </w:rPr>
        <w:t xml:space="preserve"> TsnQosContainerRm:</w:t>
      </w:r>
      <w:bookmarkEnd w:id="112"/>
    </w:p>
    <w:p>
      <w:pPr>
        <w:pStyle w:val="111"/>
        <w:rPr>
          <w:rFonts w:cs="Courier New"/>
          <w:szCs w:val="16"/>
        </w:rPr>
      </w:pPr>
      <w:r>
        <w:rPr>
          <w:rFonts w:cs="Courier New"/>
          <w:szCs w:val="16"/>
        </w:rPr>
        <w:t xml:space="preserve">      description: Indicates removable TSC Traffic QoS.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maxTscBurstSize:</w:t>
      </w:r>
    </w:p>
    <w:p>
      <w:pPr>
        <w:pStyle w:val="111"/>
        <w:rPr>
          <w:rFonts w:cs="Courier New"/>
          <w:szCs w:val="16"/>
        </w:rPr>
      </w:pPr>
      <w:r>
        <w:rPr>
          <w:rFonts w:cs="Courier New"/>
          <w:szCs w:val="16"/>
        </w:rPr>
        <w:t xml:space="preserve">          $ref: 'TS29571_CommonData.yaml#/components/schemas/ExtMaxDataBurstVolRm'</w:t>
      </w:r>
    </w:p>
    <w:p>
      <w:pPr>
        <w:pStyle w:val="111"/>
        <w:rPr>
          <w:rFonts w:cs="Courier New"/>
          <w:szCs w:val="16"/>
        </w:rPr>
      </w:pPr>
      <w:r>
        <w:rPr>
          <w:rFonts w:cs="Courier New"/>
          <w:szCs w:val="16"/>
        </w:rPr>
        <w:t xml:space="preserve">        tscPackDelay:</w:t>
      </w:r>
    </w:p>
    <w:p>
      <w:pPr>
        <w:pStyle w:val="111"/>
        <w:rPr>
          <w:rFonts w:cs="Courier New"/>
          <w:szCs w:val="16"/>
        </w:rPr>
      </w:pPr>
      <w:r>
        <w:rPr>
          <w:rFonts w:cs="Courier New"/>
          <w:szCs w:val="16"/>
        </w:rPr>
        <w:t xml:space="preserve">          $ref: 'TS29571_CommonData.yaml#/components/schemas/PacketDelBudgetRm'</w:t>
      </w:r>
    </w:p>
    <w:p>
      <w:pPr>
        <w:pStyle w:val="111"/>
        <w:rPr>
          <w:rFonts w:cs="Courier New"/>
          <w:szCs w:val="16"/>
        </w:rPr>
      </w:pPr>
      <w:r>
        <w:rPr>
          <w:rFonts w:cs="Courier New"/>
          <w:szCs w:val="16"/>
        </w:rPr>
        <w:t xml:space="preserve">        maxPer:</w:t>
      </w:r>
    </w:p>
    <w:p>
      <w:pPr>
        <w:pStyle w:val="111"/>
        <w:rPr>
          <w:rFonts w:cs="Courier New"/>
          <w:szCs w:val="16"/>
        </w:rPr>
      </w:pPr>
      <w:r>
        <w:rPr>
          <w:rFonts w:cs="Courier New"/>
          <w:szCs w:val="16"/>
        </w:rPr>
        <w:t xml:space="preserve">          $ref: 'TS29571_CommonData.yaml#/components/schemas/PacketErrRateRm'</w:t>
      </w:r>
    </w:p>
    <w:p>
      <w:pPr>
        <w:pStyle w:val="111"/>
        <w:rPr>
          <w:rFonts w:cs="Courier New"/>
          <w:szCs w:val="16"/>
        </w:rPr>
      </w:pPr>
      <w:r>
        <w:rPr>
          <w:rFonts w:cs="Courier New"/>
          <w:szCs w:val="16"/>
        </w:rPr>
        <w:t xml:space="preserve">        tscPrioLevel:</w:t>
      </w:r>
    </w:p>
    <w:p>
      <w:pPr>
        <w:pStyle w:val="111"/>
        <w:rPr>
          <w:rFonts w:cs="Courier New"/>
          <w:szCs w:val="16"/>
        </w:rPr>
      </w:pPr>
      <w:r>
        <w:rPr>
          <w:rFonts w:cs="Courier New"/>
          <w:szCs w:val="16"/>
        </w:rPr>
        <w:t xml:space="preserve">          </w:t>
      </w:r>
      <w:bookmarkStart w:id="113" w:name="_Hlk33787705"/>
      <w:r>
        <w:rPr>
          <w:rFonts w:cs="Courier New"/>
          <w:szCs w:val="16"/>
        </w:rPr>
        <w:t>$ref: '#/components/schemas/TscPriorityLevelRm'</w:t>
      </w:r>
      <w:bookmarkEnd w:id="113"/>
    </w:p>
    <w:p>
      <w:pPr>
        <w:pStyle w:val="111"/>
        <w:rPr>
          <w:rFonts w:cs="Courier New"/>
          <w:szCs w:val="16"/>
        </w:rPr>
      </w:pPr>
      <w:r>
        <w:rPr>
          <w:rFonts w:cs="Courier New"/>
          <w:szCs w:val="16"/>
        </w:rPr>
        <w:t xml:space="preserve">      nullable: true</w:t>
      </w:r>
    </w:p>
    <w:p>
      <w:pPr>
        <w:pStyle w:val="111"/>
        <w:rPr>
          <w:ins w:id="757" w:author="CMCC" w:date="2023-04-10T01:10:53Z"/>
          <w:rFonts w:cs="Courier New"/>
          <w:szCs w:val="16"/>
        </w:rPr>
      </w:pPr>
    </w:p>
    <w:p>
      <w:pPr>
        <w:pStyle w:val="111"/>
        <w:rPr>
          <w:ins w:id="758" w:author="CMCC" w:date="2023-04-10T01:10:54Z"/>
          <w:rFonts w:cs="Courier New"/>
          <w:szCs w:val="16"/>
        </w:rPr>
      </w:pPr>
      <w:ins w:id="759" w:author="CMCC" w:date="2023-04-10T01:10:54Z">
        <w:r>
          <w:rPr>
            <w:rFonts w:cs="Courier New"/>
            <w:szCs w:val="16"/>
          </w:rPr>
          <w:t xml:space="preserve">    </w:t>
        </w:r>
      </w:ins>
      <w:ins w:id="760" w:author="CMCC2" w:date="2023-04-19T09:50:36Z">
        <w:r>
          <w:rPr>
            <w:rFonts w:hint="eastAsia"/>
            <w:lang w:eastAsia="zh-CN"/>
          </w:rPr>
          <w:t>P</w:t>
        </w:r>
      </w:ins>
      <w:ins w:id="761" w:author="CMCC2" w:date="2023-04-19T09:50:36Z">
        <w:r>
          <w:rPr>
            <w:lang w:eastAsia="zh-CN"/>
          </w:rPr>
          <w:t>duSetQosPara</w:t>
        </w:r>
      </w:ins>
      <w:ins w:id="762" w:author="CMCC" w:date="2023-04-10T01:17:26Z">
        <w:del w:id="763" w:author="CMCC2" w:date="2023-04-19T09:50:36Z">
          <w:r>
            <w:rPr>
              <w:rFonts w:hint="eastAsia" w:eastAsia="宋体" w:cs="Courier New"/>
              <w:szCs w:val="16"/>
              <w:lang w:val="en-US" w:eastAsia="zh-CN"/>
            </w:rPr>
            <w:delText>PduSetQosContainer</w:delText>
          </w:r>
        </w:del>
      </w:ins>
      <w:ins w:id="764" w:author="CMCC" w:date="2023-04-10T01:10:54Z">
        <w:r>
          <w:rPr>
            <w:rFonts w:cs="Courier New"/>
            <w:szCs w:val="16"/>
          </w:rPr>
          <w:t>:</w:t>
        </w:r>
      </w:ins>
    </w:p>
    <w:p>
      <w:pPr>
        <w:pStyle w:val="111"/>
        <w:rPr>
          <w:ins w:id="765" w:author="CMCC" w:date="2023-04-10T01:10:54Z"/>
          <w:rFonts w:cs="Courier New"/>
          <w:szCs w:val="16"/>
        </w:rPr>
      </w:pPr>
      <w:ins w:id="766" w:author="CMCC" w:date="2023-04-10T01:10:54Z">
        <w:r>
          <w:rPr>
            <w:rFonts w:cs="Courier New"/>
            <w:szCs w:val="16"/>
          </w:rPr>
          <w:t xml:space="preserve">      description: </w:t>
        </w:r>
      </w:ins>
      <w:ins w:id="767" w:author="CMCC-r2" w:date="2023-04-20T19:09:43Z">
        <w:r>
          <w:rPr/>
          <w:t>Represents the PDU Set level QoS parameters</w:t>
        </w:r>
      </w:ins>
      <w:ins w:id="768" w:author="CMCC" w:date="2023-04-10T01:10:54Z">
        <w:del w:id="769" w:author="CMCC-r2" w:date="2023-04-20T19:09:43Z">
          <w:r>
            <w:rPr>
              <w:rFonts w:cs="Courier New"/>
              <w:szCs w:val="16"/>
            </w:rPr>
            <w:delText xml:space="preserve">Indicates </w:delText>
          </w:r>
        </w:del>
      </w:ins>
      <w:ins w:id="770" w:author="CMCC" w:date="2023-04-10T01:11:13Z">
        <w:del w:id="771" w:author="CMCC-r2" w:date="2023-04-20T19:09:43Z">
          <w:r>
            <w:rPr>
              <w:rFonts w:hint="eastAsia" w:eastAsia="宋体" w:cs="Courier New"/>
              <w:szCs w:val="16"/>
              <w:lang w:val="en-US" w:eastAsia="zh-CN"/>
            </w:rPr>
            <w:delText>P</w:delText>
          </w:r>
        </w:del>
      </w:ins>
      <w:ins w:id="772" w:author="CMCC" w:date="2023-04-10T01:11:15Z">
        <w:del w:id="773" w:author="CMCC-r2" w:date="2023-04-20T19:09:43Z">
          <w:r>
            <w:rPr>
              <w:rFonts w:hint="eastAsia" w:eastAsia="宋体" w:cs="Courier New"/>
              <w:szCs w:val="16"/>
              <w:lang w:val="en-US" w:eastAsia="zh-CN"/>
            </w:rPr>
            <w:delText>D</w:delText>
          </w:r>
        </w:del>
      </w:ins>
      <w:ins w:id="774" w:author="CMCC" w:date="2023-04-10T01:11:16Z">
        <w:del w:id="775" w:author="CMCC-r2" w:date="2023-04-20T19:09:43Z">
          <w:r>
            <w:rPr>
              <w:rFonts w:hint="eastAsia" w:eastAsia="宋体" w:cs="Courier New"/>
              <w:szCs w:val="16"/>
              <w:lang w:val="en-US" w:eastAsia="zh-CN"/>
            </w:rPr>
            <w:delText xml:space="preserve">U </w:delText>
          </w:r>
        </w:del>
      </w:ins>
      <w:ins w:id="776" w:author="CMCC" w:date="2023-04-10T01:11:18Z">
        <w:del w:id="777" w:author="CMCC-r2" w:date="2023-04-20T19:09:43Z">
          <w:r>
            <w:rPr>
              <w:rFonts w:hint="eastAsia" w:eastAsia="宋体" w:cs="Courier New"/>
              <w:szCs w:val="16"/>
              <w:lang w:val="en-US" w:eastAsia="zh-CN"/>
            </w:rPr>
            <w:delText>S</w:delText>
          </w:r>
        </w:del>
      </w:ins>
      <w:ins w:id="778" w:author="CMCC" w:date="2023-04-10T01:11:19Z">
        <w:del w:id="779" w:author="CMCC-r2" w:date="2023-04-20T19:09:43Z">
          <w:r>
            <w:rPr>
              <w:rFonts w:hint="eastAsia" w:eastAsia="宋体" w:cs="Courier New"/>
              <w:szCs w:val="16"/>
              <w:lang w:val="en-US" w:eastAsia="zh-CN"/>
            </w:rPr>
            <w:delText>et</w:delText>
          </w:r>
        </w:del>
      </w:ins>
      <w:ins w:id="780" w:author="CMCC" w:date="2023-04-10T01:10:54Z">
        <w:del w:id="781" w:author="CMCC-r2" w:date="2023-04-20T19:09:43Z">
          <w:r>
            <w:rPr>
              <w:rFonts w:cs="Courier New"/>
              <w:szCs w:val="16"/>
            </w:rPr>
            <w:delText xml:space="preserve"> Traffic QoS</w:delText>
          </w:r>
        </w:del>
      </w:ins>
      <w:ins w:id="782" w:author="CMCC" w:date="2023-04-10T01:10:54Z">
        <w:r>
          <w:rPr>
            <w:rFonts w:cs="Courier New"/>
            <w:szCs w:val="16"/>
          </w:rPr>
          <w:t>.</w:t>
        </w:r>
      </w:ins>
    </w:p>
    <w:p>
      <w:pPr>
        <w:pStyle w:val="111"/>
        <w:rPr>
          <w:ins w:id="783" w:author="CMCC" w:date="2023-04-10T01:10:54Z"/>
          <w:rFonts w:cs="Courier New"/>
          <w:szCs w:val="16"/>
        </w:rPr>
      </w:pPr>
      <w:ins w:id="784" w:author="CMCC" w:date="2023-04-10T01:10:54Z">
        <w:r>
          <w:rPr>
            <w:rFonts w:cs="Courier New"/>
            <w:szCs w:val="16"/>
          </w:rPr>
          <w:t xml:space="preserve">      type: object</w:t>
        </w:r>
      </w:ins>
    </w:p>
    <w:p>
      <w:pPr>
        <w:pStyle w:val="111"/>
        <w:rPr>
          <w:ins w:id="785" w:author="CMCC" w:date="2023-04-10T01:10:54Z"/>
          <w:rFonts w:cs="Courier New"/>
          <w:szCs w:val="16"/>
        </w:rPr>
      </w:pPr>
      <w:ins w:id="786" w:author="CMCC" w:date="2023-04-10T01:10:54Z">
        <w:r>
          <w:rPr>
            <w:rFonts w:cs="Courier New"/>
            <w:szCs w:val="16"/>
          </w:rPr>
          <w:t xml:space="preserve">      properties:</w:t>
        </w:r>
      </w:ins>
    </w:p>
    <w:p>
      <w:pPr>
        <w:pStyle w:val="111"/>
        <w:rPr>
          <w:ins w:id="787" w:author="CMCC" w:date="2023-04-10T01:10:54Z"/>
          <w:rFonts w:cs="Courier New"/>
          <w:szCs w:val="16"/>
        </w:rPr>
      </w:pPr>
      <w:ins w:id="788" w:author="CMCC" w:date="2023-04-10T01:10:54Z">
        <w:r>
          <w:rPr>
            <w:rFonts w:cs="Courier New"/>
            <w:szCs w:val="16"/>
          </w:rPr>
          <w:t xml:space="preserve">        </w:t>
        </w:r>
      </w:ins>
      <w:ins w:id="789" w:author="CMCC-r2" w:date="2023-04-20T19:07:04Z">
        <w:bookmarkStart w:id="114" w:name="OLE_LINK11"/>
        <w:r>
          <w:rPr>
            <w:rFonts w:hint="eastAsia" w:eastAsia="宋体" w:cs="Courier New"/>
            <w:szCs w:val="16"/>
            <w:lang w:val="en-US" w:eastAsia="zh-CN"/>
          </w:rPr>
          <w:t>P</w:t>
        </w:r>
      </w:ins>
      <w:ins w:id="790" w:author="CMCC" w:date="2023-04-10T01:14:33Z">
        <w:del w:id="791" w:author="CMCC-r2" w:date="2023-04-20T19:07:03Z">
          <w:r>
            <w:rPr>
              <w:rFonts w:hint="eastAsia" w:eastAsia="宋体"/>
              <w:highlight w:val="none"/>
              <w:lang w:val="en-US" w:eastAsia="zh-CN"/>
            </w:rPr>
            <w:delText>p</w:delText>
          </w:r>
        </w:del>
      </w:ins>
      <w:ins w:id="792" w:author="CMCC" w:date="2023-04-10T01:14:33Z">
        <w:r>
          <w:rPr>
            <w:rFonts w:hint="eastAsia" w:eastAsia="宋体"/>
            <w:highlight w:val="none"/>
            <w:lang w:val="en-US" w:eastAsia="zh-CN"/>
          </w:rPr>
          <w:t>duSetDelayBudget</w:t>
        </w:r>
        <w:bookmarkEnd w:id="114"/>
      </w:ins>
      <w:ins w:id="793" w:author="CMCC" w:date="2023-04-10T01:10:54Z">
        <w:r>
          <w:rPr>
            <w:rFonts w:cs="Courier New"/>
            <w:szCs w:val="16"/>
          </w:rPr>
          <w:t>:</w:t>
        </w:r>
      </w:ins>
    </w:p>
    <w:p>
      <w:pPr>
        <w:pStyle w:val="111"/>
        <w:rPr>
          <w:ins w:id="794" w:author="CMCC" w:date="2023-04-10T01:13:46Z"/>
          <w:rFonts w:cs="Courier New"/>
          <w:szCs w:val="16"/>
        </w:rPr>
      </w:pPr>
      <w:ins w:id="795" w:author="CMCC" w:date="2023-04-10T01:13:35Z">
        <w:r>
          <w:rPr>
            <w:rFonts w:cs="Courier New"/>
            <w:szCs w:val="16"/>
          </w:rPr>
          <w:t xml:space="preserve">          </w:t>
        </w:r>
      </w:ins>
      <w:ins w:id="796" w:author="CMCC-r2" w:date="2023-04-20T19:11:07Z">
        <w:r>
          <w:rPr>
            <w:rFonts w:cs="Courier New"/>
            <w:szCs w:val="16"/>
          </w:rPr>
          <w:t>$ref: 'TS29571_CommonData.yaml#/components/schemas/</w:t>
        </w:r>
      </w:ins>
      <w:ins w:id="797" w:author="CMCC-r2" w:date="2023-04-20T19:12:19Z">
        <w:r>
          <w:rPr>
            <w:rFonts w:hint="eastAsia" w:eastAsia="宋体" w:cs="Courier New"/>
            <w:szCs w:val="16"/>
            <w:lang w:val="en-US" w:eastAsia="zh-CN"/>
          </w:rPr>
          <w:t>P</w:t>
        </w:r>
      </w:ins>
      <w:ins w:id="798" w:author="CMCC-r2" w:date="2023-04-20T19:12:20Z">
        <w:r>
          <w:rPr>
            <w:rFonts w:hint="eastAsia" w:eastAsia="宋体" w:cs="Courier New"/>
            <w:szCs w:val="16"/>
            <w:lang w:val="en-US" w:eastAsia="zh-CN"/>
          </w:rPr>
          <w:t>du</w:t>
        </w:r>
      </w:ins>
      <w:ins w:id="799" w:author="CMCC-r2" w:date="2023-04-20T19:12:22Z">
        <w:r>
          <w:rPr>
            <w:rFonts w:hint="eastAsia" w:eastAsia="宋体" w:cs="Courier New"/>
            <w:szCs w:val="16"/>
            <w:lang w:val="en-US" w:eastAsia="zh-CN"/>
          </w:rPr>
          <w:t>Se</w:t>
        </w:r>
      </w:ins>
      <w:ins w:id="800" w:author="CMCC-r2" w:date="2023-04-20T19:12:23Z">
        <w:r>
          <w:rPr>
            <w:rFonts w:hint="eastAsia" w:eastAsia="宋体" w:cs="Courier New"/>
            <w:szCs w:val="16"/>
            <w:lang w:val="en-US" w:eastAsia="zh-CN"/>
          </w:rPr>
          <w:t>tD</w:t>
        </w:r>
      </w:ins>
      <w:ins w:id="801" w:author="CMCC-r2" w:date="2023-04-20T19:12:24Z">
        <w:r>
          <w:rPr>
            <w:rFonts w:hint="eastAsia" w:eastAsia="宋体" w:cs="Courier New"/>
            <w:szCs w:val="16"/>
            <w:lang w:val="en-US" w:eastAsia="zh-CN"/>
          </w:rPr>
          <w:t>elay</w:t>
        </w:r>
      </w:ins>
      <w:ins w:id="802" w:author="CMCC-r2" w:date="2023-04-20T19:12:25Z">
        <w:r>
          <w:rPr>
            <w:rFonts w:hint="eastAsia" w:eastAsia="宋体" w:cs="Courier New"/>
            <w:szCs w:val="16"/>
            <w:lang w:val="en-US" w:eastAsia="zh-CN"/>
          </w:rPr>
          <w:t>B</w:t>
        </w:r>
      </w:ins>
      <w:ins w:id="803" w:author="CMCC-r2" w:date="2023-04-20T19:12:26Z">
        <w:r>
          <w:rPr>
            <w:rFonts w:hint="eastAsia" w:eastAsia="宋体" w:cs="Courier New"/>
            <w:szCs w:val="16"/>
            <w:lang w:val="en-US" w:eastAsia="zh-CN"/>
          </w:rPr>
          <w:t>udget</w:t>
        </w:r>
      </w:ins>
      <w:ins w:id="804" w:author="CMCC-r2" w:date="2023-04-20T19:11:07Z">
        <w:r>
          <w:rPr>
            <w:rFonts w:cs="Courier New"/>
            <w:szCs w:val="16"/>
          </w:rPr>
          <w:t>'</w:t>
        </w:r>
      </w:ins>
      <w:ins w:id="805" w:author="CMCC" w:date="2023-04-10T01:13:35Z">
        <w:del w:id="806" w:author="CMCC-r2" w:date="2023-04-20T19:11:07Z">
          <w:r>
            <w:rPr>
              <w:rFonts w:cs="Courier New"/>
              <w:szCs w:val="16"/>
            </w:rPr>
            <w:delText>type: integer</w:delText>
          </w:r>
        </w:del>
      </w:ins>
    </w:p>
    <w:p>
      <w:pPr>
        <w:pStyle w:val="111"/>
        <w:rPr>
          <w:ins w:id="807" w:author="CMCC" w:date="2023-04-10T01:13:35Z"/>
          <w:del w:id="808" w:author="CMCC-r2" w:date="2023-04-20T19:13:05Z"/>
          <w:rFonts w:cs="Courier New"/>
          <w:szCs w:val="16"/>
        </w:rPr>
      </w:pPr>
      <w:ins w:id="809" w:author="CMCC" w:date="2023-04-10T01:13:46Z">
        <w:del w:id="810" w:author="CMCC-r2" w:date="2023-04-20T19:13:05Z">
          <w:r>
            <w:rPr/>
            <w:delText xml:space="preserve">          minItems: 1</w:delText>
          </w:r>
        </w:del>
      </w:ins>
    </w:p>
    <w:p>
      <w:pPr>
        <w:pStyle w:val="111"/>
        <w:rPr>
          <w:ins w:id="811" w:author="CMCC" w:date="2023-04-10T01:10:54Z"/>
          <w:rFonts w:cs="Courier New"/>
          <w:szCs w:val="16"/>
        </w:rPr>
      </w:pPr>
      <w:ins w:id="812" w:author="CMCC" w:date="2023-04-10T01:10:54Z">
        <w:r>
          <w:rPr>
            <w:rFonts w:cs="Courier New"/>
            <w:szCs w:val="16"/>
          </w:rPr>
          <w:t xml:space="preserve">        </w:t>
        </w:r>
      </w:ins>
      <w:ins w:id="813" w:author="CMCC-r2" w:date="2023-04-20T19:07:57Z">
        <w:r>
          <w:rPr>
            <w:rFonts w:hint="eastAsia" w:eastAsia="宋体" w:cs="Courier New"/>
            <w:szCs w:val="16"/>
            <w:lang w:val="en-US" w:eastAsia="zh-CN"/>
          </w:rPr>
          <w:t>P</w:t>
        </w:r>
      </w:ins>
      <w:ins w:id="814" w:author="CMCC2" w:date="2023-04-19T09:51:09Z">
        <w:del w:id="815" w:author="CMCC-r2" w:date="2023-04-20T19:07:56Z">
          <w:r>
            <w:rPr>
              <w:rFonts w:eastAsia="Times New Roman"/>
            </w:rPr>
            <w:delText>p</w:delText>
          </w:r>
        </w:del>
      </w:ins>
      <w:ins w:id="816" w:author="CMCC2" w:date="2023-04-19T09:51:09Z">
        <w:r>
          <w:rPr>
            <w:rFonts w:eastAsia="Times New Roman"/>
          </w:rPr>
          <w:t>duSetErrRate</w:t>
        </w:r>
      </w:ins>
      <w:ins w:id="817" w:author="CMCC" w:date="2023-04-10T01:14:51Z">
        <w:del w:id="818" w:author="CMCC2" w:date="2023-04-19T09:51:09Z">
          <w:r>
            <w:rPr>
              <w:rFonts w:hint="eastAsia" w:eastAsia="宋体"/>
              <w:highlight w:val="none"/>
              <w:lang w:val="en-US" w:eastAsia="zh-CN"/>
            </w:rPr>
            <w:delText>pduSetErrorRate</w:delText>
          </w:r>
        </w:del>
      </w:ins>
      <w:ins w:id="819" w:author="CMCC" w:date="2023-04-10T01:10:54Z">
        <w:r>
          <w:rPr>
            <w:rFonts w:cs="Courier New"/>
            <w:szCs w:val="16"/>
          </w:rPr>
          <w:t>:</w:t>
        </w:r>
      </w:ins>
    </w:p>
    <w:p>
      <w:pPr>
        <w:pStyle w:val="111"/>
        <w:rPr>
          <w:ins w:id="820" w:author="CMCC" w:date="2023-04-10T01:13:37Z"/>
          <w:rFonts w:hint="default" w:eastAsia="宋体" w:cs="Courier New"/>
          <w:szCs w:val="16"/>
          <w:lang w:val="en-US" w:eastAsia="zh-CN"/>
        </w:rPr>
      </w:pPr>
      <w:ins w:id="821" w:author="CMCC" w:date="2023-04-10T01:13:37Z">
        <w:r>
          <w:rPr>
            <w:rFonts w:cs="Courier New"/>
            <w:szCs w:val="16"/>
          </w:rPr>
          <w:t xml:space="preserve">          </w:t>
        </w:r>
      </w:ins>
      <w:ins w:id="822" w:author="CMCC-r2" w:date="2023-04-20T19:13:15Z">
        <w:r>
          <w:rPr>
            <w:rFonts w:cs="Courier New"/>
            <w:szCs w:val="16"/>
          </w:rPr>
          <w:t>$ref: 'TS29571_CommonData.yaml#/components/schemas/</w:t>
        </w:r>
      </w:ins>
      <w:ins w:id="823" w:author="CMCC-r2" w:date="2023-04-20T19:13:15Z">
        <w:r>
          <w:rPr>
            <w:rFonts w:hint="eastAsia" w:eastAsia="宋体" w:cs="Courier New"/>
            <w:szCs w:val="16"/>
            <w:lang w:val="en-US" w:eastAsia="zh-CN"/>
          </w:rPr>
          <w:t>PduSet</w:t>
        </w:r>
      </w:ins>
      <w:ins w:id="824" w:author="CMCC-r2" w:date="2023-04-20T19:13:25Z">
        <w:r>
          <w:rPr>
            <w:rFonts w:hint="eastAsia" w:eastAsia="宋体" w:cs="Courier New"/>
            <w:szCs w:val="16"/>
            <w:lang w:val="en-US" w:eastAsia="zh-CN"/>
          </w:rPr>
          <w:t>Er</w:t>
        </w:r>
      </w:ins>
      <w:ins w:id="825" w:author="CMCC-r2" w:date="2023-04-20T19:13:26Z">
        <w:r>
          <w:rPr>
            <w:rFonts w:hint="eastAsia" w:eastAsia="宋体" w:cs="Courier New"/>
            <w:szCs w:val="16"/>
            <w:lang w:val="en-US" w:eastAsia="zh-CN"/>
          </w:rPr>
          <w:t>r</w:t>
        </w:r>
      </w:ins>
      <w:ins w:id="826" w:author="CMCC-r2" w:date="2023-04-20T19:13:27Z">
        <w:r>
          <w:rPr>
            <w:rFonts w:hint="eastAsia" w:eastAsia="宋体" w:cs="Courier New"/>
            <w:szCs w:val="16"/>
            <w:lang w:val="en-US" w:eastAsia="zh-CN"/>
          </w:rPr>
          <w:t>Rate</w:t>
        </w:r>
      </w:ins>
      <w:ins w:id="827" w:author="CMCC-r2" w:date="2023-04-20T19:13:15Z">
        <w:r>
          <w:rPr>
            <w:rFonts w:cs="Courier New"/>
            <w:szCs w:val="16"/>
          </w:rPr>
          <w:t>'</w:t>
        </w:r>
      </w:ins>
      <w:ins w:id="828" w:author="CMCC" w:date="2023-04-10T01:13:37Z">
        <w:del w:id="829" w:author="CMCC-r2" w:date="2023-04-20T19:13:15Z">
          <w:r>
            <w:rPr>
              <w:rFonts w:cs="Courier New"/>
              <w:szCs w:val="16"/>
            </w:rPr>
            <w:delText xml:space="preserve">type: </w:delText>
          </w:r>
        </w:del>
      </w:ins>
      <w:ins w:id="830" w:author="CMCC" w:date="2023-04-10T01:14:54Z">
        <w:del w:id="831" w:author="CMCC-r2" w:date="2023-04-20T19:13:15Z">
          <w:r>
            <w:rPr>
              <w:rFonts w:hint="eastAsia" w:eastAsia="宋体" w:cs="Courier New"/>
              <w:szCs w:val="16"/>
              <w:lang w:val="en-US" w:eastAsia="zh-CN"/>
            </w:rPr>
            <w:delText>string</w:delText>
          </w:r>
        </w:del>
      </w:ins>
    </w:p>
    <w:p>
      <w:pPr>
        <w:pStyle w:val="111"/>
        <w:rPr>
          <w:ins w:id="832" w:author="CMCC" w:date="2023-04-10T01:10:54Z"/>
          <w:rFonts w:cs="Courier New"/>
          <w:szCs w:val="16"/>
        </w:rPr>
      </w:pPr>
    </w:p>
    <w:p>
      <w:pPr>
        <w:pStyle w:val="111"/>
        <w:rPr>
          <w:ins w:id="833" w:author="CMCC" w:date="2023-04-10T01:15:16Z"/>
          <w:rFonts w:cs="Courier New"/>
          <w:szCs w:val="16"/>
        </w:rPr>
      </w:pPr>
      <w:ins w:id="834" w:author="CMCC" w:date="2023-04-10T01:10:54Z">
        <w:r>
          <w:rPr>
            <w:rFonts w:cs="Courier New"/>
            <w:szCs w:val="16"/>
          </w:rPr>
          <w:t xml:space="preserve"> </w:t>
        </w:r>
      </w:ins>
    </w:p>
    <w:p>
      <w:pPr>
        <w:pStyle w:val="111"/>
        <w:rPr>
          <w:ins w:id="835" w:author="CMCC" w:date="2023-04-10T01:15:16Z"/>
          <w:rFonts w:cs="Courier New"/>
          <w:szCs w:val="16"/>
        </w:rPr>
      </w:pPr>
      <w:ins w:id="836" w:author="CMCC" w:date="2023-04-10T01:15:16Z">
        <w:r>
          <w:rPr>
            <w:rFonts w:cs="Courier New"/>
            <w:szCs w:val="16"/>
          </w:rPr>
          <w:t xml:space="preserve">    </w:t>
        </w:r>
      </w:ins>
      <w:ins w:id="837" w:author="CMCC2" w:date="2023-04-19T09:50:39Z">
        <w:r>
          <w:rPr>
            <w:rFonts w:hint="eastAsia"/>
            <w:lang w:eastAsia="zh-CN"/>
          </w:rPr>
          <w:t>P</w:t>
        </w:r>
      </w:ins>
      <w:ins w:id="838" w:author="CMCC2" w:date="2023-04-19T09:50:39Z">
        <w:r>
          <w:rPr>
            <w:lang w:eastAsia="zh-CN"/>
          </w:rPr>
          <w:t>duSetQosPara</w:t>
        </w:r>
      </w:ins>
      <w:ins w:id="839" w:author="CMCC2" w:date="2023-04-19T09:50:43Z">
        <w:r>
          <w:rPr>
            <w:rFonts w:hint="eastAsia"/>
            <w:lang w:val="en-US" w:eastAsia="zh-CN"/>
          </w:rPr>
          <w:t>R</w:t>
        </w:r>
      </w:ins>
      <w:ins w:id="840" w:author="CMCC2" w:date="2023-04-19T09:50:44Z">
        <w:r>
          <w:rPr>
            <w:rFonts w:hint="eastAsia"/>
            <w:lang w:val="en-US" w:eastAsia="zh-CN"/>
          </w:rPr>
          <w:t>m</w:t>
        </w:r>
      </w:ins>
      <w:ins w:id="841" w:author="CMCC" w:date="2023-04-10T01:17:45Z">
        <w:del w:id="842" w:author="CMCC2" w:date="2023-04-19T09:50:39Z">
          <w:r>
            <w:rPr>
              <w:rFonts w:hint="eastAsia" w:eastAsia="宋体" w:cs="Courier New"/>
              <w:szCs w:val="16"/>
              <w:lang w:val="en-US" w:eastAsia="zh-CN"/>
            </w:rPr>
            <w:delText>PduSetQosContainerRm</w:delText>
          </w:r>
        </w:del>
      </w:ins>
      <w:ins w:id="843" w:author="CMCC" w:date="2023-04-10T01:15:16Z">
        <w:r>
          <w:rPr>
            <w:rFonts w:cs="Courier New"/>
            <w:szCs w:val="16"/>
          </w:rPr>
          <w:t>:</w:t>
        </w:r>
      </w:ins>
    </w:p>
    <w:p>
      <w:pPr>
        <w:pStyle w:val="111"/>
        <w:rPr>
          <w:ins w:id="844" w:author="CMCC" w:date="2023-04-10T01:15:16Z"/>
          <w:rFonts w:cs="Courier New"/>
          <w:szCs w:val="16"/>
        </w:rPr>
      </w:pPr>
      <w:ins w:id="845" w:author="CMCC" w:date="2023-04-10T01:15:16Z">
        <w:r>
          <w:rPr>
            <w:rFonts w:cs="Courier New"/>
            <w:szCs w:val="16"/>
          </w:rPr>
          <w:t xml:space="preserve">      description: </w:t>
        </w:r>
      </w:ins>
      <w:ins w:id="846" w:author="CMCC-r2" w:date="2023-04-20T19:10:12Z">
        <w:r>
          <w:rPr>
            <w:rFonts w:eastAsia="等线"/>
          </w:rPr>
          <w:t>"</w:t>
        </w:r>
      </w:ins>
      <w:ins w:id="847" w:author="CMCC-r2" w:date="2023-04-20T19:10:12Z">
        <w:r>
          <w:rPr>
            <w:rFonts w:hint="eastAsia"/>
            <w:lang w:eastAsia="zh-CN"/>
          </w:rPr>
          <w:t>P</w:t>
        </w:r>
      </w:ins>
      <w:ins w:id="848" w:author="CMCC-r2" w:date="2023-04-20T19:10:12Z">
        <w:r>
          <w:rPr>
            <w:lang w:eastAsia="zh-CN"/>
          </w:rPr>
          <w:t>duSetQosPara</w:t>
        </w:r>
      </w:ins>
      <w:ins w:id="849" w:author="CMCC-r2" w:date="2023-04-20T19:10:12Z">
        <w:r>
          <w:rPr>
            <w:rFonts w:eastAsia="等线"/>
          </w:rPr>
          <w:t xml:space="preserve"> with nullable: true"</w:t>
        </w:r>
      </w:ins>
      <w:ins w:id="850" w:author="CMCC" w:date="2023-04-10T01:15:16Z">
        <w:del w:id="851" w:author="CMCC-r2" w:date="2023-04-20T19:10:12Z">
          <w:r>
            <w:rPr>
              <w:rFonts w:cs="Courier New"/>
              <w:szCs w:val="16"/>
            </w:rPr>
            <w:delText xml:space="preserve">Indicates </w:delText>
          </w:r>
        </w:del>
      </w:ins>
      <w:ins w:id="852" w:author="CMCC" w:date="2023-04-10T01:15:16Z">
        <w:del w:id="853" w:author="CMCC-r2" w:date="2023-04-20T19:10:12Z">
          <w:r>
            <w:rPr>
              <w:rFonts w:hint="eastAsia" w:eastAsia="宋体" w:cs="Courier New"/>
              <w:szCs w:val="16"/>
              <w:lang w:val="en-US" w:eastAsia="zh-CN"/>
            </w:rPr>
            <w:delText>PDU Set</w:delText>
          </w:r>
        </w:del>
      </w:ins>
      <w:ins w:id="854" w:author="CMCC" w:date="2023-04-10T01:15:16Z">
        <w:del w:id="855" w:author="CMCC-r2" w:date="2023-04-20T19:10:12Z">
          <w:r>
            <w:rPr>
              <w:rFonts w:cs="Courier New"/>
              <w:szCs w:val="16"/>
            </w:rPr>
            <w:delText xml:space="preserve"> Traffic QoS</w:delText>
          </w:r>
        </w:del>
      </w:ins>
      <w:ins w:id="856" w:author="CMCC" w:date="2023-04-10T01:15:16Z">
        <w:r>
          <w:rPr>
            <w:rFonts w:cs="Courier New"/>
            <w:szCs w:val="16"/>
          </w:rPr>
          <w:t>.</w:t>
        </w:r>
      </w:ins>
    </w:p>
    <w:p>
      <w:pPr>
        <w:pStyle w:val="111"/>
        <w:rPr>
          <w:ins w:id="857" w:author="CMCC-r2" w:date="2023-04-20T19:18:54Z"/>
          <w:rFonts w:eastAsia="等线"/>
          <w:lang w:val="en-US"/>
        </w:rPr>
      </w:pPr>
      <w:ins w:id="858" w:author="CMCC-r2" w:date="2023-04-20T19:18:54Z">
        <w:r>
          <w:rPr>
            <w:rFonts w:eastAsia="等线"/>
          </w:rPr>
          <w:t xml:space="preserve">      anyOf:</w:t>
        </w:r>
      </w:ins>
    </w:p>
    <w:p>
      <w:pPr>
        <w:pStyle w:val="111"/>
        <w:rPr>
          <w:ins w:id="859" w:author="CMCC" w:date="2023-04-10T01:15:16Z"/>
          <w:del w:id="860" w:author="CMCC-r2" w:date="2023-04-20T19:18:54Z"/>
          <w:rFonts w:cs="Courier New"/>
          <w:szCs w:val="16"/>
        </w:rPr>
      </w:pPr>
      <w:ins w:id="861" w:author="CMCC" w:date="2023-04-10T01:15:16Z">
        <w:del w:id="862" w:author="CMCC-r2" w:date="2023-04-20T19:18:54Z">
          <w:r>
            <w:rPr>
              <w:rFonts w:cs="Courier New"/>
              <w:szCs w:val="16"/>
            </w:rPr>
            <w:delText xml:space="preserve">      type: object</w:delText>
          </w:r>
        </w:del>
      </w:ins>
    </w:p>
    <w:p>
      <w:pPr>
        <w:pStyle w:val="111"/>
        <w:rPr>
          <w:ins w:id="863" w:author="CMCC" w:date="2023-04-10T01:15:16Z"/>
          <w:del w:id="864" w:author="CMCC-r2" w:date="2023-04-20T19:18:54Z"/>
          <w:rFonts w:cs="Courier New"/>
          <w:szCs w:val="16"/>
        </w:rPr>
      </w:pPr>
      <w:ins w:id="865" w:author="CMCC" w:date="2023-04-10T01:15:16Z">
        <w:del w:id="866" w:author="CMCC-r2" w:date="2023-04-20T19:18:54Z">
          <w:r>
            <w:rPr>
              <w:rFonts w:cs="Courier New"/>
              <w:szCs w:val="16"/>
            </w:rPr>
            <w:delText xml:space="preserve">      properties:</w:delText>
          </w:r>
        </w:del>
      </w:ins>
    </w:p>
    <w:p>
      <w:pPr>
        <w:pStyle w:val="111"/>
        <w:rPr>
          <w:ins w:id="867" w:author="CMCC" w:date="2023-04-10T01:15:16Z"/>
          <w:del w:id="868" w:author="CMCC-r2" w:date="2023-04-20T19:18:54Z"/>
          <w:rFonts w:cs="Courier New"/>
          <w:szCs w:val="16"/>
        </w:rPr>
      </w:pPr>
      <w:ins w:id="869" w:author="CMCC" w:date="2023-04-10T01:15:16Z">
        <w:del w:id="870" w:author="CMCC-r2" w:date="2023-04-20T19:18:54Z">
          <w:r>
            <w:rPr>
              <w:rFonts w:cs="Courier New"/>
              <w:szCs w:val="16"/>
            </w:rPr>
            <w:delText xml:space="preserve">        </w:delText>
          </w:r>
        </w:del>
      </w:ins>
      <w:ins w:id="871" w:author="CMCC" w:date="2023-04-10T01:15:16Z">
        <w:del w:id="872" w:author="CMCC-r2" w:date="2023-04-20T19:18:54Z">
          <w:r>
            <w:rPr>
              <w:rFonts w:hint="eastAsia" w:eastAsia="宋体"/>
              <w:highlight w:val="none"/>
              <w:lang w:val="en-US" w:eastAsia="zh-CN"/>
            </w:rPr>
            <w:delText>pduSetDelayBudget</w:delText>
          </w:r>
        </w:del>
      </w:ins>
      <w:ins w:id="873" w:author="CMCC" w:date="2023-04-10T01:15:16Z">
        <w:del w:id="874" w:author="CMCC-r2" w:date="2023-04-20T19:18:54Z">
          <w:r>
            <w:rPr>
              <w:rFonts w:cs="Courier New"/>
              <w:szCs w:val="16"/>
            </w:rPr>
            <w:delText>:</w:delText>
          </w:r>
        </w:del>
      </w:ins>
    </w:p>
    <w:p>
      <w:pPr>
        <w:pStyle w:val="111"/>
        <w:rPr>
          <w:ins w:id="875" w:author="CMCC" w:date="2023-04-10T01:15:16Z"/>
          <w:del w:id="876" w:author="CMCC-r2" w:date="2023-04-20T19:18:03Z"/>
          <w:rFonts w:cs="Courier New"/>
          <w:szCs w:val="16"/>
        </w:rPr>
      </w:pPr>
      <w:ins w:id="877" w:author="CMCC" w:date="2023-04-10T01:15:16Z">
        <w:r>
          <w:rPr>
            <w:rFonts w:cs="Courier New"/>
            <w:szCs w:val="16"/>
          </w:rPr>
          <w:t xml:space="preserve">          </w:t>
        </w:r>
      </w:ins>
      <w:ins w:id="878" w:author="CMCC-r2" w:date="2023-04-20T19:18:03Z">
        <w:r>
          <w:rPr>
            <w:rFonts w:cs="Courier New"/>
            <w:szCs w:val="16"/>
          </w:rPr>
          <w:t>$ref: 'TS29571_CommonData.yaml#/components/schemas/</w:t>
        </w:r>
      </w:ins>
      <w:ins w:id="879" w:author="CMCC-r2" w:date="2023-04-20T19:18:03Z">
        <w:r>
          <w:rPr>
            <w:rFonts w:hint="eastAsia" w:eastAsia="宋体" w:cs="Courier New"/>
            <w:szCs w:val="16"/>
            <w:lang w:val="en-US" w:eastAsia="zh-CN"/>
          </w:rPr>
          <w:t>PduSet</w:t>
        </w:r>
      </w:ins>
      <w:ins w:id="880" w:author="CMCC-r2" w:date="2023-04-20T19:18:26Z">
        <w:r>
          <w:rPr>
            <w:rFonts w:hint="eastAsia" w:eastAsia="宋体" w:cs="Courier New"/>
            <w:szCs w:val="16"/>
            <w:lang w:val="en-US" w:eastAsia="zh-CN"/>
          </w:rPr>
          <w:t>Q</w:t>
        </w:r>
      </w:ins>
      <w:ins w:id="881" w:author="CMCC-r2" w:date="2023-04-20T19:18:28Z">
        <w:r>
          <w:rPr>
            <w:rFonts w:hint="eastAsia" w:eastAsia="宋体" w:cs="Courier New"/>
            <w:szCs w:val="16"/>
            <w:lang w:val="en-US" w:eastAsia="zh-CN"/>
          </w:rPr>
          <w:t>oS</w:t>
        </w:r>
      </w:ins>
      <w:ins w:id="882" w:author="CMCC-r2" w:date="2023-04-20T19:18:34Z">
        <w:r>
          <w:rPr>
            <w:rFonts w:hint="eastAsia" w:eastAsia="宋体" w:cs="Courier New"/>
            <w:szCs w:val="16"/>
            <w:lang w:val="en-US" w:eastAsia="zh-CN"/>
          </w:rPr>
          <w:t>P</w:t>
        </w:r>
      </w:ins>
      <w:ins w:id="883" w:author="CMCC-r2" w:date="2023-04-20T19:18:35Z">
        <w:r>
          <w:rPr>
            <w:rFonts w:hint="eastAsia" w:eastAsia="宋体" w:cs="Courier New"/>
            <w:szCs w:val="16"/>
            <w:lang w:val="en-US" w:eastAsia="zh-CN"/>
          </w:rPr>
          <w:t>ara</w:t>
        </w:r>
      </w:ins>
      <w:ins w:id="884" w:author="CMCC-r2" w:date="2023-04-20T19:18:03Z">
        <w:r>
          <w:rPr>
            <w:rFonts w:cs="Courier New"/>
            <w:szCs w:val="16"/>
          </w:rPr>
          <w:t>'</w:t>
        </w:r>
      </w:ins>
      <w:ins w:id="885" w:author="CMCC" w:date="2023-04-10T01:15:16Z">
        <w:del w:id="886" w:author="CMCC-r2" w:date="2023-04-20T19:18:03Z">
          <w:r>
            <w:rPr>
              <w:rFonts w:cs="Courier New"/>
              <w:szCs w:val="16"/>
            </w:rPr>
            <w:delText>type: integer</w:delText>
          </w:r>
        </w:del>
      </w:ins>
    </w:p>
    <w:p>
      <w:pPr>
        <w:pStyle w:val="111"/>
        <w:rPr>
          <w:ins w:id="887" w:author="CMCC" w:date="2023-04-10T01:15:16Z"/>
          <w:rFonts w:cs="Courier New"/>
          <w:szCs w:val="16"/>
        </w:rPr>
      </w:pPr>
      <w:ins w:id="888" w:author="CMCC" w:date="2023-04-10T01:15:16Z">
        <w:del w:id="889" w:author="CMCC-r2" w:date="2023-04-20T19:18:03Z">
          <w:r>
            <w:rPr/>
            <w:delText xml:space="preserve">          minItems: 1</w:delText>
          </w:r>
        </w:del>
      </w:ins>
    </w:p>
    <w:p>
      <w:pPr>
        <w:pStyle w:val="111"/>
        <w:rPr>
          <w:ins w:id="890" w:author="CMCC" w:date="2023-04-10T01:15:16Z"/>
          <w:del w:id="891" w:author="CMCC-r2" w:date="2023-04-20T19:19:06Z"/>
          <w:rFonts w:cs="Courier New"/>
          <w:szCs w:val="16"/>
        </w:rPr>
      </w:pPr>
      <w:ins w:id="892" w:author="CMCC-r2" w:date="2023-04-20T19:19:02Z">
        <w:r>
          <w:rPr>
            <w:rFonts w:cs="Courier New"/>
            <w:szCs w:val="16"/>
          </w:rPr>
          <w:t xml:space="preserve">          $ref: 'TS29571_CommonData.yaml#/components/schemas/</w:t>
        </w:r>
      </w:ins>
      <w:ins w:id="893" w:author="CMCC-r2" w:date="2023-04-20T19:19:41Z">
        <w:r>
          <w:rPr>
            <w:rFonts w:eastAsia="等线"/>
          </w:rPr>
          <w:t>NullValue</w:t>
        </w:r>
      </w:ins>
      <w:ins w:id="894" w:author="CMCC-r2" w:date="2023-04-20T19:19:02Z">
        <w:r>
          <w:rPr>
            <w:rFonts w:cs="Courier New"/>
            <w:szCs w:val="16"/>
          </w:rPr>
          <w:t>'</w:t>
        </w:r>
      </w:ins>
      <w:ins w:id="895" w:author="CMCC" w:date="2023-04-10T01:15:16Z">
        <w:del w:id="896" w:author="CMCC-r2" w:date="2023-04-20T19:19:06Z">
          <w:r>
            <w:rPr>
              <w:rFonts w:cs="Courier New"/>
              <w:szCs w:val="16"/>
            </w:rPr>
            <w:delText xml:space="preserve">        </w:delText>
          </w:r>
        </w:del>
      </w:ins>
      <w:ins w:id="897" w:author="CMCC2" w:date="2023-04-19T09:51:12Z">
        <w:del w:id="898" w:author="CMCC-r2" w:date="2023-04-20T19:19:06Z">
          <w:r>
            <w:rPr>
              <w:rFonts w:eastAsia="Times New Roman"/>
            </w:rPr>
            <w:delText>pduSetErrRate</w:delText>
          </w:r>
        </w:del>
      </w:ins>
      <w:ins w:id="899" w:author="CMCC" w:date="2023-04-10T01:15:16Z">
        <w:del w:id="900" w:author="CMCC-r2" w:date="2023-04-20T19:19:06Z">
          <w:r>
            <w:rPr>
              <w:rFonts w:hint="eastAsia" w:eastAsia="宋体"/>
              <w:highlight w:val="none"/>
              <w:lang w:val="en-US" w:eastAsia="zh-CN"/>
            </w:rPr>
            <w:delText>pduSetErrorRate</w:delText>
          </w:r>
        </w:del>
      </w:ins>
      <w:ins w:id="901" w:author="CMCC" w:date="2023-04-10T01:15:16Z">
        <w:del w:id="902" w:author="CMCC-r2" w:date="2023-04-20T19:19:06Z">
          <w:r>
            <w:rPr>
              <w:rFonts w:cs="Courier New"/>
              <w:szCs w:val="16"/>
            </w:rPr>
            <w:delText>:</w:delText>
          </w:r>
        </w:del>
      </w:ins>
    </w:p>
    <w:p>
      <w:pPr>
        <w:pStyle w:val="111"/>
        <w:rPr>
          <w:ins w:id="903" w:author="CMCC" w:date="2023-04-10T01:15:16Z"/>
          <w:del w:id="904" w:author="CMCC-r2" w:date="2023-04-20T19:19:06Z"/>
          <w:rFonts w:hint="default" w:eastAsia="宋体" w:cs="Courier New"/>
          <w:szCs w:val="16"/>
          <w:lang w:val="en-US" w:eastAsia="zh-CN"/>
        </w:rPr>
      </w:pPr>
      <w:ins w:id="905" w:author="CMCC" w:date="2023-04-10T01:15:16Z">
        <w:del w:id="906" w:author="CMCC-r2" w:date="2023-04-20T19:19:06Z">
          <w:r>
            <w:rPr>
              <w:rFonts w:cs="Courier New"/>
              <w:szCs w:val="16"/>
            </w:rPr>
            <w:delText xml:space="preserve">          type: </w:delText>
          </w:r>
        </w:del>
      </w:ins>
      <w:ins w:id="907" w:author="CMCC" w:date="2023-04-10T01:15:16Z">
        <w:del w:id="908" w:author="CMCC-r2" w:date="2023-04-20T19:19:06Z">
          <w:r>
            <w:rPr>
              <w:rFonts w:hint="eastAsia" w:eastAsia="宋体" w:cs="Courier New"/>
              <w:szCs w:val="16"/>
              <w:lang w:val="en-US" w:eastAsia="zh-CN"/>
            </w:rPr>
            <w:delText>string</w:delText>
          </w:r>
        </w:del>
      </w:ins>
    </w:p>
    <w:p>
      <w:pPr>
        <w:pStyle w:val="111"/>
        <w:rPr>
          <w:ins w:id="909" w:author="CMCC" w:date="2023-04-10T01:15:33Z"/>
          <w:rFonts w:cs="Courier New"/>
          <w:szCs w:val="16"/>
        </w:rPr>
      </w:pPr>
      <w:ins w:id="910" w:author="CMCC" w:date="2023-04-10T01:15:33Z">
        <w:del w:id="911" w:author="CMCC-r2" w:date="2023-04-20T19:19:06Z">
          <w:r>
            <w:rPr>
              <w:rFonts w:cs="Courier New"/>
              <w:szCs w:val="16"/>
            </w:rPr>
            <w:delText xml:space="preserve">      nullable: true</w:delText>
          </w:r>
        </w:del>
      </w:ins>
    </w:p>
    <w:p>
      <w:pPr>
        <w:pStyle w:val="111"/>
        <w:rPr>
          <w:ins w:id="912" w:author="CMCC" w:date="2023-04-10T01:10:54Z"/>
          <w:rFonts w:cs="Courier New"/>
          <w:szCs w:val="16"/>
        </w:rPr>
      </w:pPr>
    </w:p>
    <w:p>
      <w:pPr>
        <w:pStyle w:val="111"/>
        <w:rPr>
          <w:rFonts w:cs="Courier New"/>
          <w:szCs w:val="16"/>
        </w:rPr>
      </w:pPr>
    </w:p>
    <w:p>
      <w:pPr>
        <w:pStyle w:val="111"/>
        <w:rPr>
          <w:rFonts w:cs="Courier New"/>
          <w:szCs w:val="16"/>
        </w:rPr>
      </w:pPr>
      <w:r>
        <w:rPr>
          <w:rFonts w:cs="Courier New"/>
          <w:szCs w:val="16"/>
        </w:rPr>
        <w:t xml:space="preserve">    TscaiInputContainer:</w:t>
      </w:r>
    </w:p>
    <w:p>
      <w:pPr>
        <w:pStyle w:val="111"/>
        <w:rPr>
          <w:rFonts w:cs="Courier New"/>
          <w:szCs w:val="16"/>
        </w:rPr>
      </w:pPr>
      <w:r>
        <w:rPr>
          <w:rFonts w:cs="Courier New"/>
          <w:szCs w:val="16"/>
        </w:rPr>
        <w:t xml:space="preserve">      description: Indicates TSC Traffic pattern.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periodicity:</w:t>
      </w:r>
    </w:p>
    <w:p>
      <w:pPr>
        <w:pStyle w:val="111"/>
        <w:rPr>
          <w:rFonts w:cs="Courier New"/>
          <w:szCs w:val="16"/>
        </w:rPr>
      </w:pPr>
      <w:r>
        <w:rPr>
          <w:rFonts w:cs="Courier New"/>
          <w:szCs w:val="16"/>
        </w:rPr>
        <w:t xml:space="preserve">          $ref: 'TS29571_CommonData.yaml#/components/schemas/Uinteger'</w:t>
      </w:r>
    </w:p>
    <w:p>
      <w:pPr>
        <w:pStyle w:val="111"/>
        <w:rPr>
          <w:rFonts w:cs="Courier New"/>
          <w:szCs w:val="16"/>
        </w:rPr>
      </w:pPr>
      <w:r>
        <w:rPr>
          <w:rFonts w:cs="Courier New"/>
          <w:szCs w:val="16"/>
        </w:rPr>
        <w:t xml:space="preserve">        burstArrivalTime:</w:t>
      </w:r>
    </w:p>
    <w:p>
      <w:pPr>
        <w:pStyle w:val="111"/>
        <w:rPr>
          <w:rFonts w:cs="Courier New"/>
          <w:szCs w:val="16"/>
        </w:rPr>
      </w:pPr>
      <w:r>
        <w:rPr>
          <w:rFonts w:cs="Courier New"/>
          <w:szCs w:val="16"/>
        </w:rPr>
        <w:t xml:space="preserve">          $ref: 'TS29571_CommonData.yaml#/components/schemas/DateTime'</w:t>
      </w:r>
    </w:p>
    <w:p>
      <w:pPr>
        <w:pStyle w:val="111"/>
        <w:rPr>
          <w:rFonts w:cs="Courier New"/>
          <w:szCs w:val="16"/>
        </w:rPr>
      </w:pPr>
      <w:r>
        <w:rPr>
          <w:rFonts w:cs="Courier New"/>
          <w:szCs w:val="16"/>
        </w:rPr>
        <w:t xml:space="preserve">        s</w:t>
      </w:r>
      <w:r>
        <w:t>urTimeInNum</w:t>
      </w:r>
      <w:r>
        <w:rPr>
          <w:rFonts w:hint="eastAsia"/>
          <w:lang w:eastAsia="zh-CN"/>
        </w:rPr>
        <w:t>Msg</w:t>
      </w:r>
      <w:r>
        <w:rPr>
          <w:rFonts w:cs="Courier New"/>
          <w:szCs w:val="16"/>
        </w:rPr>
        <w:t>:</w:t>
      </w:r>
    </w:p>
    <w:p>
      <w:pPr>
        <w:pStyle w:val="111"/>
        <w:rPr>
          <w:rFonts w:cs="Courier New"/>
          <w:szCs w:val="16"/>
        </w:rPr>
      </w:pPr>
      <w:r>
        <w:rPr>
          <w:rFonts w:cs="Courier New"/>
          <w:szCs w:val="16"/>
        </w:rPr>
        <w:t xml:space="preserve">          $ref: 'TS29571_CommonData.yaml#/components/schemas/Uinteger'</w:t>
      </w:r>
    </w:p>
    <w:p>
      <w:pPr>
        <w:pStyle w:val="111"/>
        <w:rPr>
          <w:rFonts w:cs="Courier New"/>
          <w:szCs w:val="16"/>
        </w:rPr>
      </w:pPr>
      <w:r>
        <w:rPr>
          <w:rFonts w:cs="Courier New"/>
          <w:szCs w:val="16"/>
        </w:rPr>
        <w:t xml:space="preserve">        s</w:t>
      </w:r>
      <w:r>
        <w:t>urTimeInTime</w:t>
      </w:r>
      <w:r>
        <w:rPr>
          <w:rFonts w:cs="Courier New"/>
          <w:szCs w:val="16"/>
        </w:rPr>
        <w:t>:</w:t>
      </w:r>
    </w:p>
    <w:p>
      <w:pPr>
        <w:pStyle w:val="111"/>
        <w:rPr>
          <w:rFonts w:cs="Courier New"/>
          <w:szCs w:val="16"/>
        </w:rPr>
      </w:pPr>
      <w:r>
        <w:rPr>
          <w:rFonts w:cs="Courier New"/>
          <w:szCs w:val="16"/>
        </w:rPr>
        <w:t xml:space="preserve">          $ref: 'TS29571_CommonData.yaml#/components/schemas/Uinteger'</w:t>
      </w:r>
    </w:p>
    <w:p>
      <w:pPr>
        <w:pStyle w:val="111"/>
        <w:rPr>
          <w:rFonts w:cs="Courier New"/>
          <w:szCs w:val="16"/>
        </w:rPr>
      </w:pPr>
      <w:r>
        <w:rPr>
          <w:rFonts w:cs="Courier New"/>
          <w:szCs w:val="16"/>
        </w:rPr>
        <w:t xml:space="preserve">        </w:t>
      </w:r>
      <w:r>
        <w:t>burstArrivalTimeWnd</w:t>
      </w:r>
      <w:r>
        <w:rPr>
          <w:rFonts w:cs="Courier New"/>
          <w:szCs w:val="16"/>
        </w:rPr>
        <w:t>:</w:t>
      </w:r>
    </w:p>
    <w:p>
      <w:pPr>
        <w:pStyle w:val="111"/>
        <w:rPr>
          <w:rFonts w:cs="Courier New"/>
          <w:szCs w:val="16"/>
        </w:rPr>
      </w:pPr>
      <w:r>
        <w:rPr>
          <w:rFonts w:cs="Courier New"/>
          <w:szCs w:val="16"/>
        </w:rPr>
        <w:t xml:space="preserve">          </w:t>
      </w:r>
      <w:r>
        <w:t>$ref: 'TS29122_CommonData.yaml#/components/schemas/TimeWindow'</w:t>
      </w:r>
    </w:p>
    <w:p>
      <w:pPr>
        <w:pStyle w:val="111"/>
        <w:rPr>
          <w:rFonts w:cs="Courier New"/>
          <w:szCs w:val="16"/>
        </w:rPr>
      </w:pPr>
      <w:r>
        <w:rPr>
          <w:rFonts w:cs="Courier New"/>
          <w:szCs w:val="16"/>
        </w:rPr>
        <w:t xml:space="preserve">        </w:t>
      </w:r>
      <w:r>
        <w:t>periodicity</w:t>
      </w:r>
      <w:r>
        <w:rPr>
          <w:lang w:eastAsia="zh-CN"/>
        </w:rPr>
        <w:t>R</w:t>
      </w:r>
      <w:r>
        <w:rPr>
          <w:rFonts w:hint="eastAsia"/>
          <w:lang w:eastAsia="zh-CN"/>
        </w:rPr>
        <w:t>ange</w:t>
      </w:r>
      <w:r>
        <w:rPr>
          <w:rFonts w:cs="Courier New"/>
          <w:szCs w:val="16"/>
        </w:rPr>
        <w:t>:</w:t>
      </w:r>
    </w:p>
    <w:p>
      <w:pPr>
        <w:pStyle w:val="111"/>
        <w:rPr>
          <w:rFonts w:cs="Courier New"/>
          <w:szCs w:val="16"/>
        </w:rPr>
      </w:pPr>
      <w:r>
        <w:rPr>
          <w:rFonts w:cs="Courier New"/>
          <w:szCs w:val="16"/>
        </w:rPr>
        <w:t xml:space="preserve">          $ref: '#/components/schemas/</w:t>
      </w:r>
      <w:r>
        <w:t>Periodicity</w:t>
      </w:r>
      <w:r>
        <w:rPr>
          <w:lang w:eastAsia="zh-CN"/>
        </w:rPr>
        <w:t>R</w:t>
      </w:r>
      <w:r>
        <w:rPr>
          <w:rFonts w:hint="eastAsia"/>
          <w:lang w:eastAsia="zh-CN"/>
        </w:rPr>
        <w:t>ange</w:t>
      </w:r>
      <w:r>
        <w:rPr>
          <w:rFonts w:cs="Courier New"/>
          <w:szCs w:val="16"/>
        </w:rPr>
        <w:t>'</w:t>
      </w:r>
    </w:p>
    <w:p>
      <w:pPr>
        <w:pStyle w:val="111"/>
        <w:rPr>
          <w:rFonts w:cs="Courier New"/>
          <w:szCs w:val="16"/>
        </w:rPr>
      </w:pPr>
      <w:r>
        <w:rPr>
          <w:rFonts w:cs="Courier New"/>
          <w:szCs w:val="16"/>
        </w:rPr>
        <w:t xml:space="preserve">      nullable: true</w:t>
      </w:r>
    </w:p>
    <w:p>
      <w:pPr>
        <w:pStyle w:val="111"/>
        <w:rPr>
          <w:rFonts w:cs="Courier New"/>
          <w:szCs w:val="16"/>
        </w:rPr>
      </w:pPr>
    </w:p>
    <w:p>
      <w:pPr>
        <w:pStyle w:val="111"/>
      </w:pPr>
      <w:r>
        <w:t xml:space="preserve">    AppDetectionReport:</w:t>
      </w:r>
    </w:p>
    <w:p>
      <w:pPr>
        <w:pStyle w:val="111"/>
        <w:rPr>
          <w:rFonts w:eastAsia="Batang"/>
        </w:rPr>
      </w:pPr>
      <w:r>
        <w:rPr>
          <w:rFonts w:eastAsia="Batang"/>
        </w:rPr>
        <w:t xml:space="preserve">      description: &gt;</w:t>
      </w:r>
    </w:p>
    <w:p>
      <w:pPr>
        <w:pStyle w:val="111"/>
        <w:rPr>
          <w:rFonts w:cs="Arial"/>
          <w:szCs w:val="18"/>
        </w:rPr>
      </w:pPr>
      <w:r>
        <w:rPr>
          <w:rFonts w:eastAsia="Batang"/>
        </w:rPr>
        <w:t xml:space="preserve">        </w:t>
      </w:r>
      <w:r>
        <w:rPr>
          <w:rFonts w:cs="Arial"/>
          <w:szCs w:val="18"/>
        </w:rPr>
        <w:t>Indicates the start or stop of the detected application traffic and the application</w:t>
      </w:r>
    </w:p>
    <w:p>
      <w:pPr>
        <w:pStyle w:val="111"/>
      </w:pPr>
      <w:r>
        <w:rPr>
          <w:rFonts w:eastAsia="Batang"/>
        </w:rPr>
        <w:t xml:space="preserve">        </w:t>
      </w:r>
      <w:r>
        <w:rPr>
          <w:rFonts w:cs="Arial"/>
          <w:szCs w:val="18"/>
        </w:rPr>
        <w:t>identifier of the detected application traffic</w:t>
      </w:r>
      <w:r>
        <w:rPr>
          <w:rFonts w:eastAsia="Batang"/>
        </w:rPr>
        <w:t>.</w:t>
      </w:r>
    </w:p>
    <w:p>
      <w:pPr>
        <w:pStyle w:val="111"/>
      </w:pPr>
      <w:r>
        <w:t xml:space="preserve">      type: object</w:t>
      </w:r>
    </w:p>
    <w:p>
      <w:pPr>
        <w:pStyle w:val="111"/>
      </w:pPr>
      <w:r>
        <w:t xml:space="preserve">      required:</w:t>
      </w:r>
    </w:p>
    <w:p>
      <w:pPr>
        <w:pStyle w:val="111"/>
      </w:pPr>
      <w:r>
        <w:t xml:space="preserve">        - adNotifType</w:t>
      </w:r>
    </w:p>
    <w:p>
      <w:pPr>
        <w:pStyle w:val="111"/>
      </w:pPr>
      <w:r>
        <w:t xml:space="preserve">        - afAppId</w:t>
      </w:r>
    </w:p>
    <w:p>
      <w:pPr>
        <w:pStyle w:val="111"/>
      </w:pPr>
      <w:r>
        <w:t xml:space="preserve">      properties:</w:t>
      </w:r>
    </w:p>
    <w:p>
      <w:pPr>
        <w:pStyle w:val="111"/>
      </w:pPr>
      <w:r>
        <w:t xml:space="preserve">        adNotifType:</w:t>
      </w:r>
    </w:p>
    <w:p>
      <w:pPr>
        <w:pStyle w:val="111"/>
        <w:rPr>
          <w:rFonts w:cs="Courier New"/>
          <w:szCs w:val="16"/>
        </w:rPr>
      </w:pPr>
      <w:r>
        <w:rPr>
          <w:rFonts w:cs="Courier New"/>
          <w:szCs w:val="16"/>
        </w:rPr>
        <w:t xml:space="preserve">          $ref: '#/components/schemas/AppDetectionNotifType'</w:t>
      </w:r>
    </w:p>
    <w:p>
      <w:pPr>
        <w:pStyle w:val="111"/>
      </w:pPr>
      <w:r>
        <w:t xml:space="preserve">        afAppId:</w:t>
      </w:r>
    </w:p>
    <w:p>
      <w:pPr>
        <w:pStyle w:val="111"/>
        <w:rPr>
          <w:rFonts w:cs="Courier New"/>
          <w:szCs w:val="16"/>
        </w:rPr>
      </w:pPr>
      <w:r>
        <w:rPr>
          <w:rFonts w:cs="Courier New"/>
          <w:szCs w:val="16"/>
        </w:rPr>
        <w:t xml:space="preserve">          $ref: '#/components/schemas/AfAppId'</w:t>
      </w:r>
    </w:p>
    <w:p>
      <w:pPr>
        <w:pStyle w:val="111"/>
        <w:rPr>
          <w:rFonts w:cs="Courier New"/>
          <w:szCs w:val="16"/>
        </w:rPr>
      </w:pPr>
    </w:p>
    <w:p>
      <w:pPr>
        <w:pStyle w:val="111"/>
      </w:pPr>
      <w:r>
        <w:t xml:space="preserve">    PduSessionEventNotification:</w:t>
      </w:r>
    </w:p>
    <w:p>
      <w:pPr>
        <w:pStyle w:val="111"/>
        <w:rPr>
          <w:rFonts w:eastAsia="Batang"/>
        </w:rPr>
      </w:pPr>
      <w:r>
        <w:rPr>
          <w:rFonts w:eastAsia="Batang"/>
        </w:rPr>
        <w:t xml:space="preserve">      description: &gt;</w:t>
      </w:r>
    </w:p>
    <w:p>
      <w:pPr>
        <w:pStyle w:val="111"/>
      </w:pPr>
      <w:r>
        <w:rPr>
          <w:rFonts w:eastAsia="Batang"/>
        </w:rPr>
        <w:t xml:space="preserve">        </w:t>
      </w:r>
      <w:r>
        <w:t>Indicates PDU session information for the concerned established/terminated PDU session</w:t>
      </w:r>
      <w:r>
        <w:rPr>
          <w:rFonts w:eastAsia="Batang"/>
        </w:rPr>
        <w:t>.</w:t>
      </w:r>
    </w:p>
    <w:p>
      <w:pPr>
        <w:pStyle w:val="111"/>
      </w:pPr>
      <w:r>
        <w:t xml:space="preserve">      type: object</w:t>
      </w:r>
    </w:p>
    <w:p>
      <w:pPr>
        <w:pStyle w:val="111"/>
      </w:pPr>
      <w:r>
        <w:t xml:space="preserve">      required:</w:t>
      </w:r>
    </w:p>
    <w:p>
      <w:pPr>
        <w:pStyle w:val="111"/>
      </w:pPr>
      <w:r>
        <w:t xml:space="preserve">        - evNotif</w:t>
      </w:r>
    </w:p>
    <w:p>
      <w:pPr>
        <w:pStyle w:val="111"/>
      </w:pPr>
      <w:r>
        <w:t xml:space="preserve">      properties:</w:t>
      </w:r>
    </w:p>
    <w:p>
      <w:pPr>
        <w:pStyle w:val="111"/>
      </w:pPr>
      <w:r>
        <w:t xml:space="preserve">        evNotif:</w:t>
      </w:r>
    </w:p>
    <w:p>
      <w:pPr>
        <w:pStyle w:val="111"/>
        <w:rPr>
          <w:rFonts w:cs="Courier New"/>
          <w:szCs w:val="16"/>
        </w:rPr>
      </w:pPr>
      <w:r>
        <w:rPr>
          <w:rFonts w:cs="Courier New"/>
          <w:szCs w:val="16"/>
        </w:rPr>
        <w:t xml:space="preserve">          $ref: '#/components/schemas/AfEventNotification'</w:t>
      </w:r>
    </w:p>
    <w:p>
      <w:pPr>
        <w:pStyle w:val="111"/>
        <w:rPr>
          <w:rFonts w:cs="Courier New"/>
          <w:szCs w:val="16"/>
        </w:rPr>
      </w:pPr>
      <w:r>
        <w:rPr>
          <w:rFonts w:cs="Courier New"/>
          <w:szCs w:val="16"/>
        </w:rPr>
        <w:t xml:space="preserve">        supi:</w:t>
      </w:r>
    </w:p>
    <w:p>
      <w:pPr>
        <w:pStyle w:val="111"/>
        <w:rPr>
          <w:rFonts w:cs="Courier New"/>
          <w:szCs w:val="16"/>
        </w:rPr>
      </w:pPr>
      <w:r>
        <w:rPr>
          <w:rFonts w:cs="Courier New"/>
          <w:szCs w:val="16"/>
        </w:rPr>
        <w:t xml:space="preserve">          $ref: 'TS29571_CommonData.yaml#/components/schemas/Supi'</w:t>
      </w:r>
    </w:p>
    <w:p>
      <w:pPr>
        <w:pStyle w:val="111"/>
        <w:rPr>
          <w:rFonts w:cs="Courier New"/>
          <w:szCs w:val="16"/>
        </w:rPr>
      </w:pPr>
      <w:r>
        <w:rPr>
          <w:rFonts w:cs="Courier New"/>
          <w:szCs w:val="16"/>
        </w:rPr>
        <w:t xml:space="preserve">        ueIpv4:</w:t>
      </w:r>
    </w:p>
    <w:p>
      <w:pPr>
        <w:pStyle w:val="111"/>
        <w:rPr>
          <w:rFonts w:cs="Courier New"/>
          <w:szCs w:val="16"/>
        </w:rPr>
      </w:pPr>
      <w:r>
        <w:rPr>
          <w:rFonts w:cs="Courier New"/>
          <w:szCs w:val="16"/>
        </w:rPr>
        <w:t xml:space="preserve">          $ref: 'TS29571_CommonData.yaml#/components/schemas/Ipv4Addr'</w:t>
      </w:r>
    </w:p>
    <w:p>
      <w:pPr>
        <w:pStyle w:val="111"/>
        <w:rPr>
          <w:rFonts w:cs="Courier New"/>
          <w:szCs w:val="16"/>
        </w:rPr>
      </w:pPr>
      <w:r>
        <w:rPr>
          <w:rFonts w:cs="Courier New"/>
          <w:szCs w:val="16"/>
        </w:rPr>
        <w:t xml:space="preserve">        ueIpv6:</w:t>
      </w:r>
    </w:p>
    <w:p>
      <w:pPr>
        <w:pStyle w:val="111"/>
        <w:rPr>
          <w:rFonts w:cs="Courier New"/>
          <w:szCs w:val="16"/>
        </w:rPr>
      </w:pPr>
      <w:r>
        <w:rPr>
          <w:rFonts w:cs="Courier New"/>
          <w:szCs w:val="16"/>
        </w:rPr>
        <w:t xml:space="preserve">          $ref: 'TS29571_CommonData.yaml#/components/schemas/Ipv6Addr'</w:t>
      </w:r>
    </w:p>
    <w:p>
      <w:pPr>
        <w:pStyle w:val="111"/>
        <w:rPr>
          <w:rFonts w:cs="Courier New"/>
          <w:szCs w:val="16"/>
        </w:rPr>
      </w:pPr>
      <w:r>
        <w:rPr>
          <w:rFonts w:cs="Courier New"/>
          <w:szCs w:val="16"/>
        </w:rPr>
        <w:t xml:space="preserve">        ueMac:</w:t>
      </w:r>
    </w:p>
    <w:p>
      <w:pPr>
        <w:pStyle w:val="111"/>
        <w:rPr>
          <w:rFonts w:cs="Courier New"/>
          <w:szCs w:val="16"/>
        </w:rPr>
      </w:pPr>
      <w:r>
        <w:rPr>
          <w:rFonts w:cs="Courier New"/>
          <w:szCs w:val="16"/>
        </w:rPr>
        <w:t xml:space="preserve">          $ref: 'TS29571_CommonData.yaml#/components/schemas/MacAddr48'</w:t>
      </w:r>
    </w:p>
    <w:p>
      <w:pPr>
        <w:pStyle w:val="111"/>
      </w:pPr>
      <w:r>
        <w:t xml:space="preserve">        status:</w:t>
      </w:r>
    </w:p>
    <w:p>
      <w:pPr>
        <w:pStyle w:val="111"/>
        <w:rPr>
          <w:rFonts w:cs="Courier New"/>
          <w:szCs w:val="16"/>
        </w:rPr>
      </w:pPr>
      <w:r>
        <w:rPr>
          <w:rFonts w:cs="Courier New"/>
          <w:szCs w:val="16"/>
        </w:rPr>
        <w:t xml:space="preserve">          $ref: '#/components/schemas/PduSessionStatus'</w:t>
      </w:r>
    </w:p>
    <w:p>
      <w:pPr>
        <w:pStyle w:val="111"/>
      </w:pPr>
      <w:r>
        <w:t xml:space="preserve">        pcfInfo:</w:t>
      </w:r>
    </w:p>
    <w:p>
      <w:pPr>
        <w:pStyle w:val="111"/>
        <w:rPr>
          <w:rFonts w:cs="Courier New"/>
          <w:szCs w:val="16"/>
        </w:rPr>
      </w:pPr>
      <w:r>
        <w:rPr>
          <w:rFonts w:cs="Courier New"/>
          <w:szCs w:val="16"/>
        </w:rPr>
        <w:t xml:space="preserve">          $ref: '#/components/schemas/PcfAddressingInfo'</w:t>
      </w:r>
    </w:p>
    <w:p>
      <w:pPr>
        <w:pStyle w:val="111"/>
        <w:rPr>
          <w:rFonts w:cs="Courier New"/>
          <w:szCs w:val="16"/>
        </w:rPr>
      </w:pPr>
      <w:r>
        <w:rPr>
          <w:rFonts w:cs="Courier New"/>
          <w:szCs w:val="16"/>
        </w:rPr>
        <w:t xml:space="preserve">        dnn:</w:t>
      </w:r>
    </w:p>
    <w:p>
      <w:pPr>
        <w:pStyle w:val="111"/>
        <w:rPr>
          <w:rFonts w:cs="Courier New"/>
          <w:szCs w:val="16"/>
        </w:rPr>
      </w:pPr>
      <w:r>
        <w:rPr>
          <w:rFonts w:cs="Courier New"/>
          <w:szCs w:val="16"/>
        </w:rPr>
        <w:t xml:space="preserve">          $ref: 'TS29571_CommonData.yaml#/components/schemas/Dnn'</w:t>
      </w:r>
    </w:p>
    <w:p>
      <w:pPr>
        <w:pStyle w:val="111"/>
        <w:rPr>
          <w:rFonts w:cs="Courier New"/>
          <w:szCs w:val="16"/>
        </w:rPr>
      </w:pPr>
      <w:r>
        <w:rPr>
          <w:rFonts w:cs="Courier New"/>
          <w:szCs w:val="16"/>
        </w:rPr>
        <w:t xml:space="preserve">        snssai:</w:t>
      </w:r>
    </w:p>
    <w:p>
      <w:pPr>
        <w:pStyle w:val="111"/>
        <w:rPr>
          <w:rFonts w:cs="Courier New"/>
          <w:szCs w:val="16"/>
        </w:rPr>
      </w:pPr>
      <w:r>
        <w:rPr>
          <w:rFonts w:cs="Courier New"/>
          <w:szCs w:val="16"/>
        </w:rPr>
        <w:t xml:space="preserve">          $ref: 'TS29571_CommonData.yaml#/components/schemas/Snssai'</w:t>
      </w:r>
    </w:p>
    <w:p>
      <w:pPr>
        <w:pStyle w:val="111"/>
        <w:rPr>
          <w:rFonts w:cs="Courier New"/>
          <w:szCs w:val="16"/>
        </w:rPr>
      </w:pPr>
      <w:r>
        <w:rPr>
          <w:rFonts w:cs="Courier New"/>
          <w:szCs w:val="16"/>
        </w:rPr>
        <w:t xml:space="preserve">        gpsi:</w:t>
      </w:r>
    </w:p>
    <w:p>
      <w:pPr>
        <w:pStyle w:val="111"/>
        <w:rPr>
          <w:rFonts w:cs="Courier New"/>
          <w:szCs w:val="16"/>
        </w:rPr>
      </w:pPr>
      <w:r>
        <w:rPr>
          <w:rFonts w:cs="Courier New"/>
          <w:szCs w:val="16"/>
        </w:rPr>
        <w:t xml:space="preserve">          $ref: 'TS29571_CommonData.yaml#/components/schemas/Gpsi'</w:t>
      </w:r>
    </w:p>
    <w:p>
      <w:pPr>
        <w:pStyle w:val="111"/>
        <w:rPr>
          <w:rFonts w:cs="Courier New"/>
          <w:szCs w:val="16"/>
        </w:rPr>
      </w:pPr>
    </w:p>
    <w:p>
      <w:pPr>
        <w:pStyle w:val="111"/>
      </w:pPr>
      <w:r>
        <w:t xml:space="preserve">    PcfAddressingInfo:</w:t>
      </w:r>
    </w:p>
    <w:p>
      <w:pPr>
        <w:pStyle w:val="111"/>
      </w:pPr>
      <w:r>
        <w:rPr>
          <w:rFonts w:eastAsia="Batang"/>
        </w:rPr>
        <w:t xml:space="preserve">      description: </w:t>
      </w:r>
      <w:r>
        <w:t>Contains PCF address information</w:t>
      </w:r>
      <w:r>
        <w:rPr>
          <w:rFonts w:eastAsia="Batang"/>
        </w:rPr>
        <w:t>.</w:t>
      </w:r>
    </w:p>
    <w:p>
      <w:pPr>
        <w:pStyle w:val="111"/>
      </w:pPr>
      <w:r>
        <w:t xml:space="preserve">      type: object</w:t>
      </w:r>
    </w:p>
    <w:p>
      <w:pPr>
        <w:pStyle w:val="111"/>
      </w:pPr>
      <w:r>
        <w:t xml:space="preserve">      properties:</w:t>
      </w:r>
    </w:p>
    <w:p>
      <w:pPr>
        <w:pStyle w:val="111"/>
      </w:pPr>
      <w:r>
        <w:t xml:space="preserve">        pcfFqdn:</w:t>
      </w:r>
    </w:p>
    <w:p>
      <w:pPr>
        <w:pStyle w:val="111"/>
      </w:pPr>
      <w:r>
        <w:t xml:space="preserve">          $ref: 'TS29571_CommonData.yaml#/components/schemas/Fqdn'</w:t>
      </w:r>
    </w:p>
    <w:p>
      <w:pPr>
        <w:pStyle w:val="111"/>
      </w:pPr>
      <w:r>
        <w:t xml:space="preserve">        pcfIpEndPoints:</w:t>
      </w:r>
    </w:p>
    <w:p>
      <w:pPr>
        <w:pStyle w:val="111"/>
      </w:pPr>
      <w:r>
        <w:t xml:space="preserve">          type: array</w:t>
      </w:r>
    </w:p>
    <w:p>
      <w:pPr>
        <w:pStyle w:val="111"/>
      </w:pPr>
      <w:r>
        <w:t xml:space="preserve">          items:</w:t>
      </w:r>
    </w:p>
    <w:p>
      <w:pPr>
        <w:pStyle w:val="111"/>
      </w:pPr>
      <w:r>
        <w:t xml:space="preserve">            $ref: 'TS29510_Nnrf_NFManagement.yaml#/components/schemas/IpEndPoint'</w:t>
      </w:r>
    </w:p>
    <w:p>
      <w:pPr>
        <w:pStyle w:val="111"/>
      </w:pPr>
      <w:r>
        <w:t xml:space="preserve">          minItems: 1</w:t>
      </w:r>
    </w:p>
    <w:p>
      <w:pPr>
        <w:pStyle w:val="111"/>
      </w:pPr>
      <w:r>
        <w:t xml:space="preserve">          description: IP end points of the PCF hosting the Npcf_PolicyAuthorization service.</w:t>
      </w:r>
    </w:p>
    <w:p>
      <w:pPr>
        <w:pStyle w:val="111"/>
        <w:rPr>
          <w:rFonts w:eastAsia="等线"/>
        </w:rPr>
      </w:pPr>
      <w:r>
        <w:rPr>
          <w:rFonts w:eastAsia="等线"/>
        </w:rPr>
        <w:t xml:space="preserve">        bindingInfo:</w:t>
      </w:r>
    </w:p>
    <w:p>
      <w:pPr>
        <w:pStyle w:val="111"/>
        <w:rPr>
          <w:rFonts w:eastAsia="等线"/>
        </w:rPr>
      </w:pPr>
      <w:r>
        <w:rPr>
          <w:rFonts w:eastAsia="等线"/>
        </w:rPr>
        <w:t xml:space="preserve">          type: string</w:t>
      </w:r>
    </w:p>
    <w:p>
      <w:pPr>
        <w:pStyle w:val="111"/>
      </w:pPr>
      <w:r>
        <w:t xml:space="preserve">          description: contains the binding indications of the PCF.</w:t>
      </w:r>
    </w:p>
    <w:p>
      <w:pPr>
        <w:pStyle w:val="111"/>
        <w:rPr>
          <w:rFonts w:cs="Courier New"/>
          <w:szCs w:val="16"/>
        </w:rPr>
      </w:pPr>
    </w:p>
    <w:p>
      <w:pPr>
        <w:pStyle w:val="111"/>
      </w:pPr>
      <w:r>
        <w:t xml:space="preserve">    AlternativeServiceRequirementsData:</w:t>
      </w:r>
    </w:p>
    <w:p>
      <w:pPr>
        <w:pStyle w:val="111"/>
      </w:pPr>
      <w:r>
        <w:rPr>
          <w:rFonts w:eastAsia="Batang"/>
        </w:rPr>
        <w:t xml:space="preserve">      description: </w:t>
      </w:r>
      <w:r>
        <w:rPr>
          <w:rFonts w:cs="Arial"/>
          <w:szCs w:val="18"/>
        </w:rPr>
        <w:t>Contains an alternative QoS related parameter set</w:t>
      </w:r>
      <w:r>
        <w:rPr>
          <w:rFonts w:eastAsia="Batang"/>
        </w:rPr>
        <w:t>.</w:t>
      </w:r>
    </w:p>
    <w:p>
      <w:pPr>
        <w:pStyle w:val="111"/>
      </w:pPr>
      <w:r>
        <w:t xml:space="preserve">      type: object</w:t>
      </w:r>
    </w:p>
    <w:p>
      <w:pPr>
        <w:pStyle w:val="111"/>
      </w:pPr>
      <w:r>
        <w:t xml:space="preserve">      required:</w:t>
      </w:r>
    </w:p>
    <w:p>
      <w:pPr>
        <w:pStyle w:val="111"/>
      </w:pPr>
      <w:r>
        <w:t xml:space="preserve">        - altQosParamSetRef</w:t>
      </w:r>
    </w:p>
    <w:p>
      <w:pPr>
        <w:pStyle w:val="111"/>
      </w:pPr>
      <w:r>
        <w:t xml:space="preserve">      properties:</w:t>
      </w:r>
    </w:p>
    <w:p>
      <w:pPr>
        <w:pStyle w:val="111"/>
      </w:pPr>
      <w:r>
        <w:t xml:space="preserve">        altQosParamSetRef:</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description: Reference to this alternative QoS related parameter set.</w:t>
      </w:r>
    </w:p>
    <w:p>
      <w:pPr>
        <w:pStyle w:val="111"/>
      </w:pPr>
      <w:r>
        <w:t xml:space="preserve">        gbrUl:</w:t>
      </w:r>
    </w:p>
    <w:p>
      <w:pPr>
        <w:pStyle w:val="111"/>
      </w:pPr>
      <w:r>
        <w:rPr>
          <w:rFonts w:cs="Courier New"/>
          <w:szCs w:val="16"/>
        </w:rPr>
        <w:t xml:space="preserve">          </w:t>
      </w:r>
      <w:r>
        <w:t>$ref: 'TS29571_CommonData.yaml#/components/schemas/BitRate'</w:t>
      </w:r>
    </w:p>
    <w:p>
      <w:pPr>
        <w:pStyle w:val="111"/>
      </w:pPr>
      <w:r>
        <w:t xml:space="preserve">        gbrDl:</w:t>
      </w:r>
    </w:p>
    <w:p>
      <w:pPr>
        <w:pStyle w:val="111"/>
      </w:pPr>
      <w:r>
        <w:rPr>
          <w:rFonts w:cs="Courier New"/>
          <w:szCs w:val="16"/>
        </w:rPr>
        <w:t xml:space="preserve">          </w:t>
      </w:r>
      <w:r>
        <w:t>$ref: 'TS29571_CommonData.yaml#/components/schemas/BitRate'</w:t>
      </w:r>
    </w:p>
    <w:p>
      <w:pPr>
        <w:pStyle w:val="111"/>
      </w:pPr>
      <w:r>
        <w:t xml:space="preserve">        pdb:</w:t>
      </w:r>
    </w:p>
    <w:p>
      <w:pPr>
        <w:pStyle w:val="111"/>
      </w:pPr>
      <w:r>
        <w:t xml:space="preserve">          $ref: 'TS29571_CommonData.yaml#/components/schemas/PacketDelBudget'</w:t>
      </w:r>
    </w:p>
    <w:p>
      <w:pPr>
        <w:pStyle w:val="111"/>
      </w:pPr>
      <w:r>
        <w:t xml:space="preserve">        p</w:t>
      </w:r>
      <w:r>
        <w:rPr>
          <w:rFonts w:hint="eastAsia"/>
          <w:lang w:eastAsia="ja-JP"/>
        </w:rPr>
        <w:t>e</w:t>
      </w:r>
      <w:r>
        <w:rPr>
          <w:lang w:eastAsia="ja-JP"/>
        </w:rPr>
        <w:t>r</w:t>
      </w:r>
      <w:r>
        <w:t>:</w:t>
      </w:r>
    </w:p>
    <w:p>
      <w:pPr>
        <w:pStyle w:val="111"/>
      </w:pPr>
      <w:r>
        <w:t xml:space="preserve">          $ref: 'TS29571_CommonData.yaml#/components/schemas/PacketErrRate'</w:t>
      </w:r>
    </w:p>
    <w:p>
      <w:pPr>
        <w:pStyle w:val="111"/>
        <w:rPr>
          <w:rFonts w:cs="Courier New"/>
          <w:szCs w:val="16"/>
        </w:rPr>
      </w:pPr>
    </w:p>
    <w:p>
      <w:pPr>
        <w:pStyle w:val="111"/>
        <w:rPr>
          <w:rFonts w:cs="Courier New"/>
          <w:szCs w:val="16"/>
        </w:rPr>
      </w:pPr>
      <w:r>
        <w:rPr>
          <w:rFonts w:cs="Courier New"/>
          <w:szCs w:val="16"/>
        </w:rPr>
        <w:t xml:space="preserve">    EventsSubscPutData:</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Identifies the events the application subscribes to within an Events Subscription</w:t>
      </w:r>
    </w:p>
    <w:p>
      <w:pPr>
        <w:pStyle w:val="111"/>
        <w:rPr>
          <w:rFonts w:cs="Courier New"/>
          <w:szCs w:val="16"/>
        </w:rPr>
      </w:pPr>
      <w:r>
        <w:rPr>
          <w:rFonts w:cs="Courier New"/>
          <w:szCs w:val="16"/>
        </w:rPr>
        <w:t xml:space="preserve">        sub-resource data. It may contain the notification of the already met events.</w:t>
      </w:r>
    </w:p>
    <w:p>
      <w:pPr>
        <w:pStyle w:val="111"/>
        <w:rPr>
          <w:rFonts w:cs="Courier New"/>
          <w:szCs w:val="16"/>
        </w:rPr>
      </w:pPr>
      <w:r>
        <w:rPr>
          <w:rFonts w:cs="Courier New"/>
          <w:szCs w:val="16"/>
        </w:rPr>
        <w:t xml:space="preserve">      anyOf:</w:t>
      </w:r>
    </w:p>
    <w:p>
      <w:pPr>
        <w:pStyle w:val="111"/>
        <w:rPr>
          <w:rFonts w:cs="Courier New"/>
          <w:szCs w:val="16"/>
        </w:rPr>
      </w:pPr>
      <w:r>
        <w:rPr>
          <w:rFonts w:cs="Courier New"/>
          <w:szCs w:val="16"/>
        </w:rPr>
        <w:t xml:space="preserve">        - $ref: '#/components/schemas/EventsSubscReqData'</w:t>
      </w:r>
    </w:p>
    <w:p>
      <w:pPr>
        <w:pStyle w:val="111"/>
        <w:rPr>
          <w:rFonts w:cs="Courier New"/>
          <w:szCs w:val="16"/>
        </w:rPr>
      </w:pPr>
      <w:r>
        <w:rPr>
          <w:rFonts w:cs="Courier New"/>
          <w:szCs w:val="16"/>
        </w:rPr>
        <w:t xml:space="preserve">        - $ref: '#/components/schemas/EventsNotification'</w:t>
      </w:r>
    </w:p>
    <w:p>
      <w:pPr>
        <w:pStyle w:val="111"/>
        <w:rPr>
          <w:rFonts w:cs="Courier New"/>
          <w:szCs w:val="16"/>
        </w:rPr>
      </w:pPr>
    </w:p>
    <w:p>
      <w:pPr>
        <w:pStyle w:val="111"/>
      </w:pPr>
      <w:r>
        <w:t xml:space="preserve">    Periodicity</w:t>
      </w:r>
      <w:r>
        <w:rPr>
          <w:lang w:eastAsia="zh-CN"/>
        </w:rPr>
        <w:t>R</w:t>
      </w:r>
      <w:r>
        <w:rPr>
          <w:rFonts w:hint="eastAsia"/>
          <w:lang w:eastAsia="zh-CN"/>
        </w:rPr>
        <w:t>ange</w:t>
      </w:r>
      <w:r>
        <w:t>:</w:t>
      </w:r>
    </w:p>
    <w:p>
      <w:pPr>
        <w:pStyle w:val="111"/>
        <w:rPr>
          <w:rFonts w:cs="Courier New"/>
          <w:szCs w:val="16"/>
        </w:rPr>
      </w:pPr>
      <w:r>
        <w:rPr>
          <w:rFonts w:eastAsia="Batang"/>
        </w:rPr>
        <w:t xml:space="preserve">      description: </w:t>
      </w:r>
      <w:r>
        <w:rPr>
          <w:rFonts w:cs="Courier New"/>
          <w:szCs w:val="16"/>
        </w:rPr>
        <w:t>&gt;</w:t>
      </w:r>
    </w:p>
    <w:p>
      <w:pPr>
        <w:pStyle w:val="111"/>
        <w:rPr>
          <w:lang w:eastAsia="zh-CN"/>
        </w:rPr>
      </w:pPr>
      <w:r>
        <w:rPr>
          <w:rFonts w:cs="Courier New"/>
          <w:szCs w:val="16"/>
        </w:rPr>
        <w:t xml:space="preserve">        </w:t>
      </w:r>
      <w:r>
        <w:t xml:space="preserve">Contains the acceptable lower bound and upper bound </w:t>
      </w:r>
      <w:r>
        <w:rPr>
          <w:lang w:eastAsia="zh-CN"/>
        </w:rPr>
        <w:t>of the periodicity of the start two</w:t>
      </w:r>
    </w:p>
    <w:p>
      <w:pPr>
        <w:pStyle w:val="111"/>
      </w:pPr>
      <w:r>
        <w:rPr>
          <w:lang w:eastAsia="zh-CN"/>
        </w:rPr>
        <w:t xml:space="preserve">        bursts </w:t>
      </w:r>
      <w:r>
        <w:rPr>
          <w:rFonts w:cs="Arial"/>
          <w:szCs w:val="18"/>
        </w:rPr>
        <w:t>in reference to the external GM.</w:t>
      </w:r>
    </w:p>
    <w:p>
      <w:pPr>
        <w:pStyle w:val="111"/>
      </w:pPr>
      <w:r>
        <w:t xml:space="preserve">      type: object</w:t>
      </w:r>
    </w:p>
    <w:p>
      <w:pPr>
        <w:pStyle w:val="111"/>
        <w:rPr>
          <w:rFonts w:cs="Courier New"/>
          <w:szCs w:val="16"/>
        </w:rPr>
      </w:pPr>
      <w:r>
        <w:rPr>
          <w:rFonts w:cs="Courier New"/>
          <w:szCs w:val="16"/>
        </w:rPr>
        <w:t xml:space="preserve">      required:</w:t>
      </w:r>
    </w:p>
    <w:p>
      <w:pPr>
        <w:pStyle w:val="111"/>
      </w:pPr>
      <w:r>
        <w:rPr>
          <w:rFonts w:cs="Courier New"/>
          <w:szCs w:val="16"/>
        </w:rPr>
        <w:t xml:space="preserve">        - </w:t>
      </w:r>
      <w:r>
        <w:t>lowerBound</w:t>
      </w:r>
    </w:p>
    <w:p>
      <w:pPr>
        <w:pStyle w:val="111"/>
      </w:pPr>
      <w:r>
        <w:rPr>
          <w:rFonts w:cs="Courier New"/>
          <w:szCs w:val="16"/>
        </w:rPr>
        <w:t xml:space="preserve">        - </w:t>
      </w:r>
      <w:r>
        <w:t>upperBound</w:t>
      </w:r>
    </w:p>
    <w:p>
      <w:pPr>
        <w:pStyle w:val="111"/>
      </w:pPr>
      <w:r>
        <w:t xml:space="preserve">      properties:</w:t>
      </w:r>
    </w:p>
    <w:p>
      <w:pPr>
        <w:pStyle w:val="111"/>
      </w:pPr>
      <w:r>
        <w:t xml:space="preserve">        lowerBound:</w:t>
      </w:r>
    </w:p>
    <w:p>
      <w:pPr>
        <w:pStyle w:val="111"/>
      </w:pPr>
      <w:r>
        <w:rPr>
          <w:rFonts w:cs="Courier New"/>
          <w:szCs w:val="16"/>
        </w:rPr>
        <w:t xml:space="preserve">          $ref: 'TS29571_CommonData.yaml#/components/schemas/Uinteger'</w:t>
      </w:r>
    </w:p>
    <w:p>
      <w:pPr>
        <w:pStyle w:val="111"/>
      </w:pPr>
      <w:r>
        <w:t xml:space="preserve">        upperBound:</w:t>
      </w:r>
    </w:p>
    <w:p>
      <w:pPr>
        <w:pStyle w:val="111"/>
        <w:rPr>
          <w:rFonts w:cs="Courier New"/>
          <w:szCs w:val="16"/>
        </w:rPr>
      </w:pPr>
      <w:r>
        <w:rPr>
          <w:rFonts w:cs="Courier New"/>
          <w:szCs w:val="16"/>
        </w:rPr>
        <w:t xml:space="preserve">          $ref: 'TS29571_CommonData.yaml#/components/schemas/Uinteger'</w:t>
      </w:r>
    </w:p>
    <w:p>
      <w:pPr>
        <w:pStyle w:val="111"/>
        <w:rPr>
          <w:rFonts w:cs="Courier New"/>
          <w:szCs w:val="16"/>
        </w:rPr>
      </w:pPr>
    </w:p>
    <w:p>
      <w:pPr>
        <w:pStyle w:val="111"/>
        <w:rPr>
          <w:rFonts w:cs="Courier New"/>
          <w:szCs w:val="16"/>
        </w:rPr>
      </w:pPr>
      <w:r>
        <w:rPr>
          <w:rFonts w:cs="Courier New"/>
          <w:szCs w:val="16"/>
        </w:rPr>
        <w:t>#</w:t>
      </w:r>
    </w:p>
    <w:p>
      <w:pPr>
        <w:pStyle w:val="111"/>
        <w:rPr>
          <w:rFonts w:cs="Courier New"/>
          <w:szCs w:val="16"/>
        </w:rPr>
      </w:pPr>
      <w:r>
        <w:rPr>
          <w:rFonts w:cs="Courier New"/>
          <w:szCs w:val="16"/>
        </w:rPr>
        <w:t># EXTENDED PROBLEMDETAILS</w:t>
      </w:r>
    </w:p>
    <w:p>
      <w:pPr>
        <w:pStyle w:val="111"/>
        <w:rPr>
          <w:rFonts w:cs="Courier New"/>
          <w:szCs w:val="16"/>
        </w:rPr>
      </w:pPr>
      <w:r>
        <w:rPr>
          <w:rFonts w:cs="Courier New"/>
          <w:szCs w:val="16"/>
        </w:rPr>
        <w:t>#</w:t>
      </w:r>
    </w:p>
    <w:p>
      <w:pPr>
        <w:pStyle w:val="111"/>
        <w:rPr>
          <w:rFonts w:cs="Courier New"/>
          <w:szCs w:val="16"/>
        </w:rPr>
      </w:pPr>
      <w:r>
        <w:rPr>
          <w:rFonts w:cs="Courier New"/>
          <w:szCs w:val="16"/>
        </w:rPr>
        <w:t xml:space="preserve">    ExtendedProblemDetails:</w:t>
      </w:r>
    </w:p>
    <w:p>
      <w:pPr>
        <w:pStyle w:val="111"/>
        <w:rPr>
          <w:rFonts w:cs="Courier New"/>
          <w:szCs w:val="16"/>
        </w:rPr>
      </w:pPr>
      <w:r>
        <w:rPr>
          <w:rFonts w:cs="Courier New"/>
          <w:szCs w:val="16"/>
        </w:rPr>
        <w:t xml:space="preserve">      description: Extends ProblemDetails to also include the acceptable service info.</w:t>
      </w:r>
    </w:p>
    <w:p>
      <w:pPr>
        <w:pStyle w:val="111"/>
        <w:rPr>
          <w:rFonts w:cs="Courier New"/>
          <w:szCs w:val="16"/>
        </w:rPr>
      </w:pPr>
      <w:r>
        <w:rPr>
          <w:rFonts w:cs="Courier New"/>
          <w:szCs w:val="16"/>
        </w:rPr>
        <w:t xml:space="preserve">      allOf:</w:t>
      </w:r>
    </w:p>
    <w:p>
      <w:pPr>
        <w:pStyle w:val="111"/>
      </w:pPr>
      <w:r>
        <w:t xml:space="preserve">        - $ref: '</w:t>
      </w:r>
      <w:r>
        <w:rPr>
          <w:rFonts w:cs="Courier New"/>
          <w:szCs w:val="16"/>
        </w:rPr>
        <w:t>TS29571_CommonData.yaml</w:t>
      </w:r>
      <w:r>
        <w:t>#/components/schemas/ProblemDetails'</w:t>
      </w:r>
    </w:p>
    <w:p>
      <w:pPr>
        <w:pStyle w:val="111"/>
        <w:rPr>
          <w:rFonts w:cs="Courier New"/>
          <w:szCs w:val="16"/>
        </w:rPr>
      </w:pPr>
      <w:r>
        <w:rPr>
          <w:rFonts w:cs="Courier New"/>
          <w:szCs w:val="16"/>
        </w:rPr>
        <w:t xml:space="preserve">        -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acceptableServInfo:</w:t>
      </w:r>
    </w:p>
    <w:p>
      <w:pPr>
        <w:pStyle w:val="111"/>
        <w:rPr>
          <w:rFonts w:cs="Courier New"/>
          <w:szCs w:val="16"/>
        </w:rPr>
      </w:pPr>
      <w:r>
        <w:rPr>
          <w:rFonts w:cs="Courier New"/>
          <w:szCs w:val="16"/>
        </w:rPr>
        <w:t xml:space="preserve">              $ref: '#/components/schemas/AcceptableServiceInfo'</w:t>
      </w:r>
    </w:p>
    <w:p>
      <w:pPr>
        <w:pStyle w:val="111"/>
        <w:rPr>
          <w:rFonts w:cs="Courier New"/>
          <w:szCs w:val="16"/>
        </w:rPr>
      </w:pPr>
    </w:p>
    <w:p>
      <w:pPr>
        <w:pStyle w:val="111"/>
        <w:rPr>
          <w:rFonts w:cs="Courier New"/>
          <w:szCs w:val="16"/>
        </w:rPr>
      </w:pPr>
      <w:r>
        <w:rPr>
          <w:rFonts w:cs="Courier New"/>
          <w:szCs w:val="16"/>
        </w:rPr>
        <w:t>#</w:t>
      </w:r>
    </w:p>
    <w:p>
      <w:pPr>
        <w:pStyle w:val="111"/>
        <w:rPr>
          <w:rFonts w:cs="Courier New"/>
          <w:szCs w:val="16"/>
        </w:rPr>
      </w:pPr>
      <w:r>
        <w:rPr>
          <w:rFonts w:cs="Courier New"/>
          <w:szCs w:val="16"/>
        </w:rPr>
        <w:t># SIMPLE DATA TYPES</w:t>
      </w:r>
    </w:p>
    <w:p>
      <w:pPr>
        <w:pStyle w:val="111"/>
        <w:rPr>
          <w:rFonts w:cs="Courier New"/>
          <w:szCs w:val="16"/>
        </w:rPr>
      </w:pPr>
      <w:r>
        <w:rPr>
          <w:rFonts w:cs="Courier New"/>
          <w:szCs w:val="16"/>
        </w:rPr>
        <w:t>#</w:t>
      </w:r>
    </w:p>
    <w:p>
      <w:pPr>
        <w:pStyle w:val="111"/>
        <w:rPr>
          <w:rFonts w:cs="Courier New"/>
          <w:szCs w:val="16"/>
        </w:rPr>
      </w:pPr>
      <w:r>
        <w:rPr>
          <w:rFonts w:cs="Courier New"/>
          <w:szCs w:val="16"/>
        </w:rPr>
        <w:t xml:space="preserve">    AfAppId:</w:t>
      </w:r>
    </w:p>
    <w:p>
      <w:pPr>
        <w:pStyle w:val="111"/>
        <w:rPr>
          <w:rFonts w:cs="Courier New"/>
          <w:szCs w:val="16"/>
        </w:rPr>
      </w:pPr>
      <w:r>
        <w:rPr>
          <w:rFonts w:cs="Courier New"/>
          <w:szCs w:val="16"/>
        </w:rPr>
        <w:t xml:space="preserve">      description: Contains an AF application identifier.</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AspId:</w:t>
      </w:r>
    </w:p>
    <w:p>
      <w:pPr>
        <w:pStyle w:val="111"/>
        <w:rPr>
          <w:rFonts w:cs="Courier New"/>
          <w:szCs w:val="16"/>
        </w:rPr>
      </w:pPr>
      <w:r>
        <w:rPr>
          <w:rFonts w:cs="Courier New"/>
          <w:szCs w:val="16"/>
        </w:rPr>
        <w:t xml:space="preserve">      description: Contains an identity of an application service provider.</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CodecData:</w:t>
      </w:r>
    </w:p>
    <w:p>
      <w:pPr>
        <w:pStyle w:val="111"/>
        <w:rPr>
          <w:rFonts w:cs="Courier New"/>
          <w:szCs w:val="16"/>
        </w:rPr>
      </w:pPr>
      <w:r>
        <w:rPr>
          <w:rFonts w:cs="Courier New"/>
          <w:szCs w:val="16"/>
        </w:rPr>
        <w:t xml:space="preserve">      description: Contains codec related information.</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ContentVersion:</w:t>
      </w:r>
    </w:p>
    <w:p>
      <w:pPr>
        <w:pStyle w:val="111"/>
        <w:rPr>
          <w:rFonts w:cs="Courier New"/>
          <w:szCs w:val="16"/>
        </w:rPr>
      </w:pPr>
      <w:r>
        <w:rPr>
          <w:rFonts w:cs="Courier New"/>
          <w:szCs w:val="16"/>
        </w:rPr>
        <w:t xml:space="preserve">      description: Represents the content version of some content.</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FlowDescription:</w:t>
      </w:r>
    </w:p>
    <w:p>
      <w:pPr>
        <w:pStyle w:val="111"/>
        <w:rPr>
          <w:rFonts w:cs="Courier New"/>
          <w:szCs w:val="16"/>
        </w:rPr>
      </w:pPr>
      <w:r>
        <w:rPr>
          <w:rFonts w:cs="Courier New"/>
          <w:szCs w:val="16"/>
        </w:rPr>
        <w:t xml:space="preserve">      description: Defines a packet filter of an IP flow.</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SponId:</w:t>
      </w:r>
    </w:p>
    <w:p>
      <w:pPr>
        <w:pStyle w:val="111"/>
        <w:rPr>
          <w:rFonts w:cs="Courier New"/>
          <w:szCs w:val="16"/>
        </w:rPr>
      </w:pPr>
      <w:r>
        <w:rPr>
          <w:rFonts w:cs="Courier New"/>
          <w:szCs w:val="16"/>
        </w:rPr>
        <w:t xml:space="preserve">      description: Contains an identity of a sponsor.</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ServiceUrn:</w:t>
      </w:r>
    </w:p>
    <w:p>
      <w:pPr>
        <w:pStyle w:val="111"/>
      </w:pPr>
      <w:r>
        <w:t xml:space="preserve">      description: Contains values of the service URN and may include subservices.</w:t>
      </w:r>
    </w:p>
    <w:p>
      <w:pPr>
        <w:pStyle w:val="111"/>
      </w:pPr>
      <w:r>
        <w:t xml:space="preserve">      type: string</w:t>
      </w:r>
    </w:p>
    <w:p>
      <w:pPr>
        <w:pStyle w:val="111"/>
      </w:pPr>
      <w:r>
        <w:t xml:space="preserve">    TosTrafficClass:</w:t>
      </w:r>
    </w:p>
    <w:p>
      <w:pPr>
        <w:pStyle w:val="111"/>
      </w:pPr>
      <w:r>
        <w:t xml:space="preserve">      description: &gt;</w:t>
      </w:r>
    </w:p>
    <w:p>
      <w:pPr>
        <w:pStyle w:val="111"/>
      </w:pPr>
      <w:r>
        <w:t xml:space="preserve">        2-octet string, where each octet is encoded in hexadecimal representation. The first octet</w:t>
      </w:r>
    </w:p>
    <w:p>
      <w:pPr>
        <w:pStyle w:val="111"/>
      </w:pPr>
      <w:r>
        <w:t xml:space="preserve">        contains the IPv4 Type-of-Service or the IPv6 Traffic-Class field and the second octet</w:t>
      </w:r>
    </w:p>
    <w:p>
      <w:pPr>
        <w:pStyle w:val="111"/>
      </w:pPr>
      <w:r>
        <w:t xml:space="preserve">        contains the ToS/Traffic Class mask field.</w:t>
      </w:r>
    </w:p>
    <w:p>
      <w:pPr>
        <w:pStyle w:val="111"/>
      </w:pPr>
      <w:r>
        <w:t xml:space="preserve">      type: string</w:t>
      </w:r>
    </w:p>
    <w:p>
      <w:pPr>
        <w:pStyle w:val="111"/>
      </w:pPr>
      <w:r>
        <w:t xml:space="preserve">    TosTrafficClassRm:</w:t>
      </w:r>
    </w:p>
    <w:p>
      <w:pPr>
        <w:pStyle w:val="111"/>
      </w:pPr>
      <w:r>
        <w:t xml:space="preserve">      description: &gt;</w:t>
      </w:r>
    </w:p>
    <w:p>
      <w:pPr>
        <w:pStyle w:val="111"/>
      </w:pPr>
      <w:r>
        <w:t xml:space="preserve">        This data type is defined in the same way as the TosTrafficClass data type, but with the</w:t>
      </w:r>
    </w:p>
    <w:p>
      <w:pPr>
        <w:pStyle w:val="111"/>
      </w:pPr>
      <w:r>
        <w:t xml:space="preserve">        OpenAPI nullable property set to true.</w:t>
      </w:r>
    </w:p>
    <w:p>
      <w:pPr>
        <w:pStyle w:val="111"/>
      </w:pPr>
      <w:r>
        <w:t xml:space="preserve">      type: string</w:t>
      </w:r>
    </w:p>
    <w:p>
      <w:pPr>
        <w:pStyle w:val="111"/>
      </w:pPr>
      <w:r>
        <w:t xml:space="preserve">      nullable: true</w:t>
      </w:r>
    </w:p>
    <w:p>
      <w:pPr>
        <w:pStyle w:val="111"/>
      </w:pPr>
      <w:r>
        <w:t xml:space="preserve">    MultiModalId:</w:t>
      </w:r>
    </w:p>
    <w:p>
      <w:pPr>
        <w:pStyle w:val="111"/>
      </w:pPr>
      <w:r>
        <w:t xml:space="preserve">      description: &gt;</w:t>
      </w:r>
    </w:p>
    <w:p>
      <w:pPr>
        <w:pStyle w:val="111"/>
      </w:pPr>
      <w:r>
        <w:t xml:space="preserve">        This data type c</w:t>
      </w:r>
      <w:r>
        <w:rPr>
          <w:lang w:eastAsia="zh-CN"/>
        </w:rPr>
        <w:t>ontains a multi-modal service identifier</w:t>
      </w:r>
      <w:r>
        <w:t>.</w:t>
      </w:r>
    </w:p>
    <w:p>
      <w:pPr>
        <w:pStyle w:val="111"/>
      </w:pPr>
      <w:r>
        <w:t xml:space="preserve">      type: string</w:t>
      </w:r>
    </w:p>
    <w:p>
      <w:pPr>
        <w:pStyle w:val="111"/>
      </w:pPr>
      <w:r>
        <w:t xml:space="preserve">    TscPriorityLevel:</w:t>
      </w:r>
    </w:p>
    <w:p>
      <w:pPr>
        <w:pStyle w:val="111"/>
        <w:rPr>
          <w:rFonts w:eastAsia="Batang"/>
        </w:rPr>
      </w:pPr>
      <w:r>
        <w:rPr>
          <w:rFonts w:eastAsia="Batang"/>
        </w:rPr>
        <w:t xml:space="preserve">      description: Represents the priority level of TSC Flows.</w:t>
      </w:r>
    </w:p>
    <w:p>
      <w:pPr>
        <w:pStyle w:val="111"/>
      </w:pPr>
      <w:r>
        <w:t xml:space="preserve">      type: integer</w:t>
      </w:r>
    </w:p>
    <w:p>
      <w:pPr>
        <w:pStyle w:val="111"/>
      </w:pPr>
      <w:r>
        <w:rPr>
          <w:lang w:val="en-US"/>
        </w:rPr>
        <w:t xml:space="preserve">      </w:t>
      </w:r>
      <w:r>
        <w:t>minimum: 1</w:t>
      </w:r>
    </w:p>
    <w:p>
      <w:pPr>
        <w:pStyle w:val="111"/>
        <w:rPr>
          <w:lang w:val="en-US"/>
        </w:rPr>
      </w:pPr>
      <w:r>
        <w:t xml:space="preserve">      maximum: 8</w:t>
      </w:r>
    </w:p>
    <w:p>
      <w:pPr>
        <w:pStyle w:val="111"/>
      </w:pPr>
      <w:r>
        <w:t xml:space="preserve">    TscPriorityLevelRm:</w:t>
      </w:r>
    </w:p>
    <w:p>
      <w:pPr>
        <w:pStyle w:val="111"/>
        <w:rPr>
          <w:rFonts w:eastAsia="Batang"/>
        </w:rPr>
      </w:pPr>
      <w:r>
        <w:rPr>
          <w:rFonts w:eastAsia="Batang"/>
        </w:rPr>
        <w:t xml:space="preserve">      description: &gt;</w:t>
      </w:r>
    </w:p>
    <w:p>
      <w:pPr>
        <w:pStyle w:val="111"/>
        <w:rPr>
          <w:rFonts w:eastAsia="Batang"/>
        </w:rPr>
      </w:pPr>
      <w:r>
        <w:rPr>
          <w:rFonts w:eastAsia="Batang"/>
        </w:rPr>
        <w:t xml:space="preserve">        This data type is defined in the same way as the TscPriorityLevel data type, but with the</w:t>
      </w:r>
    </w:p>
    <w:p>
      <w:pPr>
        <w:pStyle w:val="111"/>
        <w:rPr>
          <w:rFonts w:eastAsia="Batang"/>
        </w:rPr>
      </w:pPr>
      <w:r>
        <w:rPr>
          <w:rFonts w:eastAsia="Batang"/>
        </w:rPr>
        <w:t xml:space="preserve">        OpenAPI nullable property set to true.</w:t>
      </w:r>
    </w:p>
    <w:p>
      <w:pPr>
        <w:pStyle w:val="111"/>
      </w:pPr>
      <w:r>
        <w:t xml:space="preserve">      type: integer</w:t>
      </w:r>
    </w:p>
    <w:p>
      <w:pPr>
        <w:pStyle w:val="111"/>
      </w:pPr>
      <w:r>
        <w:rPr>
          <w:lang w:val="en-US"/>
        </w:rPr>
        <w:t xml:space="preserve">      </w:t>
      </w:r>
      <w:r>
        <w:t>minimum: 1</w:t>
      </w:r>
    </w:p>
    <w:p>
      <w:pPr>
        <w:pStyle w:val="111"/>
        <w:rPr>
          <w:lang w:val="en-US"/>
        </w:rPr>
      </w:pPr>
      <w:r>
        <w:t xml:space="preserve">      maximum: 8</w:t>
      </w:r>
    </w:p>
    <w:p>
      <w:pPr>
        <w:pStyle w:val="111"/>
        <w:rPr>
          <w:lang w:val="en-US"/>
        </w:rPr>
      </w:pPr>
      <w:r>
        <w:rPr>
          <w:lang w:val="en-US"/>
        </w:rPr>
        <w:t xml:space="preserve">      nullable: true</w:t>
      </w:r>
    </w:p>
    <w:p>
      <w:pPr>
        <w:pStyle w:val="111"/>
      </w:pPr>
      <w:r>
        <w:t>#</w:t>
      </w:r>
    </w:p>
    <w:p>
      <w:pPr>
        <w:pStyle w:val="111"/>
      </w:pPr>
      <w:r>
        <w:t># ENUMERATIONS DATA TYPES</w:t>
      </w:r>
    </w:p>
    <w:p>
      <w:pPr>
        <w:pStyle w:val="111"/>
      </w:pPr>
      <w:r>
        <w:t>#</w:t>
      </w:r>
    </w:p>
    <w:p>
      <w:pPr>
        <w:pStyle w:val="111"/>
      </w:pPr>
      <w:r>
        <w:t xml:space="preserve">    MediaType:</w:t>
      </w:r>
    </w:p>
    <w:p>
      <w:pPr>
        <w:pStyle w:val="111"/>
        <w:rPr>
          <w:rFonts w:eastAsia="Batang"/>
        </w:rPr>
      </w:pPr>
      <w:r>
        <w:rPr>
          <w:rFonts w:eastAsia="Batang"/>
        </w:rPr>
        <w:t xml:space="preserve">      description: Indicates the media type of a media component.</w:t>
      </w:r>
    </w:p>
    <w:p>
      <w:pPr>
        <w:pStyle w:val="111"/>
      </w:pPr>
      <w:r>
        <w:t xml:space="preserve">      anyOf:</w:t>
      </w:r>
    </w:p>
    <w:p>
      <w:pPr>
        <w:pStyle w:val="111"/>
      </w:pPr>
      <w:r>
        <w:t xml:space="preserve">        - type: string</w:t>
      </w:r>
    </w:p>
    <w:p>
      <w:pPr>
        <w:pStyle w:val="111"/>
      </w:pPr>
      <w:r>
        <w:t xml:space="preserve">          enum:</w:t>
      </w:r>
    </w:p>
    <w:p>
      <w:pPr>
        <w:pStyle w:val="111"/>
      </w:pPr>
      <w:r>
        <w:t xml:space="preserve">            - AUDIO</w:t>
      </w:r>
    </w:p>
    <w:p>
      <w:pPr>
        <w:pStyle w:val="111"/>
      </w:pPr>
      <w:r>
        <w:t xml:space="preserve">            - VIDEO</w:t>
      </w:r>
    </w:p>
    <w:p>
      <w:pPr>
        <w:pStyle w:val="111"/>
      </w:pPr>
      <w:r>
        <w:t xml:space="preserve">            - DATA</w:t>
      </w:r>
    </w:p>
    <w:p>
      <w:pPr>
        <w:pStyle w:val="111"/>
      </w:pPr>
      <w:r>
        <w:t xml:space="preserve">            - APPLICATION</w:t>
      </w:r>
    </w:p>
    <w:p>
      <w:pPr>
        <w:pStyle w:val="111"/>
      </w:pPr>
      <w:r>
        <w:t xml:space="preserve">            - CONTROL</w:t>
      </w:r>
    </w:p>
    <w:p>
      <w:pPr>
        <w:pStyle w:val="111"/>
      </w:pPr>
      <w:r>
        <w:t xml:space="preserve">            - TEXT</w:t>
      </w:r>
    </w:p>
    <w:p>
      <w:pPr>
        <w:pStyle w:val="111"/>
      </w:pPr>
      <w:r>
        <w:t xml:space="preserve">            - MESSAGE</w:t>
      </w:r>
    </w:p>
    <w:p>
      <w:pPr>
        <w:pStyle w:val="111"/>
      </w:pPr>
      <w:r>
        <w:t xml:space="preserve">            - OTHER</w:t>
      </w:r>
    </w:p>
    <w:p>
      <w:pPr>
        <w:pStyle w:val="111"/>
      </w:pPr>
      <w:r>
        <w:t xml:space="preserve">        - type: string</w:t>
      </w:r>
    </w:p>
    <w:p>
      <w:pPr>
        <w:pStyle w:val="111"/>
      </w:pPr>
      <w:r>
        <w:t xml:space="preserve">          description: &gt;</w:t>
      </w:r>
    </w:p>
    <w:p>
      <w:pPr>
        <w:pStyle w:val="111"/>
      </w:pPr>
      <w:bookmarkStart w:id="115" w:name="_Hlk116990746"/>
      <w:r>
        <w:t xml:space="preserve">            This string provides forward-compatibility with future extensions to the enumeration</w:t>
      </w:r>
    </w:p>
    <w:p>
      <w:pPr>
        <w:pStyle w:val="111"/>
      </w:pPr>
      <w:r>
        <w:t xml:space="preserve">            and is not used to encode content defined in the present version of this API.</w:t>
      </w:r>
    </w:p>
    <w:bookmarkEnd w:id="115"/>
    <w:p>
      <w:pPr>
        <w:pStyle w:val="111"/>
        <w:rPr>
          <w:rFonts w:cs="Courier New"/>
          <w:szCs w:val="16"/>
        </w:rPr>
      </w:pPr>
    </w:p>
    <w:p>
      <w:pPr>
        <w:pStyle w:val="111"/>
        <w:rPr>
          <w:rFonts w:cs="Courier New"/>
          <w:szCs w:val="16"/>
        </w:rPr>
      </w:pPr>
      <w:r>
        <w:rPr>
          <w:rFonts w:cs="Courier New"/>
          <w:szCs w:val="16"/>
        </w:rPr>
        <w:t xml:space="preserve">    MpsAction:</w:t>
      </w:r>
    </w:p>
    <w:p>
      <w:pPr>
        <w:pStyle w:val="111"/>
      </w:pPr>
      <w:r>
        <w:t xml:space="preserve">      description: &gt;</w:t>
      </w:r>
    </w:p>
    <w:p>
      <w:pPr>
        <w:pStyle w:val="111"/>
      </w:pPr>
      <w:r>
        <w:t xml:space="preserve">        Indicates whether it is an invocation, a revocation or an invocation with authorization of</w:t>
      </w:r>
    </w:p>
    <w:p>
      <w:pPr>
        <w:pStyle w:val="111"/>
      </w:pPr>
      <w:r>
        <w:t xml:space="preserve">        the MPS for DTS service.</w:t>
      </w:r>
    </w:p>
    <w:p>
      <w:pPr>
        <w:pStyle w:val="111"/>
        <w:rPr>
          <w:rFonts w:cs="Courier New"/>
          <w:szCs w:val="16"/>
        </w:rPr>
      </w:pPr>
      <w:r>
        <w:rPr>
          <w:rFonts w:cs="Courier New"/>
          <w:szCs w:val="16"/>
        </w:rPr>
        <w:t xml:space="preserve">      anyOf:</w:t>
      </w:r>
    </w:p>
    <w:p>
      <w:pPr>
        <w:pStyle w:val="111"/>
        <w:rPr>
          <w:rFonts w:cs="Courier New"/>
          <w:szCs w:val="16"/>
        </w:rPr>
      </w:pPr>
      <w:r>
        <w:rPr>
          <w:rFonts w:cs="Courier New"/>
          <w:szCs w:val="16"/>
        </w:rPr>
        <w:t xml:space="preserve">        - type: string</w:t>
      </w:r>
    </w:p>
    <w:p>
      <w:pPr>
        <w:pStyle w:val="111"/>
        <w:rPr>
          <w:rFonts w:cs="Courier New"/>
          <w:szCs w:val="16"/>
        </w:rPr>
      </w:pPr>
      <w:r>
        <w:rPr>
          <w:rFonts w:cs="Courier New"/>
          <w:szCs w:val="16"/>
        </w:rPr>
        <w:t xml:space="preserve">          enum:</w:t>
      </w:r>
    </w:p>
    <w:p>
      <w:pPr>
        <w:pStyle w:val="111"/>
        <w:rPr>
          <w:rFonts w:cs="Courier New"/>
          <w:szCs w:val="16"/>
        </w:rPr>
      </w:pPr>
      <w:r>
        <w:rPr>
          <w:rFonts w:cs="Courier New"/>
          <w:szCs w:val="16"/>
        </w:rPr>
        <w:t xml:space="preserve">            - DISABLE_MPS_FOR_DTS</w:t>
      </w:r>
    </w:p>
    <w:p>
      <w:pPr>
        <w:pStyle w:val="111"/>
        <w:rPr>
          <w:rFonts w:cs="Courier New"/>
          <w:szCs w:val="16"/>
        </w:rPr>
      </w:pPr>
      <w:r>
        <w:rPr>
          <w:rFonts w:cs="Courier New"/>
          <w:szCs w:val="16"/>
        </w:rPr>
        <w:t xml:space="preserve">            - ENABLE_MPS_FOR_DTS</w:t>
      </w:r>
    </w:p>
    <w:p>
      <w:pPr>
        <w:pStyle w:val="111"/>
        <w:rPr>
          <w:rFonts w:cs="Courier New"/>
          <w:szCs w:val="16"/>
        </w:rPr>
      </w:pPr>
      <w:r>
        <w:rPr>
          <w:rFonts w:cs="Courier New"/>
          <w:szCs w:val="16"/>
        </w:rPr>
        <w:t xml:space="preserve">            - AUTHORIZE_AND_ENABLE_MPS_FOR_DTS</w:t>
      </w:r>
    </w:p>
    <w:p>
      <w:pPr>
        <w:pStyle w:val="111"/>
        <w:rPr>
          <w:rFonts w:cs="Courier New"/>
          <w:szCs w:val="16"/>
        </w:rPr>
      </w:pPr>
      <w:r>
        <w:rPr>
          <w:rFonts w:cs="Courier New"/>
          <w:szCs w:val="16"/>
        </w:rP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ReservPriority:</w:t>
      </w:r>
    </w:p>
    <w:p>
      <w:pPr>
        <w:pStyle w:val="111"/>
        <w:rPr>
          <w:rFonts w:eastAsia="Batang"/>
        </w:rPr>
      </w:pPr>
      <w:r>
        <w:rPr>
          <w:rFonts w:eastAsia="Batang"/>
        </w:rPr>
        <w:t xml:space="preserve">      description: Indicates the reservation priority.</w:t>
      </w:r>
    </w:p>
    <w:p>
      <w:pPr>
        <w:pStyle w:val="111"/>
      </w:pPr>
      <w:r>
        <w:t xml:space="preserve">      anyOf:</w:t>
      </w:r>
    </w:p>
    <w:p>
      <w:pPr>
        <w:pStyle w:val="111"/>
      </w:pPr>
      <w:r>
        <w:t xml:space="preserve">        - type: string</w:t>
      </w:r>
    </w:p>
    <w:p>
      <w:pPr>
        <w:pStyle w:val="111"/>
      </w:pPr>
      <w:r>
        <w:t xml:space="preserve">          enum:</w:t>
      </w:r>
    </w:p>
    <w:p>
      <w:pPr>
        <w:pStyle w:val="111"/>
        <w:rPr>
          <w:lang w:val="es-ES"/>
        </w:rPr>
      </w:pPr>
      <w:r>
        <w:t xml:space="preserve">            </w:t>
      </w:r>
      <w:r>
        <w:rPr>
          <w:lang w:val="es-ES"/>
        </w:rPr>
        <w:t>- PRIO_1</w:t>
      </w:r>
    </w:p>
    <w:p>
      <w:pPr>
        <w:pStyle w:val="111"/>
        <w:rPr>
          <w:lang w:val="es-ES"/>
        </w:rPr>
      </w:pPr>
      <w:r>
        <w:rPr>
          <w:lang w:val="es-ES"/>
        </w:rPr>
        <w:t xml:space="preserve">            - PRIO_2</w:t>
      </w:r>
    </w:p>
    <w:p>
      <w:pPr>
        <w:pStyle w:val="111"/>
        <w:rPr>
          <w:lang w:val="es-ES"/>
        </w:rPr>
      </w:pPr>
      <w:r>
        <w:rPr>
          <w:lang w:val="es-ES"/>
        </w:rPr>
        <w:t xml:space="preserve">            - PRIO_3</w:t>
      </w:r>
    </w:p>
    <w:p>
      <w:pPr>
        <w:pStyle w:val="111"/>
        <w:rPr>
          <w:lang w:val="es-ES"/>
        </w:rPr>
      </w:pPr>
      <w:r>
        <w:rPr>
          <w:lang w:val="es-ES"/>
        </w:rPr>
        <w:t xml:space="preserve">            - PRIO_4</w:t>
      </w:r>
    </w:p>
    <w:p>
      <w:pPr>
        <w:pStyle w:val="111"/>
        <w:rPr>
          <w:lang w:val="es-ES"/>
        </w:rPr>
      </w:pPr>
      <w:r>
        <w:rPr>
          <w:lang w:val="es-ES"/>
        </w:rPr>
        <w:t xml:space="preserve">            - PRIO_5</w:t>
      </w:r>
    </w:p>
    <w:p>
      <w:pPr>
        <w:pStyle w:val="111"/>
        <w:rPr>
          <w:lang w:val="es-ES"/>
        </w:rPr>
      </w:pPr>
      <w:r>
        <w:rPr>
          <w:lang w:val="es-ES"/>
        </w:rPr>
        <w:t xml:space="preserve">            - PRIO_6</w:t>
      </w:r>
    </w:p>
    <w:p>
      <w:pPr>
        <w:pStyle w:val="111"/>
        <w:rPr>
          <w:lang w:val="es-ES"/>
        </w:rPr>
      </w:pPr>
      <w:r>
        <w:rPr>
          <w:lang w:val="es-ES"/>
        </w:rPr>
        <w:t xml:space="preserve">            - PRIO_7</w:t>
      </w:r>
    </w:p>
    <w:p>
      <w:pPr>
        <w:pStyle w:val="111"/>
        <w:rPr>
          <w:lang w:val="es-ES"/>
        </w:rPr>
      </w:pPr>
      <w:r>
        <w:rPr>
          <w:lang w:val="es-ES"/>
        </w:rPr>
        <w:t xml:space="preserve">            - PRIO_8</w:t>
      </w:r>
    </w:p>
    <w:p>
      <w:pPr>
        <w:pStyle w:val="111"/>
        <w:rPr>
          <w:lang w:val="es-ES"/>
        </w:rPr>
      </w:pPr>
      <w:r>
        <w:rPr>
          <w:lang w:val="es-ES"/>
        </w:rPr>
        <w:t xml:space="preserve">            - PRIO_9</w:t>
      </w:r>
    </w:p>
    <w:p>
      <w:pPr>
        <w:pStyle w:val="111"/>
        <w:rPr>
          <w:lang w:val="es-ES"/>
        </w:rPr>
      </w:pPr>
      <w:r>
        <w:rPr>
          <w:lang w:val="es-ES"/>
        </w:rPr>
        <w:t xml:space="preserve">            - PRIO_10</w:t>
      </w:r>
    </w:p>
    <w:p>
      <w:pPr>
        <w:pStyle w:val="111"/>
        <w:rPr>
          <w:lang w:val="es-ES"/>
        </w:rPr>
      </w:pPr>
      <w:r>
        <w:rPr>
          <w:lang w:val="es-ES"/>
        </w:rPr>
        <w:t xml:space="preserve">            - PRIO_11</w:t>
      </w:r>
    </w:p>
    <w:p>
      <w:pPr>
        <w:pStyle w:val="111"/>
        <w:rPr>
          <w:lang w:val="es-ES"/>
        </w:rPr>
      </w:pPr>
      <w:r>
        <w:rPr>
          <w:lang w:val="es-ES"/>
        </w:rPr>
        <w:t xml:space="preserve">            - PRIO_12</w:t>
      </w:r>
    </w:p>
    <w:p>
      <w:pPr>
        <w:pStyle w:val="111"/>
        <w:rPr>
          <w:lang w:val="es-ES"/>
        </w:rPr>
      </w:pPr>
      <w:r>
        <w:rPr>
          <w:lang w:val="es-ES"/>
        </w:rPr>
        <w:t xml:space="preserve">            - PRIO_13</w:t>
      </w:r>
    </w:p>
    <w:p>
      <w:pPr>
        <w:pStyle w:val="111"/>
        <w:rPr>
          <w:lang w:val="es-ES"/>
        </w:rPr>
      </w:pPr>
      <w:r>
        <w:rPr>
          <w:lang w:val="es-ES"/>
        </w:rPr>
        <w:t xml:space="preserve">            - PRIO_14</w:t>
      </w:r>
    </w:p>
    <w:p>
      <w:pPr>
        <w:pStyle w:val="111"/>
        <w:rPr>
          <w:lang w:val="es-ES"/>
        </w:rPr>
      </w:pPr>
      <w:r>
        <w:rPr>
          <w:lang w:val="es-ES"/>
        </w:rPr>
        <w:t xml:space="preserve">            - PRIO_15</w:t>
      </w:r>
    </w:p>
    <w:p>
      <w:pPr>
        <w:pStyle w:val="111"/>
        <w:rPr>
          <w:lang w:val="en-US"/>
        </w:rPr>
      </w:pPr>
      <w:r>
        <w:rPr>
          <w:lang w:val="es-ES"/>
        </w:rPr>
        <w:t xml:space="preserve">            </w:t>
      </w:r>
      <w:r>
        <w:rPr>
          <w:lang w:val="en-US"/>
        </w:rPr>
        <w:t>- PRIO_16</w:t>
      </w:r>
    </w:p>
    <w:p>
      <w:pPr>
        <w:pStyle w:val="111"/>
      </w:pPr>
      <w:r>
        <w:rPr>
          <w:lang w:val="en-US"/>
        </w:rPr>
        <w:t xml:space="preserve">        </w:t>
      </w:r>
      <w:r>
        <w:t>-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ServAuthInfo:</w:t>
      </w:r>
    </w:p>
    <w:p>
      <w:pPr>
        <w:pStyle w:val="111"/>
        <w:rPr>
          <w:rFonts w:eastAsia="Batang"/>
        </w:rPr>
      </w:pPr>
      <w:r>
        <w:rPr>
          <w:rFonts w:eastAsia="Batang"/>
        </w:rPr>
        <w:t xml:space="preserve">      description: Indicates the result of the Policy Authorization service request from the AF.</w:t>
      </w:r>
    </w:p>
    <w:p>
      <w:pPr>
        <w:pStyle w:val="111"/>
      </w:pPr>
      <w:r>
        <w:t xml:space="preserve">      anyOf:</w:t>
      </w:r>
    </w:p>
    <w:p>
      <w:pPr>
        <w:pStyle w:val="111"/>
      </w:pPr>
      <w:r>
        <w:t xml:space="preserve">      - type: string</w:t>
      </w:r>
    </w:p>
    <w:p>
      <w:pPr>
        <w:pStyle w:val="111"/>
      </w:pPr>
      <w:r>
        <w:t xml:space="preserve">        enum:</w:t>
      </w:r>
    </w:p>
    <w:p>
      <w:pPr>
        <w:pStyle w:val="111"/>
      </w:pPr>
      <w:r>
        <w:t xml:space="preserve">          - TP_NOT_KNOWN</w:t>
      </w:r>
    </w:p>
    <w:p>
      <w:pPr>
        <w:pStyle w:val="111"/>
      </w:pPr>
      <w:r>
        <w:t xml:space="preserve">          - TP_EXPIRED</w:t>
      </w:r>
    </w:p>
    <w:p>
      <w:pPr>
        <w:pStyle w:val="111"/>
      </w:pPr>
      <w:r>
        <w:t xml:space="preserve">          - TP_NOT_YET_OCURRED</w:t>
      </w:r>
    </w:p>
    <w:p>
      <w:pPr>
        <w:pStyle w:val="111"/>
      </w:pPr>
      <w:r>
        <w:t xml:space="preserve">          - </w:t>
      </w:r>
      <w:r>
        <w:rPr>
          <w:lang w:eastAsia="de-DE"/>
        </w:rPr>
        <w:t>ROUT_REQ_NOT_AUTHORIZED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SponsoringStatus:</w:t>
      </w:r>
    </w:p>
    <w:p>
      <w:pPr>
        <w:pStyle w:val="111"/>
        <w:rPr>
          <w:rFonts w:eastAsia="Batang"/>
        </w:rPr>
      </w:pPr>
      <w:r>
        <w:rPr>
          <w:rFonts w:eastAsia="Batang"/>
        </w:rPr>
        <w:t xml:space="preserve">      description: Indicates whether sponsored data connectivity is enabled or disabled/not enabled.</w:t>
      </w:r>
    </w:p>
    <w:p>
      <w:pPr>
        <w:pStyle w:val="111"/>
      </w:pPr>
      <w:r>
        <w:t xml:space="preserve">      anyOf:</w:t>
      </w:r>
    </w:p>
    <w:p>
      <w:pPr>
        <w:pStyle w:val="111"/>
      </w:pPr>
      <w:r>
        <w:t xml:space="preserve">      - type: string</w:t>
      </w:r>
    </w:p>
    <w:p>
      <w:pPr>
        <w:pStyle w:val="111"/>
      </w:pPr>
      <w:r>
        <w:t xml:space="preserve">        enum:</w:t>
      </w:r>
    </w:p>
    <w:p>
      <w:pPr>
        <w:pStyle w:val="111"/>
      </w:pPr>
      <w:r>
        <w:t xml:space="preserve">          - SPONSOR_DISABLED</w:t>
      </w:r>
    </w:p>
    <w:p>
      <w:pPr>
        <w:pStyle w:val="111"/>
      </w:pPr>
      <w:r>
        <w:t xml:space="preserve">          - SPONSOR_ENABLED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AfEvent:</w:t>
      </w:r>
    </w:p>
    <w:p>
      <w:pPr>
        <w:pStyle w:val="111"/>
        <w:rPr>
          <w:rFonts w:eastAsia="Batang"/>
        </w:rPr>
      </w:pPr>
      <w:r>
        <w:rPr>
          <w:rFonts w:eastAsia="Batang"/>
        </w:rPr>
        <w:t xml:space="preserve">      description: Represents an event to notify to the AF.</w:t>
      </w:r>
    </w:p>
    <w:p>
      <w:pPr>
        <w:pStyle w:val="111"/>
      </w:pPr>
      <w:r>
        <w:t xml:space="preserve">      anyOf:</w:t>
      </w:r>
    </w:p>
    <w:p>
      <w:pPr>
        <w:pStyle w:val="111"/>
      </w:pPr>
      <w:r>
        <w:t xml:space="preserve">      - type: string</w:t>
      </w:r>
    </w:p>
    <w:p>
      <w:pPr>
        <w:pStyle w:val="111"/>
      </w:pPr>
      <w:r>
        <w:t xml:space="preserve">        enum:</w:t>
      </w:r>
    </w:p>
    <w:p>
      <w:pPr>
        <w:pStyle w:val="111"/>
      </w:pPr>
      <w:r>
        <w:t xml:space="preserve">          - ACCESS_TYPE_CHANGE</w:t>
      </w:r>
    </w:p>
    <w:p>
      <w:pPr>
        <w:pStyle w:val="111"/>
      </w:pPr>
      <w:r>
        <w:t xml:space="preserve">          - EXTRA_UE_ADDR</w:t>
      </w:r>
    </w:p>
    <w:p>
      <w:pPr>
        <w:pStyle w:val="111"/>
      </w:pPr>
      <w:r>
        <w:t xml:space="preserve">          - ANI_REPORT</w:t>
      </w:r>
    </w:p>
    <w:p>
      <w:pPr>
        <w:pStyle w:val="111"/>
      </w:pPr>
      <w:r>
        <w:t xml:space="preserve">          - APP_DETECTION</w:t>
      </w:r>
    </w:p>
    <w:p>
      <w:pPr>
        <w:pStyle w:val="111"/>
      </w:pPr>
      <w:r>
        <w:t xml:space="preserve">          - CHARGING_CORRELATION</w:t>
      </w:r>
    </w:p>
    <w:p>
      <w:pPr>
        <w:pStyle w:val="111"/>
      </w:pPr>
      <w:r>
        <w:t xml:space="preserve">          - EPS_FALLBACK</w:t>
      </w:r>
    </w:p>
    <w:p>
      <w:pPr>
        <w:pStyle w:val="111"/>
      </w:pPr>
      <w:r>
        <w:rPr>
          <w:rFonts w:cs="Courier New"/>
          <w:szCs w:val="16"/>
        </w:rPr>
        <w:t xml:space="preserve">          - </w:t>
      </w:r>
      <w:r>
        <w:t>FAILED_QOS_UPDATE</w:t>
      </w:r>
    </w:p>
    <w:p>
      <w:pPr>
        <w:pStyle w:val="111"/>
      </w:pPr>
      <w:r>
        <w:t xml:space="preserve">          - FAILED_RESOURCES_ALLOCATION</w:t>
      </w:r>
    </w:p>
    <w:p>
      <w:pPr>
        <w:pStyle w:val="111"/>
      </w:pPr>
      <w:r>
        <w:t xml:space="preserve">          - OUT_OF_CREDIT</w:t>
      </w:r>
    </w:p>
    <w:p>
      <w:pPr>
        <w:pStyle w:val="111"/>
      </w:pPr>
      <w:r>
        <w:t xml:space="preserve">          - PDU_SESSION_STATUS</w:t>
      </w:r>
    </w:p>
    <w:p>
      <w:pPr>
        <w:pStyle w:val="111"/>
      </w:pPr>
      <w:r>
        <w:t xml:space="preserve">          - PLMN_CHG</w:t>
      </w:r>
    </w:p>
    <w:p>
      <w:pPr>
        <w:pStyle w:val="111"/>
      </w:pPr>
      <w:r>
        <w:t xml:space="preserve">          - QOS_MONITORING</w:t>
      </w:r>
    </w:p>
    <w:p>
      <w:pPr>
        <w:pStyle w:val="111"/>
      </w:pPr>
      <w:r>
        <w:t xml:space="preserve">          - QOS_NOTIF</w:t>
      </w:r>
    </w:p>
    <w:p>
      <w:pPr>
        <w:pStyle w:val="111"/>
      </w:pPr>
      <w:r>
        <w:t xml:space="preserve">          - RAN_NAS_CAUSE</w:t>
      </w:r>
    </w:p>
    <w:p>
      <w:pPr>
        <w:pStyle w:val="111"/>
      </w:pPr>
      <w:r>
        <w:t xml:space="preserve">          - REALLOCATION_OF_CREDIT</w:t>
      </w:r>
    </w:p>
    <w:p>
      <w:pPr>
        <w:pStyle w:val="111"/>
      </w:pPr>
      <w:r>
        <w:t xml:space="preserve">          - SAT_CATEGORY_CHG</w:t>
      </w:r>
    </w:p>
    <w:p>
      <w:pPr>
        <w:pStyle w:val="111"/>
      </w:pPr>
      <w:r>
        <w:rPr>
          <w:rFonts w:cs="Courier New"/>
          <w:szCs w:val="16"/>
        </w:rPr>
        <w:t xml:space="preserve">          - </w:t>
      </w:r>
      <w:r>
        <w:t>SUCCESSFUL_QOS_UPDATE</w:t>
      </w:r>
    </w:p>
    <w:p>
      <w:pPr>
        <w:pStyle w:val="111"/>
      </w:pPr>
      <w:r>
        <w:t xml:space="preserve">          - SUCCESSFUL_RESOURCES_ALLOCATION</w:t>
      </w:r>
    </w:p>
    <w:p>
      <w:pPr>
        <w:pStyle w:val="111"/>
      </w:pPr>
      <w:r>
        <w:t xml:space="preserve">          - </w:t>
      </w:r>
      <w:r>
        <w:rPr>
          <w:lang w:eastAsia="zh-CN"/>
        </w:rPr>
        <w:t>TSN_BRIDGE_INFO</w:t>
      </w:r>
    </w:p>
    <w:p>
      <w:pPr>
        <w:pStyle w:val="111"/>
      </w:pPr>
      <w:r>
        <w:t xml:space="preserve">          - UP_PATH_CHG_FAILURE</w:t>
      </w:r>
    </w:p>
    <w:p>
      <w:pPr>
        <w:pStyle w:val="111"/>
      </w:pPr>
      <w:r>
        <w:t xml:space="preserve">          - USAGE_REPORT</w:t>
      </w:r>
    </w:p>
    <w:p>
      <w:pPr>
        <w:pStyle w:val="111"/>
      </w:pPr>
      <w:r>
        <w:t xml:space="preserve">          - UE_TEMPORARILY_UNAVAILABLE</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AfNotifMethod:</w:t>
      </w:r>
    </w:p>
    <w:p>
      <w:pPr>
        <w:pStyle w:val="111"/>
        <w:rPr>
          <w:rFonts w:eastAsia="Batang"/>
        </w:rPr>
      </w:pPr>
      <w:r>
        <w:rPr>
          <w:rFonts w:eastAsia="Batang"/>
        </w:rPr>
        <w:t xml:space="preserve">      description: Represents the notification methods that can be subscribed for an event.</w:t>
      </w:r>
    </w:p>
    <w:p>
      <w:pPr>
        <w:pStyle w:val="111"/>
      </w:pPr>
      <w:r>
        <w:t xml:space="preserve">      anyOf:</w:t>
      </w:r>
    </w:p>
    <w:p>
      <w:pPr>
        <w:pStyle w:val="111"/>
      </w:pPr>
      <w:r>
        <w:t xml:space="preserve">      - type: string</w:t>
      </w:r>
    </w:p>
    <w:p>
      <w:pPr>
        <w:pStyle w:val="111"/>
      </w:pPr>
      <w:r>
        <w:t xml:space="preserve">        enum:</w:t>
      </w:r>
    </w:p>
    <w:p>
      <w:pPr>
        <w:pStyle w:val="111"/>
      </w:pPr>
      <w:r>
        <w:t xml:space="preserve">          - EVENT_DETECTION</w:t>
      </w:r>
    </w:p>
    <w:p>
      <w:pPr>
        <w:pStyle w:val="111"/>
      </w:pPr>
      <w:r>
        <w:t xml:space="preserve">          - ONE_TIME</w:t>
      </w:r>
    </w:p>
    <w:p>
      <w:pPr>
        <w:pStyle w:val="111"/>
      </w:pPr>
      <w:r>
        <w:t xml:space="preserve">          - PERIODIC</w:t>
      </w:r>
    </w:p>
    <w:p>
      <w:pPr>
        <w:pStyle w:val="111"/>
      </w:pPr>
      <w:r>
        <w:t xml:space="preserve">          - </w:t>
      </w:r>
      <w:r>
        <w:rPr>
          <w:rFonts w:hint="eastAsia"/>
          <w:lang w:eastAsia="zh-CN"/>
        </w:rPr>
        <w:t>PDU_SESS</w:t>
      </w:r>
      <w:r>
        <w:rPr>
          <w:lang w:eastAsia="zh-CN"/>
        </w:rPr>
        <w:t>ION</w:t>
      </w:r>
      <w:r>
        <w:rPr>
          <w:rFonts w:hint="eastAsia"/>
          <w:lang w:eastAsia="zh-CN"/>
        </w:rPr>
        <w:t>_REL</w:t>
      </w:r>
      <w:r>
        <w:rPr>
          <w:lang w:eastAsia="zh-CN"/>
        </w:rPr>
        <w:t>EASE</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QosNotifType:</w:t>
      </w:r>
    </w:p>
    <w:p>
      <w:pPr>
        <w:pStyle w:val="111"/>
        <w:rPr>
          <w:rFonts w:eastAsia="Batang"/>
        </w:rPr>
      </w:pPr>
      <w:r>
        <w:rPr>
          <w:rFonts w:eastAsia="Batang"/>
        </w:rPr>
        <w:t xml:space="preserve">      description: Indicates the notification type for QoS Notification Control.</w:t>
      </w:r>
    </w:p>
    <w:p>
      <w:pPr>
        <w:pStyle w:val="111"/>
      </w:pPr>
      <w:r>
        <w:t xml:space="preserve">      anyOf:</w:t>
      </w:r>
    </w:p>
    <w:p>
      <w:pPr>
        <w:pStyle w:val="111"/>
      </w:pPr>
      <w:r>
        <w:t xml:space="preserve">      - type: string</w:t>
      </w:r>
    </w:p>
    <w:p>
      <w:pPr>
        <w:pStyle w:val="111"/>
      </w:pPr>
      <w:r>
        <w:t xml:space="preserve">        enum:</w:t>
      </w:r>
    </w:p>
    <w:p>
      <w:pPr>
        <w:pStyle w:val="111"/>
      </w:pPr>
      <w:r>
        <w:t xml:space="preserve">          - GUARANTEED</w:t>
      </w:r>
    </w:p>
    <w:p>
      <w:pPr>
        <w:pStyle w:val="111"/>
      </w:pPr>
      <w:r>
        <w:t xml:space="preserve">          - NOT_GUARANTEED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TerminationCause:</w:t>
      </w:r>
    </w:p>
    <w:p>
      <w:pPr>
        <w:pStyle w:val="111"/>
        <w:rPr>
          <w:rFonts w:eastAsia="Batang"/>
        </w:rPr>
      </w:pPr>
      <w:r>
        <w:rPr>
          <w:rFonts w:eastAsia="Batang"/>
        </w:rPr>
        <w:t xml:space="preserve">      description: &gt;</w:t>
      </w:r>
    </w:p>
    <w:p>
      <w:pPr>
        <w:pStyle w:val="111"/>
        <w:rPr>
          <w:rFonts w:eastAsia="Batang"/>
        </w:rPr>
      </w:pPr>
      <w:r>
        <w:rPr>
          <w:rFonts w:eastAsia="Batang"/>
        </w:rPr>
        <w:t xml:space="preserve">        Indicates the cause behind requesting the deletion of the Individual Application Session</w:t>
      </w:r>
    </w:p>
    <w:p>
      <w:pPr>
        <w:pStyle w:val="111"/>
        <w:rPr>
          <w:rFonts w:eastAsia="Batang"/>
        </w:rPr>
      </w:pPr>
      <w:r>
        <w:rPr>
          <w:rFonts w:eastAsia="Batang"/>
        </w:rPr>
        <w:t xml:space="preserve">        Context resource.</w:t>
      </w:r>
    </w:p>
    <w:p>
      <w:pPr>
        <w:pStyle w:val="111"/>
      </w:pPr>
      <w:r>
        <w:t xml:space="preserve">      anyOf:</w:t>
      </w:r>
    </w:p>
    <w:p>
      <w:pPr>
        <w:pStyle w:val="111"/>
      </w:pPr>
      <w:r>
        <w:t xml:space="preserve">      - type: string</w:t>
      </w:r>
    </w:p>
    <w:p>
      <w:pPr>
        <w:pStyle w:val="111"/>
      </w:pPr>
      <w:r>
        <w:t xml:space="preserve">        enum:</w:t>
      </w:r>
    </w:p>
    <w:p>
      <w:pPr>
        <w:pStyle w:val="111"/>
      </w:pPr>
      <w:r>
        <w:t xml:space="preserve">          - ALL_SDF_DEACTIVATION</w:t>
      </w:r>
    </w:p>
    <w:p>
      <w:pPr>
        <w:pStyle w:val="111"/>
      </w:pPr>
      <w:r>
        <w:t xml:space="preserve">          - PDU_SESSION_TERMINATION</w:t>
      </w:r>
    </w:p>
    <w:p>
      <w:pPr>
        <w:pStyle w:val="111"/>
      </w:pPr>
      <w:r>
        <w:t xml:space="preserve">          - PS_TO_CS_HO</w:t>
      </w:r>
    </w:p>
    <w:p>
      <w:pPr>
        <w:pStyle w:val="111"/>
      </w:pPr>
      <w:r>
        <w:t xml:space="preserve">          - INSUFFICIENT_SERVER_RESOURCES</w:t>
      </w:r>
    </w:p>
    <w:p>
      <w:pPr>
        <w:pStyle w:val="111"/>
      </w:pPr>
      <w:r>
        <w:t xml:space="preserve">          - INSUFFICIENT_QOS_FLOW_RESOURCES</w:t>
      </w:r>
    </w:p>
    <w:p>
      <w:pPr>
        <w:pStyle w:val="111"/>
      </w:pPr>
      <w:r>
        <w:t xml:space="preserve">          - SPONSORED_DATA_CONNECTIVITY_DISALLOWED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MediaComponentResourcesStatus:</w:t>
      </w:r>
    </w:p>
    <w:p>
      <w:pPr>
        <w:pStyle w:val="111"/>
        <w:rPr>
          <w:rFonts w:eastAsia="Batang"/>
        </w:rPr>
      </w:pPr>
      <w:r>
        <w:rPr>
          <w:rFonts w:eastAsia="Batang"/>
        </w:rPr>
        <w:t xml:space="preserve">      description: Indicates whether the media component is active or inactive.</w:t>
      </w:r>
    </w:p>
    <w:p>
      <w:pPr>
        <w:pStyle w:val="111"/>
      </w:pPr>
      <w:r>
        <w:t xml:space="preserve">      anyOf:</w:t>
      </w:r>
    </w:p>
    <w:p>
      <w:pPr>
        <w:pStyle w:val="111"/>
      </w:pPr>
      <w:r>
        <w:t xml:space="preserve">      - type: string</w:t>
      </w:r>
    </w:p>
    <w:p>
      <w:pPr>
        <w:pStyle w:val="111"/>
      </w:pPr>
      <w:r>
        <w:t xml:space="preserve">        enum:</w:t>
      </w:r>
    </w:p>
    <w:p>
      <w:pPr>
        <w:pStyle w:val="111"/>
      </w:pPr>
      <w:r>
        <w:t xml:space="preserve">          - ACTIVE</w:t>
      </w:r>
    </w:p>
    <w:p>
      <w:pPr>
        <w:pStyle w:val="111"/>
      </w:pPr>
      <w:r>
        <w:t xml:space="preserve">          - INACTIVE</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FlowUsage:</w:t>
      </w:r>
    </w:p>
    <w:p>
      <w:pPr>
        <w:pStyle w:val="111"/>
        <w:rPr>
          <w:rFonts w:eastAsia="Batang"/>
        </w:rPr>
      </w:pPr>
      <w:r>
        <w:rPr>
          <w:rFonts w:eastAsia="Batang"/>
        </w:rPr>
        <w:t xml:space="preserve">      description: Describes the flow usage of the flows described by a media subcomponent.</w:t>
      </w:r>
    </w:p>
    <w:p>
      <w:pPr>
        <w:pStyle w:val="111"/>
      </w:pPr>
      <w:r>
        <w:t xml:space="preserve">      anyOf:</w:t>
      </w:r>
    </w:p>
    <w:p>
      <w:pPr>
        <w:pStyle w:val="111"/>
      </w:pPr>
      <w:r>
        <w:t xml:space="preserve">      - type: string</w:t>
      </w:r>
    </w:p>
    <w:p>
      <w:pPr>
        <w:pStyle w:val="111"/>
      </w:pPr>
      <w:r>
        <w:t xml:space="preserve">        enum:</w:t>
      </w:r>
    </w:p>
    <w:p>
      <w:pPr>
        <w:pStyle w:val="111"/>
      </w:pPr>
      <w:r>
        <w:t xml:space="preserve">          - NO_INFO</w:t>
      </w:r>
    </w:p>
    <w:p>
      <w:pPr>
        <w:pStyle w:val="111"/>
      </w:pPr>
      <w:r>
        <w:t xml:space="preserve">          - RTCP</w:t>
      </w:r>
    </w:p>
    <w:p>
      <w:pPr>
        <w:pStyle w:val="111"/>
      </w:pPr>
      <w:r>
        <w:t xml:space="preserve">          - AF_SIGNALLING</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FlowStatus:</w:t>
      </w:r>
    </w:p>
    <w:p>
      <w:pPr>
        <w:pStyle w:val="111"/>
        <w:rPr>
          <w:rFonts w:eastAsia="Batang"/>
        </w:rPr>
      </w:pPr>
      <w:r>
        <w:rPr>
          <w:rFonts w:eastAsia="Batang"/>
        </w:rPr>
        <w:t xml:space="preserve">      description: Describes whether the IP flow(s) are enabled or disabled.</w:t>
      </w:r>
    </w:p>
    <w:p>
      <w:pPr>
        <w:pStyle w:val="111"/>
      </w:pPr>
      <w:r>
        <w:t xml:space="preserve">      anyOf:</w:t>
      </w:r>
    </w:p>
    <w:p>
      <w:pPr>
        <w:pStyle w:val="111"/>
      </w:pPr>
      <w:r>
        <w:t xml:space="preserve">      - type: string</w:t>
      </w:r>
    </w:p>
    <w:p>
      <w:pPr>
        <w:pStyle w:val="111"/>
      </w:pPr>
      <w:r>
        <w:t xml:space="preserve">        enum:</w:t>
      </w:r>
    </w:p>
    <w:p>
      <w:pPr>
        <w:pStyle w:val="111"/>
      </w:pPr>
      <w:r>
        <w:t xml:space="preserve">          - ENABLED-UPLINK</w:t>
      </w:r>
    </w:p>
    <w:p>
      <w:pPr>
        <w:pStyle w:val="111"/>
      </w:pPr>
      <w:r>
        <w:t xml:space="preserve">          - ENABLED-DOWNLINK</w:t>
      </w:r>
    </w:p>
    <w:p>
      <w:pPr>
        <w:pStyle w:val="111"/>
      </w:pPr>
      <w:r>
        <w:t xml:space="preserve">          - ENABLED</w:t>
      </w:r>
    </w:p>
    <w:p>
      <w:pPr>
        <w:pStyle w:val="111"/>
      </w:pPr>
      <w:r>
        <w:t xml:space="preserve">          - DISABLED</w:t>
      </w:r>
    </w:p>
    <w:p>
      <w:pPr>
        <w:pStyle w:val="111"/>
      </w:pPr>
      <w:r>
        <w:t xml:space="preserve">          - REMOVED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RequiredAccessInfo:</w:t>
      </w:r>
    </w:p>
    <w:p>
      <w:pPr>
        <w:pStyle w:val="111"/>
        <w:rPr>
          <w:rFonts w:eastAsia="Batang"/>
        </w:rPr>
      </w:pPr>
      <w:r>
        <w:rPr>
          <w:rFonts w:eastAsia="Batang"/>
        </w:rPr>
        <w:t xml:space="preserve">      description: Indicates the access network information required for an AF session.</w:t>
      </w:r>
    </w:p>
    <w:p>
      <w:pPr>
        <w:pStyle w:val="111"/>
      </w:pPr>
      <w:r>
        <w:t xml:space="preserve">      anyOf:</w:t>
      </w:r>
    </w:p>
    <w:p>
      <w:pPr>
        <w:pStyle w:val="111"/>
      </w:pPr>
      <w:r>
        <w:t xml:space="preserve">      - type: string</w:t>
      </w:r>
    </w:p>
    <w:p>
      <w:pPr>
        <w:pStyle w:val="111"/>
      </w:pPr>
      <w:r>
        <w:t xml:space="preserve">        enum:</w:t>
      </w:r>
    </w:p>
    <w:p>
      <w:pPr>
        <w:pStyle w:val="111"/>
      </w:pPr>
      <w:r>
        <w:t xml:space="preserve">          - USER_LOCATION</w:t>
      </w:r>
    </w:p>
    <w:p>
      <w:pPr>
        <w:pStyle w:val="111"/>
      </w:pPr>
      <w:r>
        <w:t xml:space="preserve">          - UE_TIME_ZONE</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SipForkingIndication:</w:t>
      </w:r>
    </w:p>
    <w:p>
      <w:pPr>
        <w:pStyle w:val="111"/>
        <w:rPr>
          <w:rFonts w:eastAsia="Batang"/>
        </w:rPr>
      </w:pPr>
      <w:r>
        <w:rPr>
          <w:rFonts w:eastAsia="Batang"/>
        </w:rPr>
        <w:t xml:space="preserve">      description: &gt;</w:t>
      </w:r>
    </w:p>
    <w:p>
      <w:pPr>
        <w:pStyle w:val="111"/>
        <w:rPr>
          <w:rFonts w:eastAsia="Batang"/>
        </w:rPr>
      </w:pPr>
      <w:r>
        <w:rPr>
          <w:rFonts w:eastAsia="Batang"/>
        </w:rPr>
        <w:t xml:space="preserve">        Indicates whether several SIP dialogues are related to an "Individual Application Session</w:t>
      </w:r>
    </w:p>
    <w:p>
      <w:pPr>
        <w:pStyle w:val="111"/>
        <w:rPr>
          <w:rFonts w:eastAsia="Batang"/>
        </w:rPr>
      </w:pPr>
      <w:r>
        <w:rPr>
          <w:rFonts w:eastAsia="Batang"/>
        </w:rPr>
        <w:t xml:space="preserve">        Context" resource.</w:t>
      </w:r>
    </w:p>
    <w:p>
      <w:pPr>
        <w:pStyle w:val="111"/>
      </w:pPr>
      <w:r>
        <w:t xml:space="preserve">      anyOf:</w:t>
      </w:r>
    </w:p>
    <w:p>
      <w:pPr>
        <w:pStyle w:val="111"/>
      </w:pPr>
      <w:r>
        <w:t xml:space="preserve">        - type: string</w:t>
      </w:r>
    </w:p>
    <w:p>
      <w:pPr>
        <w:pStyle w:val="111"/>
      </w:pPr>
      <w:r>
        <w:t xml:space="preserve">          enum:</w:t>
      </w:r>
    </w:p>
    <w:p>
      <w:pPr>
        <w:pStyle w:val="111"/>
      </w:pPr>
      <w:r>
        <w:t xml:space="preserve">            - SINGLE_DIALOGUE</w:t>
      </w:r>
    </w:p>
    <w:p>
      <w:pPr>
        <w:pStyle w:val="111"/>
      </w:pPr>
      <w:r>
        <w:t xml:space="preserve">            - SEVERAL_DIALOGUES</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AfRequestedData:</w:t>
      </w:r>
    </w:p>
    <w:p>
      <w:pPr>
        <w:pStyle w:val="111"/>
        <w:rPr>
          <w:rFonts w:eastAsia="Batang"/>
        </w:rPr>
      </w:pPr>
      <w:r>
        <w:rPr>
          <w:rFonts w:eastAsia="Batang"/>
        </w:rPr>
        <w:t xml:space="preserve">      description: Represents the information that the AF requested to be exposed.</w:t>
      </w:r>
    </w:p>
    <w:p>
      <w:pPr>
        <w:pStyle w:val="111"/>
      </w:pPr>
      <w:r>
        <w:t xml:space="preserve">      anyOf:</w:t>
      </w:r>
    </w:p>
    <w:p>
      <w:pPr>
        <w:pStyle w:val="111"/>
      </w:pPr>
      <w:r>
        <w:t xml:space="preserve">        - type: string</w:t>
      </w:r>
    </w:p>
    <w:p>
      <w:pPr>
        <w:pStyle w:val="111"/>
      </w:pPr>
      <w:r>
        <w:t xml:space="preserve">          enum:</w:t>
      </w:r>
    </w:p>
    <w:p>
      <w:pPr>
        <w:pStyle w:val="111"/>
      </w:pPr>
      <w:r>
        <w:t xml:space="preserve">            - UE_IDENTITY</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ServiceInfoStatus:</w:t>
      </w:r>
    </w:p>
    <w:p>
      <w:pPr>
        <w:pStyle w:val="111"/>
        <w:rPr>
          <w:rFonts w:eastAsia="Batang"/>
        </w:rPr>
      </w:pPr>
      <w:r>
        <w:rPr>
          <w:rFonts w:eastAsia="Batang"/>
        </w:rPr>
        <w:t xml:space="preserve">      description: Represents the preliminary or final service information status.</w:t>
      </w:r>
    </w:p>
    <w:p>
      <w:pPr>
        <w:pStyle w:val="111"/>
      </w:pPr>
      <w:r>
        <w:t xml:space="preserve">      anyOf:</w:t>
      </w:r>
    </w:p>
    <w:p>
      <w:pPr>
        <w:pStyle w:val="111"/>
      </w:pPr>
      <w:r>
        <w:t xml:space="preserve">        - type: string</w:t>
      </w:r>
    </w:p>
    <w:p>
      <w:pPr>
        <w:pStyle w:val="111"/>
      </w:pPr>
      <w:r>
        <w:t xml:space="preserve">          enum:</w:t>
      </w:r>
    </w:p>
    <w:p>
      <w:pPr>
        <w:pStyle w:val="111"/>
      </w:pPr>
      <w:r>
        <w:t xml:space="preserve">            - FINAL</w:t>
      </w:r>
    </w:p>
    <w:p>
      <w:pPr>
        <w:pStyle w:val="111"/>
      </w:pPr>
      <w:r>
        <w:t xml:space="preserve">            - PRELIMINARY</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PreemptionControlInformation:</w:t>
      </w:r>
    </w:p>
    <w:p>
      <w:pPr>
        <w:pStyle w:val="111"/>
        <w:rPr>
          <w:rFonts w:eastAsia="Batang"/>
        </w:rPr>
      </w:pPr>
      <w:r>
        <w:rPr>
          <w:rFonts w:eastAsia="Batang"/>
        </w:rPr>
        <w:t xml:space="preserve">      description: Represents Pre-emption control information.</w:t>
      </w:r>
    </w:p>
    <w:p>
      <w:pPr>
        <w:pStyle w:val="111"/>
      </w:pPr>
      <w:r>
        <w:t xml:space="preserve">      anyOf:</w:t>
      </w:r>
    </w:p>
    <w:p>
      <w:pPr>
        <w:pStyle w:val="111"/>
      </w:pPr>
      <w:r>
        <w:t xml:space="preserve">        - type: string</w:t>
      </w:r>
    </w:p>
    <w:p>
      <w:pPr>
        <w:pStyle w:val="111"/>
      </w:pPr>
      <w:r>
        <w:t xml:space="preserve">          enum:</w:t>
      </w:r>
    </w:p>
    <w:p>
      <w:pPr>
        <w:pStyle w:val="111"/>
      </w:pPr>
      <w:r>
        <w:t xml:space="preserve">            - MOST_RECENT</w:t>
      </w:r>
    </w:p>
    <w:p>
      <w:pPr>
        <w:pStyle w:val="111"/>
      </w:pPr>
      <w:r>
        <w:t xml:space="preserve">            - LEAST_RECENT</w:t>
      </w:r>
    </w:p>
    <w:p>
      <w:pPr>
        <w:pStyle w:val="111"/>
      </w:pPr>
      <w:r>
        <w:t xml:space="preserve">            - HIGHEST_BW</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PrioritySharingIndicator:</w:t>
      </w:r>
    </w:p>
    <w:p>
      <w:pPr>
        <w:pStyle w:val="111"/>
        <w:rPr>
          <w:rFonts w:eastAsia="Batang"/>
        </w:rPr>
      </w:pPr>
      <w:r>
        <w:rPr>
          <w:rFonts w:eastAsia="Batang"/>
        </w:rPr>
        <w:t xml:space="preserve">      description: Represents the Priority sharing indicator.</w:t>
      </w:r>
    </w:p>
    <w:p>
      <w:pPr>
        <w:pStyle w:val="111"/>
      </w:pPr>
      <w:r>
        <w:t xml:space="preserve">      anyOf:</w:t>
      </w:r>
    </w:p>
    <w:p>
      <w:pPr>
        <w:pStyle w:val="111"/>
      </w:pPr>
      <w:r>
        <w:t xml:space="preserve">        - type: string</w:t>
      </w:r>
    </w:p>
    <w:p>
      <w:pPr>
        <w:pStyle w:val="111"/>
      </w:pPr>
      <w:r>
        <w:t xml:space="preserve">          enum:</w:t>
      </w:r>
    </w:p>
    <w:p>
      <w:pPr>
        <w:pStyle w:val="111"/>
      </w:pPr>
      <w:r>
        <w:t xml:space="preserve">            - ENABLED</w:t>
      </w:r>
    </w:p>
    <w:p>
      <w:pPr>
        <w:pStyle w:val="111"/>
      </w:pPr>
      <w:r>
        <w:t xml:space="preserve">            - DISABLED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PreemptionControlInformationRm:</w:t>
      </w:r>
    </w:p>
    <w:p>
      <w:pPr>
        <w:pStyle w:val="111"/>
        <w:rPr>
          <w:rFonts w:eastAsia="Batang"/>
        </w:rPr>
      </w:pPr>
      <w:r>
        <w:rPr>
          <w:rFonts w:eastAsia="Batang"/>
        </w:rPr>
        <w:t xml:space="preserve">      description: &gt;</w:t>
      </w:r>
    </w:p>
    <w:p>
      <w:pPr>
        <w:pStyle w:val="111"/>
        <w:rPr>
          <w:rFonts w:eastAsia="Batang"/>
        </w:rPr>
      </w:pPr>
      <w:r>
        <w:rPr>
          <w:rFonts w:eastAsia="Batang"/>
        </w:rPr>
        <w:t xml:space="preserve">        This data type is defined in the same way as the PreemptionControlInformation data type, but</w:t>
      </w:r>
    </w:p>
    <w:p>
      <w:pPr>
        <w:pStyle w:val="111"/>
        <w:rPr>
          <w:rFonts w:eastAsia="Batang"/>
        </w:rPr>
      </w:pPr>
      <w:r>
        <w:rPr>
          <w:rFonts w:eastAsia="Batang"/>
        </w:rPr>
        <w:t xml:space="preserve">        with the OpenAPI nullable property set to true.</w:t>
      </w:r>
    </w:p>
    <w:p>
      <w:pPr>
        <w:pStyle w:val="111"/>
      </w:pPr>
      <w:r>
        <w:t xml:space="preserve">      anyOf:</w:t>
      </w:r>
    </w:p>
    <w:p>
      <w:pPr>
        <w:pStyle w:val="111"/>
      </w:pPr>
      <w:r>
        <w:t xml:space="preserve">        - $ref: '#/components/schemas/PreemptionControlInformation'</w:t>
      </w:r>
    </w:p>
    <w:p>
      <w:pPr>
        <w:pStyle w:val="111"/>
      </w:pPr>
      <w:r>
        <w:t xml:space="preserve">        - $ref: 'TS29571_CommonData.yaml#/components/schemas/NullValue'</w:t>
      </w:r>
    </w:p>
    <w:p>
      <w:pPr>
        <w:pStyle w:val="111"/>
      </w:pPr>
    </w:p>
    <w:p>
      <w:pPr>
        <w:pStyle w:val="111"/>
      </w:pPr>
      <w:r>
        <w:t xml:space="preserve">    AppDetectionNotifType:</w:t>
      </w:r>
    </w:p>
    <w:p>
      <w:pPr>
        <w:pStyle w:val="111"/>
        <w:rPr>
          <w:rFonts w:eastAsia="Batang"/>
        </w:rPr>
      </w:pPr>
      <w:r>
        <w:rPr>
          <w:rFonts w:eastAsia="Batang"/>
        </w:rPr>
        <w:t xml:space="preserve">      description: Indicates the notification type for Application Detection Control.</w:t>
      </w:r>
    </w:p>
    <w:p>
      <w:pPr>
        <w:pStyle w:val="111"/>
      </w:pPr>
      <w:r>
        <w:t xml:space="preserve">      anyOf:</w:t>
      </w:r>
    </w:p>
    <w:p>
      <w:pPr>
        <w:pStyle w:val="111"/>
      </w:pPr>
      <w:r>
        <w:t xml:space="preserve">      - type: string</w:t>
      </w:r>
    </w:p>
    <w:p>
      <w:pPr>
        <w:pStyle w:val="111"/>
      </w:pPr>
      <w:r>
        <w:t xml:space="preserve">        enum:</w:t>
      </w:r>
    </w:p>
    <w:p>
      <w:pPr>
        <w:pStyle w:val="111"/>
      </w:pPr>
      <w:r>
        <w:t xml:space="preserve">          - APP_START</w:t>
      </w:r>
    </w:p>
    <w:p>
      <w:pPr>
        <w:pStyle w:val="111"/>
      </w:pPr>
      <w:r>
        <w:t xml:space="preserve">          - APP_STOP</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rPr>
          <w:rFonts w:cs="Courier New"/>
          <w:szCs w:val="16"/>
        </w:rPr>
      </w:pPr>
    </w:p>
    <w:p>
      <w:pPr>
        <w:pStyle w:val="111"/>
      </w:pPr>
      <w:r>
        <w:t xml:space="preserve">    PduSessionStatus:</w:t>
      </w:r>
    </w:p>
    <w:p>
      <w:pPr>
        <w:pStyle w:val="111"/>
        <w:rPr>
          <w:rFonts w:eastAsia="Batang"/>
        </w:rPr>
      </w:pPr>
      <w:r>
        <w:rPr>
          <w:rFonts w:eastAsia="Batang"/>
        </w:rPr>
        <w:t xml:space="preserve">      description: Indicates whether the PDU session is established or terminated.</w:t>
      </w:r>
    </w:p>
    <w:p>
      <w:pPr>
        <w:pStyle w:val="111"/>
      </w:pPr>
      <w:r>
        <w:t xml:space="preserve">      anyOf:</w:t>
      </w:r>
    </w:p>
    <w:p>
      <w:pPr>
        <w:pStyle w:val="111"/>
      </w:pPr>
      <w:r>
        <w:t xml:space="preserve">      - type: string</w:t>
      </w:r>
    </w:p>
    <w:p>
      <w:pPr>
        <w:pStyle w:val="111"/>
      </w:pPr>
      <w:r>
        <w:t xml:space="preserve">        enum:</w:t>
      </w:r>
    </w:p>
    <w:p>
      <w:pPr>
        <w:pStyle w:val="111"/>
      </w:pPr>
      <w:r>
        <w:t xml:space="preserve">          - ESTABLISHED</w:t>
      </w:r>
    </w:p>
    <w:p>
      <w:pPr>
        <w:pStyle w:val="111"/>
      </w:pPr>
      <w:r>
        <w:t xml:space="preserve">          - TERMINATED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bookmarkEnd w:id="103"/>
    <w:p>
      <w:pPr>
        <w:rPr>
          <w:lang w:eastAsia="zh-CN"/>
        </w:rPr>
      </w:pPr>
    </w:p>
    <w:bookmarkEnd w:id="10"/>
    <w:bookmarkEnd w:id="11"/>
    <w:bookmarkEnd w:id="12"/>
    <w:bookmarkEnd w:id="13"/>
    <w:bookmarkEnd w:id="14"/>
    <w:bookmarkEnd w:id="15"/>
    <w:bookmarkEnd w:id="16"/>
    <w:bookmarkEnd w:id="17"/>
    <w:bookmarkEnd w:id="18"/>
    <w:bookmarkEnd w:id="19"/>
    <w:bookmarkEnd w:id="20"/>
    <w:p>
      <w:pPr>
        <w:pBdr>
          <w:top w:val="single" w:color="auto" w:sz="4" w:space="1"/>
          <w:left w:val="single" w:color="auto" w:sz="4" w:space="4"/>
          <w:bottom w:val="single" w:color="auto" w:sz="4" w:space="1"/>
          <w:right w:val="single" w:color="auto" w:sz="4" w:space="4"/>
        </w:pBdr>
        <w:shd w:val="clear" w:color="auto" w:fill="FFFF00"/>
        <w:jc w:val="center"/>
        <w:outlineLvl w:val="0"/>
        <w:rPr>
          <w:rFonts w:ascii="Arial" w:hAnsi="Arial" w:cs="Arial" w:eastAsiaTheme="minorEastAsia"/>
          <w:color w:val="FF0000"/>
          <w:sz w:val="28"/>
          <w:szCs w:val="28"/>
          <w:lang w:val="en-US" w:eastAsia="zh-CN"/>
        </w:rPr>
      </w:pPr>
      <w:r>
        <w:rPr>
          <w:rFonts w:ascii="Arial" w:hAnsi="Arial" w:cs="Arial" w:eastAsiaTheme="minorEastAsia"/>
          <w:color w:val="FF0000"/>
          <w:sz w:val="28"/>
          <w:szCs w:val="28"/>
          <w:lang w:val="en-US"/>
        </w:rPr>
        <w:t xml:space="preserve">* * * * </w:t>
      </w:r>
      <w:r>
        <w:rPr>
          <w:rFonts w:ascii="Arial" w:hAnsi="Arial" w:cs="Arial" w:eastAsiaTheme="minorEastAsia"/>
          <w:color w:val="FF0000"/>
          <w:sz w:val="28"/>
          <w:szCs w:val="28"/>
          <w:lang w:val="en-US" w:eastAsia="zh-CN"/>
        </w:rPr>
        <w:t xml:space="preserve">End of changes </w:t>
      </w:r>
      <w:r>
        <w:rPr>
          <w:rFonts w:ascii="Arial" w:hAnsi="Arial" w:cs="Arial" w:eastAsiaTheme="minorEastAsia"/>
          <w:color w:val="FF0000"/>
          <w:sz w:val="28"/>
          <w:szCs w:val="28"/>
          <w:lang w:val="en-US"/>
        </w:rPr>
        <w:t>* * * *</w:t>
      </w:r>
    </w:p>
    <w:sectPr>
      <w:headerReference r:id="rId12" w:type="first"/>
      <w:headerReference r:id="rId10" w:type="default"/>
      <w:headerReference r:id="rId11"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auto"/>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auto"/>
    <w:pitch w:val="default"/>
    <w:sig w:usb0="A00002BF" w:usb1="68C7FCFB" w:usb2="00000010" w:usb3="00000000" w:csb0="4002009F" w:csb1="DFD70000"/>
  </w:font>
  <w:font w:name="MS LineDraw">
    <w:altName w:val="Segoe Print"/>
    <w:panose1 w:val="00000000000000000000"/>
    <w:charset w:val="02"/>
    <w:family w:val="modern"/>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 w:name="CG Times (WN)">
    <w:altName w:val="Arial"/>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2">
    <w15:presenceInfo w15:providerId="None" w15:userId="CMCC2"/>
  </w15:person>
  <w15:person w15:author="CMCC">
    <w15:presenceInfo w15:providerId="None" w15:userId="CMCC"/>
  </w15:person>
  <w15:person w15:author="CMCC-r2">
    <w15:presenceInfo w15:providerId="None" w15:userId="CMCC-r2"/>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9"/>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2FD4"/>
    <w:rsid w:val="000710A6"/>
    <w:rsid w:val="0008420C"/>
    <w:rsid w:val="000A6394"/>
    <w:rsid w:val="000B7FED"/>
    <w:rsid w:val="000C038A"/>
    <w:rsid w:val="000C6598"/>
    <w:rsid w:val="000D44B3"/>
    <w:rsid w:val="00105FB4"/>
    <w:rsid w:val="00135890"/>
    <w:rsid w:val="00145D43"/>
    <w:rsid w:val="00146E88"/>
    <w:rsid w:val="00192C46"/>
    <w:rsid w:val="001A08B3"/>
    <w:rsid w:val="001A7B60"/>
    <w:rsid w:val="001B52F0"/>
    <w:rsid w:val="001B7A65"/>
    <w:rsid w:val="001E41F3"/>
    <w:rsid w:val="001E797D"/>
    <w:rsid w:val="00207646"/>
    <w:rsid w:val="0026004D"/>
    <w:rsid w:val="002640DD"/>
    <w:rsid w:val="00275D12"/>
    <w:rsid w:val="00284FEB"/>
    <w:rsid w:val="002860C4"/>
    <w:rsid w:val="00294E8F"/>
    <w:rsid w:val="002B5741"/>
    <w:rsid w:val="002D5FF8"/>
    <w:rsid w:val="002E472E"/>
    <w:rsid w:val="00301611"/>
    <w:rsid w:val="00305409"/>
    <w:rsid w:val="003609EF"/>
    <w:rsid w:val="0036231A"/>
    <w:rsid w:val="00367132"/>
    <w:rsid w:val="00374DD4"/>
    <w:rsid w:val="003752EF"/>
    <w:rsid w:val="003B42F9"/>
    <w:rsid w:val="003B6635"/>
    <w:rsid w:val="003E1A36"/>
    <w:rsid w:val="00410371"/>
    <w:rsid w:val="004242F1"/>
    <w:rsid w:val="00453FC3"/>
    <w:rsid w:val="004775AC"/>
    <w:rsid w:val="004B7173"/>
    <w:rsid w:val="004B75B7"/>
    <w:rsid w:val="004C21DA"/>
    <w:rsid w:val="00500DD7"/>
    <w:rsid w:val="00502D45"/>
    <w:rsid w:val="005141D9"/>
    <w:rsid w:val="0051580D"/>
    <w:rsid w:val="00546A46"/>
    <w:rsid w:val="00547111"/>
    <w:rsid w:val="00581DCE"/>
    <w:rsid w:val="00587D7E"/>
    <w:rsid w:val="00592D74"/>
    <w:rsid w:val="005A3590"/>
    <w:rsid w:val="005D21F7"/>
    <w:rsid w:val="005E2C44"/>
    <w:rsid w:val="005F03F9"/>
    <w:rsid w:val="00621188"/>
    <w:rsid w:val="006257ED"/>
    <w:rsid w:val="00653DE4"/>
    <w:rsid w:val="00665C47"/>
    <w:rsid w:val="00693C38"/>
    <w:rsid w:val="00695808"/>
    <w:rsid w:val="006B46FB"/>
    <w:rsid w:val="006D4668"/>
    <w:rsid w:val="006E21FB"/>
    <w:rsid w:val="006F73B1"/>
    <w:rsid w:val="0070476B"/>
    <w:rsid w:val="00792342"/>
    <w:rsid w:val="007977A8"/>
    <w:rsid w:val="007A18E6"/>
    <w:rsid w:val="007A6C50"/>
    <w:rsid w:val="007B512A"/>
    <w:rsid w:val="007C2097"/>
    <w:rsid w:val="007D6A07"/>
    <w:rsid w:val="007F7259"/>
    <w:rsid w:val="008040A8"/>
    <w:rsid w:val="008279FA"/>
    <w:rsid w:val="008451D9"/>
    <w:rsid w:val="008626E7"/>
    <w:rsid w:val="00870EE7"/>
    <w:rsid w:val="008863B9"/>
    <w:rsid w:val="00895DBF"/>
    <w:rsid w:val="008A45A6"/>
    <w:rsid w:val="008B5C06"/>
    <w:rsid w:val="008D3CCC"/>
    <w:rsid w:val="008F3789"/>
    <w:rsid w:val="008F686C"/>
    <w:rsid w:val="009148DE"/>
    <w:rsid w:val="00941E30"/>
    <w:rsid w:val="009777D9"/>
    <w:rsid w:val="00991B88"/>
    <w:rsid w:val="00995B91"/>
    <w:rsid w:val="009A288B"/>
    <w:rsid w:val="009A5753"/>
    <w:rsid w:val="009A579D"/>
    <w:rsid w:val="009E3297"/>
    <w:rsid w:val="009F734F"/>
    <w:rsid w:val="009F7C63"/>
    <w:rsid w:val="00A01D8B"/>
    <w:rsid w:val="00A16552"/>
    <w:rsid w:val="00A246B6"/>
    <w:rsid w:val="00A47E70"/>
    <w:rsid w:val="00A50CF0"/>
    <w:rsid w:val="00A6371B"/>
    <w:rsid w:val="00A7671C"/>
    <w:rsid w:val="00AA2CBC"/>
    <w:rsid w:val="00AC5820"/>
    <w:rsid w:val="00AD1CD8"/>
    <w:rsid w:val="00AD77B3"/>
    <w:rsid w:val="00AE29CE"/>
    <w:rsid w:val="00AF3314"/>
    <w:rsid w:val="00B258BB"/>
    <w:rsid w:val="00B67B97"/>
    <w:rsid w:val="00B92E1E"/>
    <w:rsid w:val="00B9672F"/>
    <w:rsid w:val="00B968C8"/>
    <w:rsid w:val="00BA3EC5"/>
    <w:rsid w:val="00BA51D9"/>
    <w:rsid w:val="00BB5DFC"/>
    <w:rsid w:val="00BD279D"/>
    <w:rsid w:val="00BD283F"/>
    <w:rsid w:val="00BD6BB8"/>
    <w:rsid w:val="00C353F8"/>
    <w:rsid w:val="00C66BA2"/>
    <w:rsid w:val="00C870F6"/>
    <w:rsid w:val="00C95985"/>
    <w:rsid w:val="00CC5026"/>
    <w:rsid w:val="00CC68D0"/>
    <w:rsid w:val="00D03F9A"/>
    <w:rsid w:val="00D06D51"/>
    <w:rsid w:val="00D24991"/>
    <w:rsid w:val="00D30DFF"/>
    <w:rsid w:val="00D42125"/>
    <w:rsid w:val="00D441AB"/>
    <w:rsid w:val="00D50255"/>
    <w:rsid w:val="00D66520"/>
    <w:rsid w:val="00D84AE9"/>
    <w:rsid w:val="00DB0766"/>
    <w:rsid w:val="00DC57B4"/>
    <w:rsid w:val="00DE34CF"/>
    <w:rsid w:val="00E13E1C"/>
    <w:rsid w:val="00E13F3D"/>
    <w:rsid w:val="00E25B2B"/>
    <w:rsid w:val="00E34898"/>
    <w:rsid w:val="00E410B8"/>
    <w:rsid w:val="00E41BE9"/>
    <w:rsid w:val="00E52E42"/>
    <w:rsid w:val="00E86B23"/>
    <w:rsid w:val="00EB09B7"/>
    <w:rsid w:val="00EC2C65"/>
    <w:rsid w:val="00EE7D7C"/>
    <w:rsid w:val="00F0684E"/>
    <w:rsid w:val="00F25D98"/>
    <w:rsid w:val="00F300FB"/>
    <w:rsid w:val="00F476AD"/>
    <w:rsid w:val="00F64426"/>
    <w:rsid w:val="00FB6386"/>
    <w:rsid w:val="00FD1A69"/>
    <w:rsid w:val="00FD1FC5"/>
    <w:rsid w:val="00FD4D2A"/>
    <w:rsid w:val="00FF0184"/>
    <w:rsid w:val="01103122"/>
    <w:rsid w:val="011D1868"/>
    <w:rsid w:val="011E08DC"/>
    <w:rsid w:val="013B15F3"/>
    <w:rsid w:val="01465BFF"/>
    <w:rsid w:val="01615043"/>
    <w:rsid w:val="016E419E"/>
    <w:rsid w:val="017857D4"/>
    <w:rsid w:val="01930712"/>
    <w:rsid w:val="01992863"/>
    <w:rsid w:val="01B9360B"/>
    <w:rsid w:val="01BD08B9"/>
    <w:rsid w:val="01C66401"/>
    <w:rsid w:val="01D249B0"/>
    <w:rsid w:val="01E46A3B"/>
    <w:rsid w:val="01F741B5"/>
    <w:rsid w:val="01FC1409"/>
    <w:rsid w:val="02085F8C"/>
    <w:rsid w:val="02223280"/>
    <w:rsid w:val="02533A85"/>
    <w:rsid w:val="02591E47"/>
    <w:rsid w:val="02614563"/>
    <w:rsid w:val="0264219E"/>
    <w:rsid w:val="0266483A"/>
    <w:rsid w:val="026A5844"/>
    <w:rsid w:val="026E74F8"/>
    <w:rsid w:val="0271264E"/>
    <w:rsid w:val="02773CE0"/>
    <w:rsid w:val="0287187C"/>
    <w:rsid w:val="028A1E72"/>
    <w:rsid w:val="028B75B0"/>
    <w:rsid w:val="029050F4"/>
    <w:rsid w:val="029057A5"/>
    <w:rsid w:val="02A174D8"/>
    <w:rsid w:val="02A72B01"/>
    <w:rsid w:val="02B549FF"/>
    <w:rsid w:val="02C344EE"/>
    <w:rsid w:val="02D333EB"/>
    <w:rsid w:val="02EB19BB"/>
    <w:rsid w:val="02F3104A"/>
    <w:rsid w:val="02FD0276"/>
    <w:rsid w:val="02FF1248"/>
    <w:rsid w:val="030653EE"/>
    <w:rsid w:val="03175A2B"/>
    <w:rsid w:val="03360438"/>
    <w:rsid w:val="033637AC"/>
    <w:rsid w:val="03426290"/>
    <w:rsid w:val="034D148F"/>
    <w:rsid w:val="0355101A"/>
    <w:rsid w:val="036F5C48"/>
    <w:rsid w:val="0387720B"/>
    <w:rsid w:val="03A749C4"/>
    <w:rsid w:val="03B11781"/>
    <w:rsid w:val="03B146A6"/>
    <w:rsid w:val="03BA18F7"/>
    <w:rsid w:val="03D128E3"/>
    <w:rsid w:val="03E11A55"/>
    <w:rsid w:val="040479CC"/>
    <w:rsid w:val="041306B8"/>
    <w:rsid w:val="042F2DFF"/>
    <w:rsid w:val="046854FD"/>
    <w:rsid w:val="046F6622"/>
    <w:rsid w:val="04702706"/>
    <w:rsid w:val="0477026A"/>
    <w:rsid w:val="047D49E7"/>
    <w:rsid w:val="04A20EB4"/>
    <w:rsid w:val="04B60306"/>
    <w:rsid w:val="04C01D64"/>
    <w:rsid w:val="04C108FA"/>
    <w:rsid w:val="04CD205E"/>
    <w:rsid w:val="04D22E16"/>
    <w:rsid w:val="04DB16FA"/>
    <w:rsid w:val="04EE1B81"/>
    <w:rsid w:val="04FE597E"/>
    <w:rsid w:val="0500493B"/>
    <w:rsid w:val="051065A3"/>
    <w:rsid w:val="0520689A"/>
    <w:rsid w:val="05244887"/>
    <w:rsid w:val="052E6FE6"/>
    <w:rsid w:val="053521CD"/>
    <w:rsid w:val="05402E0B"/>
    <w:rsid w:val="056733C3"/>
    <w:rsid w:val="0569005D"/>
    <w:rsid w:val="057C764D"/>
    <w:rsid w:val="05A130C9"/>
    <w:rsid w:val="05A71B92"/>
    <w:rsid w:val="05A97BB4"/>
    <w:rsid w:val="05B11D36"/>
    <w:rsid w:val="05BA6DBC"/>
    <w:rsid w:val="05CD7B85"/>
    <w:rsid w:val="05CF5299"/>
    <w:rsid w:val="05D11FFE"/>
    <w:rsid w:val="05D250DF"/>
    <w:rsid w:val="05E537D9"/>
    <w:rsid w:val="05F06E4E"/>
    <w:rsid w:val="0621161B"/>
    <w:rsid w:val="062E27D0"/>
    <w:rsid w:val="0632638B"/>
    <w:rsid w:val="064106F9"/>
    <w:rsid w:val="064853A5"/>
    <w:rsid w:val="064C3B0E"/>
    <w:rsid w:val="064E0AC6"/>
    <w:rsid w:val="066E6A9B"/>
    <w:rsid w:val="067136D6"/>
    <w:rsid w:val="06746188"/>
    <w:rsid w:val="068056B9"/>
    <w:rsid w:val="06866BF9"/>
    <w:rsid w:val="068837A0"/>
    <w:rsid w:val="069A206A"/>
    <w:rsid w:val="069D6357"/>
    <w:rsid w:val="06AC7EDD"/>
    <w:rsid w:val="06CF65DB"/>
    <w:rsid w:val="06F230AE"/>
    <w:rsid w:val="07024506"/>
    <w:rsid w:val="0702685F"/>
    <w:rsid w:val="070B2047"/>
    <w:rsid w:val="071279F1"/>
    <w:rsid w:val="0714767C"/>
    <w:rsid w:val="0715402E"/>
    <w:rsid w:val="071743F0"/>
    <w:rsid w:val="07247E01"/>
    <w:rsid w:val="07364557"/>
    <w:rsid w:val="07365D84"/>
    <w:rsid w:val="074A1BD1"/>
    <w:rsid w:val="075A2A53"/>
    <w:rsid w:val="075D08DA"/>
    <w:rsid w:val="075D68B1"/>
    <w:rsid w:val="075D7178"/>
    <w:rsid w:val="07654697"/>
    <w:rsid w:val="076A64D4"/>
    <w:rsid w:val="07703D0C"/>
    <w:rsid w:val="07755B2B"/>
    <w:rsid w:val="07782F3A"/>
    <w:rsid w:val="078863D2"/>
    <w:rsid w:val="07A83397"/>
    <w:rsid w:val="07AF4E44"/>
    <w:rsid w:val="07B555F3"/>
    <w:rsid w:val="07BE1523"/>
    <w:rsid w:val="07C024FA"/>
    <w:rsid w:val="07C156A5"/>
    <w:rsid w:val="07C3225B"/>
    <w:rsid w:val="07D649E8"/>
    <w:rsid w:val="07F3538D"/>
    <w:rsid w:val="07F717AE"/>
    <w:rsid w:val="08117888"/>
    <w:rsid w:val="081C0C2B"/>
    <w:rsid w:val="08201241"/>
    <w:rsid w:val="08292BFF"/>
    <w:rsid w:val="08351C36"/>
    <w:rsid w:val="084B3266"/>
    <w:rsid w:val="084B3E40"/>
    <w:rsid w:val="0858008A"/>
    <w:rsid w:val="086E38B1"/>
    <w:rsid w:val="087F0ED3"/>
    <w:rsid w:val="08854ED4"/>
    <w:rsid w:val="088A00B1"/>
    <w:rsid w:val="088B1DCE"/>
    <w:rsid w:val="089860CC"/>
    <w:rsid w:val="08AE6F87"/>
    <w:rsid w:val="08B925DF"/>
    <w:rsid w:val="08C26293"/>
    <w:rsid w:val="08C76D02"/>
    <w:rsid w:val="08CC54A3"/>
    <w:rsid w:val="08CD76DD"/>
    <w:rsid w:val="08D35ECC"/>
    <w:rsid w:val="08E7338C"/>
    <w:rsid w:val="08F35A5B"/>
    <w:rsid w:val="08F62F94"/>
    <w:rsid w:val="08FA5DF0"/>
    <w:rsid w:val="08FD0765"/>
    <w:rsid w:val="091639A5"/>
    <w:rsid w:val="09230E21"/>
    <w:rsid w:val="092639CE"/>
    <w:rsid w:val="092B1DEC"/>
    <w:rsid w:val="094555BE"/>
    <w:rsid w:val="094C3EE8"/>
    <w:rsid w:val="09556230"/>
    <w:rsid w:val="09621765"/>
    <w:rsid w:val="09752E7C"/>
    <w:rsid w:val="097A5076"/>
    <w:rsid w:val="09861318"/>
    <w:rsid w:val="09902002"/>
    <w:rsid w:val="09974C58"/>
    <w:rsid w:val="0998250B"/>
    <w:rsid w:val="09AB5D4E"/>
    <w:rsid w:val="09B65D9F"/>
    <w:rsid w:val="09C96C56"/>
    <w:rsid w:val="09CE77A1"/>
    <w:rsid w:val="09D1301B"/>
    <w:rsid w:val="09FF43C3"/>
    <w:rsid w:val="0A062DDD"/>
    <w:rsid w:val="0A0B3F91"/>
    <w:rsid w:val="0A0F5FB1"/>
    <w:rsid w:val="0A1B319C"/>
    <w:rsid w:val="0A290D1F"/>
    <w:rsid w:val="0A39468B"/>
    <w:rsid w:val="0A3C082E"/>
    <w:rsid w:val="0A42233E"/>
    <w:rsid w:val="0A442B55"/>
    <w:rsid w:val="0A474F6C"/>
    <w:rsid w:val="0A477094"/>
    <w:rsid w:val="0A57212F"/>
    <w:rsid w:val="0A5D539B"/>
    <w:rsid w:val="0A6D3A2D"/>
    <w:rsid w:val="0A7A2AC2"/>
    <w:rsid w:val="0A7B49EE"/>
    <w:rsid w:val="0A7D39B5"/>
    <w:rsid w:val="0A952D24"/>
    <w:rsid w:val="0AA370F9"/>
    <w:rsid w:val="0AA54D30"/>
    <w:rsid w:val="0AB00442"/>
    <w:rsid w:val="0ACF3084"/>
    <w:rsid w:val="0AD03CBA"/>
    <w:rsid w:val="0AD50279"/>
    <w:rsid w:val="0AFB1AEA"/>
    <w:rsid w:val="0B0E2AE2"/>
    <w:rsid w:val="0B2B1F9D"/>
    <w:rsid w:val="0B5275E6"/>
    <w:rsid w:val="0B614265"/>
    <w:rsid w:val="0B653CE6"/>
    <w:rsid w:val="0B686BD0"/>
    <w:rsid w:val="0B882DB5"/>
    <w:rsid w:val="0B903448"/>
    <w:rsid w:val="0B9A1838"/>
    <w:rsid w:val="0BA001F2"/>
    <w:rsid w:val="0BBA67F1"/>
    <w:rsid w:val="0BE13D70"/>
    <w:rsid w:val="0BE65D11"/>
    <w:rsid w:val="0BEC2E29"/>
    <w:rsid w:val="0BF028AC"/>
    <w:rsid w:val="0C211D48"/>
    <w:rsid w:val="0C246D9E"/>
    <w:rsid w:val="0C274C61"/>
    <w:rsid w:val="0C390D31"/>
    <w:rsid w:val="0C3B2FA9"/>
    <w:rsid w:val="0C504B6A"/>
    <w:rsid w:val="0C51340E"/>
    <w:rsid w:val="0C540CB7"/>
    <w:rsid w:val="0C607E17"/>
    <w:rsid w:val="0C75589D"/>
    <w:rsid w:val="0C7604A8"/>
    <w:rsid w:val="0C7708C3"/>
    <w:rsid w:val="0C7F554C"/>
    <w:rsid w:val="0C892F56"/>
    <w:rsid w:val="0C942A90"/>
    <w:rsid w:val="0C9F66EB"/>
    <w:rsid w:val="0CB57A58"/>
    <w:rsid w:val="0CC537AE"/>
    <w:rsid w:val="0CE93248"/>
    <w:rsid w:val="0CF772A7"/>
    <w:rsid w:val="0D034F87"/>
    <w:rsid w:val="0D037753"/>
    <w:rsid w:val="0D090DA6"/>
    <w:rsid w:val="0D271D7A"/>
    <w:rsid w:val="0D323CED"/>
    <w:rsid w:val="0D34005D"/>
    <w:rsid w:val="0D396D9F"/>
    <w:rsid w:val="0D3C50F2"/>
    <w:rsid w:val="0D3D0AF8"/>
    <w:rsid w:val="0D3E2FF9"/>
    <w:rsid w:val="0D47451B"/>
    <w:rsid w:val="0D576D57"/>
    <w:rsid w:val="0D5F63CC"/>
    <w:rsid w:val="0D626AD1"/>
    <w:rsid w:val="0D7A7C78"/>
    <w:rsid w:val="0D8817FF"/>
    <w:rsid w:val="0D8A0666"/>
    <w:rsid w:val="0D9177A4"/>
    <w:rsid w:val="0D9A62A0"/>
    <w:rsid w:val="0DA15433"/>
    <w:rsid w:val="0DBF6F37"/>
    <w:rsid w:val="0DCE2EE7"/>
    <w:rsid w:val="0DD20E1B"/>
    <w:rsid w:val="0DE06EC0"/>
    <w:rsid w:val="0DE2438E"/>
    <w:rsid w:val="0DED5B8E"/>
    <w:rsid w:val="0DF6668D"/>
    <w:rsid w:val="0DFE288D"/>
    <w:rsid w:val="0E084424"/>
    <w:rsid w:val="0E1B4083"/>
    <w:rsid w:val="0E1F5322"/>
    <w:rsid w:val="0E23719A"/>
    <w:rsid w:val="0E2801F3"/>
    <w:rsid w:val="0E421883"/>
    <w:rsid w:val="0E4622F7"/>
    <w:rsid w:val="0E493CF0"/>
    <w:rsid w:val="0E4F6CA1"/>
    <w:rsid w:val="0E536850"/>
    <w:rsid w:val="0E5654E7"/>
    <w:rsid w:val="0E5944DF"/>
    <w:rsid w:val="0E9B11B5"/>
    <w:rsid w:val="0EA379ED"/>
    <w:rsid w:val="0EB86F54"/>
    <w:rsid w:val="0EBB4E62"/>
    <w:rsid w:val="0EC7778B"/>
    <w:rsid w:val="0EE21D09"/>
    <w:rsid w:val="0F0C5BDE"/>
    <w:rsid w:val="0F245CFF"/>
    <w:rsid w:val="0F2E4CC6"/>
    <w:rsid w:val="0F38492E"/>
    <w:rsid w:val="0F421020"/>
    <w:rsid w:val="0F513E04"/>
    <w:rsid w:val="0F6319A5"/>
    <w:rsid w:val="0F665241"/>
    <w:rsid w:val="0F6D6F1F"/>
    <w:rsid w:val="0F7115E5"/>
    <w:rsid w:val="0F724A8F"/>
    <w:rsid w:val="0F7441CF"/>
    <w:rsid w:val="0F7A35E7"/>
    <w:rsid w:val="0F8E156F"/>
    <w:rsid w:val="0F9338AC"/>
    <w:rsid w:val="0F947E22"/>
    <w:rsid w:val="0FA31AB5"/>
    <w:rsid w:val="0FB25424"/>
    <w:rsid w:val="0FBE11A1"/>
    <w:rsid w:val="0FC14B63"/>
    <w:rsid w:val="0FC16355"/>
    <w:rsid w:val="0FC66525"/>
    <w:rsid w:val="0FC86714"/>
    <w:rsid w:val="0FDF2ED9"/>
    <w:rsid w:val="0FE12F65"/>
    <w:rsid w:val="0FEA3EB8"/>
    <w:rsid w:val="0FEC427E"/>
    <w:rsid w:val="1028094C"/>
    <w:rsid w:val="10467BC1"/>
    <w:rsid w:val="105139B0"/>
    <w:rsid w:val="10611CD8"/>
    <w:rsid w:val="107118E3"/>
    <w:rsid w:val="1093301C"/>
    <w:rsid w:val="10953E92"/>
    <w:rsid w:val="10B27856"/>
    <w:rsid w:val="10CB0E08"/>
    <w:rsid w:val="10E67798"/>
    <w:rsid w:val="10EA008A"/>
    <w:rsid w:val="11095959"/>
    <w:rsid w:val="111524A5"/>
    <w:rsid w:val="11190BA6"/>
    <w:rsid w:val="11204BF8"/>
    <w:rsid w:val="11214CD3"/>
    <w:rsid w:val="11227F83"/>
    <w:rsid w:val="11233F2E"/>
    <w:rsid w:val="112A7C29"/>
    <w:rsid w:val="113F1575"/>
    <w:rsid w:val="11497DEE"/>
    <w:rsid w:val="11605E02"/>
    <w:rsid w:val="11626C03"/>
    <w:rsid w:val="11797314"/>
    <w:rsid w:val="118446DF"/>
    <w:rsid w:val="1186774F"/>
    <w:rsid w:val="118D7A42"/>
    <w:rsid w:val="11910711"/>
    <w:rsid w:val="119424F2"/>
    <w:rsid w:val="1194287F"/>
    <w:rsid w:val="11972A29"/>
    <w:rsid w:val="11A03DFE"/>
    <w:rsid w:val="11B304F4"/>
    <w:rsid w:val="11C163CD"/>
    <w:rsid w:val="11CF2522"/>
    <w:rsid w:val="11D279EB"/>
    <w:rsid w:val="11DE48D4"/>
    <w:rsid w:val="11E63B04"/>
    <w:rsid w:val="11F26015"/>
    <w:rsid w:val="11F26BBF"/>
    <w:rsid w:val="12074364"/>
    <w:rsid w:val="1225778A"/>
    <w:rsid w:val="122C13AC"/>
    <w:rsid w:val="123668A1"/>
    <w:rsid w:val="124210D0"/>
    <w:rsid w:val="12441A37"/>
    <w:rsid w:val="12584D70"/>
    <w:rsid w:val="12660FB5"/>
    <w:rsid w:val="12763245"/>
    <w:rsid w:val="12782360"/>
    <w:rsid w:val="12795626"/>
    <w:rsid w:val="12875CD1"/>
    <w:rsid w:val="12B955CB"/>
    <w:rsid w:val="12C15548"/>
    <w:rsid w:val="12CF4BFC"/>
    <w:rsid w:val="12D43279"/>
    <w:rsid w:val="12D72D87"/>
    <w:rsid w:val="12DA450A"/>
    <w:rsid w:val="12E41594"/>
    <w:rsid w:val="12E54A0D"/>
    <w:rsid w:val="12F20DD7"/>
    <w:rsid w:val="13020058"/>
    <w:rsid w:val="130B52FA"/>
    <w:rsid w:val="1330035D"/>
    <w:rsid w:val="133E507B"/>
    <w:rsid w:val="1343291B"/>
    <w:rsid w:val="134B719C"/>
    <w:rsid w:val="13706E97"/>
    <w:rsid w:val="137D1647"/>
    <w:rsid w:val="137D7AB6"/>
    <w:rsid w:val="138665C7"/>
    <w:rsid w:val="139710AE"/>
    <w:rsid w:val="139E52DC"/>
    <w:rsid w:val="13AA35B1"/>
    <w:rsid w:val="13B2738D"/>
    <w:rsid w:val="13B4111E"/>
    <w:rsid w:val="13B868B2"/>
    <w:rsid w:val="13BB042D"/>
    <w:rsid w:val="13C07E66"/>
    <w:rsid w:val="13C274B4"/>
    <w:rsid w:val="13CE6F33"/>
    <w:rsid w:val="13F3718A"/>
    <w:rsid w:val="13F44FFF"/>
    <w:rsid w:val="140510A0"/>
    <w:rsid w:val="14114B64"/>
    <w:rsid w:val="14115A79"/>
    <w:rsid w:val="1418245B"/>
    <w:rsid w:val="1429363F"/>
    <w:rsid w:val="142F6DF8"/>
    <w:rsid w:val="146C05FC"/>
    <w:rsid w:val="146E61C7"/>
    <w:rsid w:val="14A111EF"/>
    <w:rsid w:val="14A5043D"/>
    <w:rsid w:val="14C27498"/>
    <w:rsid w:val="14D473C5"/>
    <w:rsid w:val="14E423B9"/>
    <w:rsid w:val="14E460AD"/>
    <w:rsid w:val="14E47A67"/>
    <w:rsid w:val="14E85D84"/>
    <w:rsid w:val="14F561BA"/>
    <w:rsid w:val="14FE7C4B"/>
    <w:rsid w:val="151D007C"/>
    <w:rsid w:val="153A0072"/>
    <w:rsid w:val="153A0C22"/>
    <w:rsid w:val="15454D1D"/>
    <w:rsid w:val="154560F2"/>
    <w:rsid w:val="1547499A"/>
    <w:rsid w:val="155C6C0C"/>
    <w:rsid w:val="15846C2F"/>
    <w:rsid w:val="15866AA2"/>
    <w:rsid w:val="159161EA"/>
    <w:rsid w:val="159905FD"/>
    <w:rsid w:val="159C6D37"/>
    <w:rsid w:val="15A23F2D"/>
    <w:rsid w:val="15A33CE7"/>
    <w:rsid w:val="15A36575"/>
    <w:rsid w:val="15BD2C23"/>
    <w:rsid w:val="15C10A9E"/>
    <w:rsid w:val="15C52CD5"/>
    <w:rsid w:val="15CC0164"/>
    <w:rsid w:val="15D852A5"/>
    <w:rsid w:val="15DF7D23"/>
    <w:rsid w:val="15E56940"/>
    <w:rsid w:val="15E81FEC"/>
    <w:rsid w:val="15F33699"/>
    <w:rsid w:val="16012834"/>
    <w:rsid w:val="16084E51"/>
    <w:rsid w:val="16126109"/>
    <w:rsid w:val="16220DE9"/>
    <w:rsid w:val="164E5B26"/>
    <w:rsid w:val="16511F99"/>
    <w:rsid w:val="165457E7"/>
    <w:rsid w:val="166335CB"/>
    <w:rsid w:val="1667772B"/>
    <w:rsid w:val="166B76F2"/>
    <w:rsid w:val="166F14A8"/>
    <w:rsid w:val="167F27F6"/>
    <w:rsid w:val="168F2282"/>
    <w:rsid w:val="16905EF9"/>
    <w:rsid w:val="16980BE2"/>
    <w:rsid w:val="16B747D2"/>
    <w:rsid w:val="16C32B62"/>
    <w:rsid w:val="16C93E02"/>
    <w:rsid w:val="16E04624"/>
    <w:rsid w:val="16E105F7"/>
    <w:rsid w:val="16F43E01"/>
    <w:rsid w:val="170827CC"/>
    <w:rsid w:val="1714301F"/>
    <w:rsid w:val="17164AB4"/>
    <w:rsid w:val="171A17C2"/>
    <w:rsid w:val="173A31E6"/>
    <w:rsid w:val="17455611"/>
    <w:rsid w:val="174C56C6"/>
    <w:rsid w:val="1756502B"/>
    <w:rsid w:val="17576B05"/>
    <w:rsid w:val="175D2BFB"/>
    <w:rsid w:val="17621E35"/>
    <w:rsid w:val="17723EE2"/>
    <w:rsid w:val="17730064"/>
    <w:rsid w:val="17732C33"/>
    <w:rsid w:val="17782698"/>
    <w:rsid w:val="179E1B1F"/>
    <w:rsid w:val="17A22D2C"/>
    <w:rsid w:val="17A4775D"/>
    <w:rsid w:val="17B10A4D"/>
    <w:rsid w:val="17B952DC"/>
    <w:rsid w:val="17C254E1"/>
    <w:rsid w:val="17D6169D"/>
    <w:rsid w:val="17E3206F"/>
    <w:rsid w:val="17EA3BEF"/>
    <w:rsid w:val="17F70C79"/>
    <w:rsid w:val="181171DC"/>
    <w:rsid w:val="18151131"/>
    <w:rsid w:val="181C1FA8"/>
    <w:rsid w:val="1823118E"/>
    <w:rsid w:val="18356C55"/>
    <w:rsid w:val="183A62A1"/>
    <w:rsid w:val="183C532E"/>
    <w:rsid w:val="1845363A"/>
    <w:rsid w:val="184F3196"/>
    <w:rsid w:val="18597196"/>
    <w:rsid w:val="185B3853"/>
    <w:rsid w:val="185B4ABD"/>
    <w:rsid w:val="1887694D"/>
    <w:rsid w:val="188D182E"/>
    <w:rsid w:val="189655E5"/>
    <w:rsid w:val="18A12F0B"/>
    <w:rsid w:val="18AA7425"/>
    <w:rsid w:val="18B133BA"/>
    <w:rsid w:val="18B67F13"/>
    <w:rsid w:val="18C61E25"/>
    <w:rsid w:val="18F86DAF"/>
    <w:rsid w:val="19126E85"/>
    <w:rsid w:val="19177B83"/>
    <w:rsid w:val="191C031A"/>
    <w:rsid w:val="191C4968"/>
    <w:rsid w:val="1942235F"/>
    <w:rsid w:val="195E176C"/>
    <w:rsid w:val="1963260A"/>
    <w:rsid w:val="19681DE2"/>
    <w:rsid w:val="196C246F"/>
    <w:rsid w:val="197E78D1"/>
    <w:rsid w:val="197F5829"/>
    <w:rsid w:val="198059BC"/>
    <w:rsid w:val="198365F8"/>
    <w:rsid w:val="198D2391"/>
    <w:rsid w:val="199C51A2"/>
    <w:rsid w:val="19A50A11"/>
    <w:rsid w:val="19A8205B"/>
    <w:rsid w:val="19AF63F4"/>
    <w:rsid w:val="19B82801"/>
    <w:rsid w:val="19BE3354"/>
    <w:rsid w:val="19C42E21"/>
    <w:rsid w:val="19C53D69"/>
    <w:rsid w:val="19CC3545"/>
    <w:rsid w:val="19E0554A"/>
    <w:rsid w:val="19E60196"/>
    <w:rsid w:val="19E8708C"/>
    <w:rsid w:val="19EC7584"/>
    <w:rsid w:val="19EE1E99"/>
    <w:rsid w:val="19FA4966"/>
    <w:rsid w:val="1A095075"/>
    <w:rsid w:val="1A175F40"/>
    <w:rsid w:val="1A1C6245"/>
    <w:rsid w:val="1A230DBF"/>
    <w:rsid w:val="1A3146B6"/>
    <w:rsid w:val="1A526604"/>
    <w:rsid w:val="1A5A458C"/>
    <w:rsid w:val="1A614562"/>
    <w:rsid w:val="1A677739"/>
    <w:rsid w:val="1A687778"/>
    <w:rsid w:val="1A725D3A"/>
    <w:rsid w:val="1A803F60"/>
    <w:rsid w:val="1A83538E"/>
    <w:rsid w:val="1A8779EE"/>
    <w:rsid w:val="1A8E6F2C"/>
    <w:rsid w:val="1AC16673"/>
    <w:rsid w:val="1ACB00FA"/>
    <w:rsid w:val="1AD41EAA"/>
    <w:rsid w:val="1ADD1203"/>
    <w:rsid w:val="1ADD7D87"/>
    <w:rsid w:val="1AF61FB5"/>
    <w:rsid w:val="1AFA5ADF"/>
    <w:rsid w:val="1AFB3E26"/>
    <w:rsid w:val="1B0D3ABF"/>
    <w:rsid w:val="1B1B08FA"/>
    <w:rsid w:val="1B2431AF"/>
    <w:rsid w:val="1B356EEF"/>
    <w:rsid w:val="1B497DB7"/>
    <w:rsid w:val="1B510438"/>
    <w:rsid w:val="1B6B42E0"/>
    <w:rsid w:val="1B9400BE"/>
    <w:rsid w:val="1BA01768"/>
    <w:rsid w:val="1BA6363D"/>
    <w:rsid w:val="1BB51266"/>
    <w:rsid w:val="1BDC716D"/>
    <w:rsid w:val="1BE25599"/>
    <w:rsid w:val="1BE56A43"/>
    <w:rsid w:val="1BF42867"/>
    <w:rsid w:val="1BFE136D"/>
    <w:rsid w:val="1C022EF0"/>
    <w:rsid w:val="1C060FF0"/>
    <w:rsid w:val="1C132094"/>
    <w:rsid w:val="1C1E7246"/>
    <w:rsid w:val="1C2416C1"/>
    <w:rsid w:val="1C287788"/>
    <w:rsid w:val="1C3E6C89"/>
    <w:rsid w:val="1C6125F8"/>
    <w:rsid w:val="1C6D5395"/>
    <w:rsid w:val="1C7C63D9"/>
    <w:rsid w:val="1C7E18DC"/>
    <w:rsid w:val="1C8D24E9"/>
    <w:rsid w:val="1CA106EC"/>
    <w:rsid w:val="1CAD4A58"/>
    <w:rsid w:val="1CAE6637"/>
    <w:rsid w:val="1CB03158"/>
    <w:rsid w:val="1CBA01D9"/>
    <w:rsid w:val="1CC90E71"/>
    <w:rsid w:val="1CD61A2D"/>
    <w:rsid w:val="1CDE5B6F"/>
    <w:rsid w:val="1CE65AD4"/>
    <w:rsid w:val="1CF304FB"/>
    <w:rsid w:val="1D104971"/>
    <w:rsid w:val="1D1E6FA2"/>
    <w:rsid w:val="1D2F3D6F"/>
    <w:rsid w:val="1D380F43"/>
    <w:rsid w:val="1D397124"/>
    <w:rsid w:val="1D41449B"/>
    <w:rsid w:val="1D4522E7"/>
    <w:rsid w:val="1D5F7035"/>
    <w:rsid w:val="1D62533F"/>
    <w:rsid w:val="1D641856"/>
    <w:rsid w:val="1D6A4BA5"/>
    <w:rsid w:val="1D6F02E4"/>
    <w:rsid w:val="1D745BF4"/>
    <w:rsid w:val="1D835407"/>
    <w:rsid w:val="1D994B23"/>
    <w:rsid w:val="1D9C147B"/>
    <w:rsid w:val="1D9E55E9"/>
    <w:rsid w:val="1DC62667"/>
    <w:rsid w:val="1DF41628"/>
    <w:rsid w:val="1E137230"/>
    <w:rsid w:val="1E1547AE"/>
    <w:rsid w:val="1E165CAF"/>
    <w:rsid w:val="1E221B2B"/>
    <w:rsid w:val="1E224D5D"/>
    <w:rsid w:val="1E3A7C53"/>
    <w:rsid w:val="1E4F7E86"/>
    <w:rsid w:val="1E5D007A"/>
    <w:rsid w:val="1E623F15"/>
    <w:rsid w:val="1EAA0DB1"/>
    <w:rsid w:val="1EC0404A"/>
    <w:rsid w:val="1EC72574"/>
    <w:rsid w:val="1EC95808"/>
    <w:rsid w:val="1ECF69A5"/>
    <w:rsid w:val="1ED30939"/>
    <w:rsid w:val="1EE03194"/>
    <w:rsid w:val="1EF866EF"/>
    <w:rsid w:val="1EFA7483"/>
    <w:rsid w:val="1F117E75"/>
    <w:rsid w:val="1F283FBD"/>
    <w:rsid w:val="1F3A4A1B"/>
    <w:rsid w:val="1F592DBA"/>
    <w:rsid w:val="1F59368C"/>
    <w:rsid w:val="1F5D5D3E"/>
    <w:rsid w:val="1F6B3E2B"/>
    <w:rsid w:val="1F7A0C03"/>
    <w:rsid w:val="1F7B5953"/>
    <w:rsid w:val="1F7C5B34"/>
    <w:rsid w:val="1F816B0D"/>
    <w:rsid w:val="1F8C2FCE"/>
    <w:rsid w:val="1F974937"/>
    <w:rsid w:val="1FC6523F"/>
    <w:rsid w:val="1FD31179"/>
    <w:rsid w:val="1FDC2519"/>
    <w:rsid w:val="1FE9353E"/>
    <w:rsid w:val="1FF6613D"/>
    <w:rsid w:val="200C016B"/>
    <w:rsid w:val="20125924"/>
    <w:rsid w:val="201646FD"/>
    <w:rsid w:val="2043756D"/>
    <w:rsid w:val="204A1F0F"/>
    <w:rsid w:val="204D1CDF"/>
    <w:rsid w:val="205C3688"/>
    <w:rsid w:val="205D4D4F"/>
    <w:rsid w:val="20643242"/>
    <w:rsid w:val="206F0F0E"/>
    <w:rsid w:val="209257FD"/>
    <w:rsid w:val="20931C97"/>
    <w:rsid w:val="20946D54"/>
    <w:rsid w:val="2099191B"/>
    <w:rsid w:val="20AE5812"/>
    <w:rsid w:val="20B100B1"/>
    <w:rsid w:val="20B4393B"/>
    <w:rsid w:val="20BE2627"/>
    <w:rsid w:val="20D80F5D"/>
    <w:rsid w:val="20E31947"/>
    <w:rsid w:val="20E9645F"/>
    <w:rsid w:val="21126308"/>
    <w:rsid w:val="2125633A"/>
    <w:rsid w:val="21355635"/>
    <w:rsid w:val="21522E1E"/>
    <w:rsid w:val="21541953"/>
    <w:rsid w:val="21673DE5"/>
    <w:rsid w:val="216D4729"/>
    <w:rsid w:val="21721DE4"/>
    <w:rsid w:val="217E5AC8"/>
    <w:rsid w:val="21972FD4"/>
    <w:rsid w:val="219C6A67"/>
    <w:rsid w:val="21A9226A"/>
    <w:rsid w:val="21AC3EBF"/>
    <w:rsid w:val="21B84F1C"/>
    <w:rsid w:val="21BB45F3"/>
    <w:rsid w:val="21CB07B7"/>
    <w:rsid w:val="21D22AC2"/>
    <w:rsid w:val="21DE21FF"/>
    <w:rsid w:val="21F26797"/>
    <w:rsid w:val="22106D92"/>
    <w:rsid w:val="22323CEA"/>
    <w:rsid w:val="223C51EE"/>
    <w:rsid w:val="22515348"/>
    <w:rsid w:val="225D44D0"/>
    <w:rsid w:val="226025C8"/>
    <w:rsid w:val="226160A7"/>
    <w:rsid w:val="22686985"/>
    <w:rsid w:val="226F11C7"/>
    <w:rsid w:val="2294707B"/>
    <w:rsid w:val="2297170E"/>
    <w:rsid w:val="229829EF"/>
    <w:rsid w:val="229A7026"/>
    <w:rsid w:val="229F48F1"/>
    <w:rsid w:val="22B87733"/>
    <w:rsid w:val="22C147FC"/>
    <w:rsid w:val="22E766B4"/>
    <w:rsid w:val="22E94716"/>
    <w:rsid w:val="22EB2698"/>
    <w:rsid w:val="22F56D63"/>
    <w:rsid w:val="22FC117A"/>
    <w:rsid w:val="22FD0E7C"/>
    <w:rsid w:val="23080F80"/>
    <w:rsid w:val="23097FDE"/>
    <w:rsid w:val="232A5C3E"/>
    <w:rsid w:val="232E4E7B"/>
    <w:rsid w:val="23321A5E"/>
    <w:rsid w:val="233938BA"/>
    <w:rsid w:val="233C6553"/>
    <w:rsid w:val="23442B51"/>
    <w:rsid w:val="234E7118"/>
    <w:rsid w:val="234F21FB"/>
    <w:rsid w:val="234F480F"/>
    <w:rsid w:val="2389185F"/>
    <w:rsid w:val="23936F56"/>
    <w:rsid w:val="239478F6"/>
    <w:rsid w:val="23A077EE"/>
    <w:rsid w:val="23B8685B"/>
    <w:rsid w:val="23B9764B"/>
    <w:rsid w:val="23C762C4"/>
    <w:rsid w:val="23D91750"/>
    <w:rsid w:val="23DF0907"/>
    <w:rsid w:val="23F001C5"/>
    <w:rsid w:val="23FD4698"/>
    <w:rsid w:val="23FE5BB5"/>
    <w:rsid w:val="240008CE"/>
    <w:rsid w:val="240D6E56"/>
    <w:rsid w:val="2413124C"/>
    <w:rsid w:val="24231B81"/>
    <w:rsid w:val="243A6DFE"/>
    <w:rsid w:val="243E294B"/>
    <w:rsid w:val="24652B6C"/>
    <w:rsid w:val="24683238"/>
    <w:rsid w:val="246916B2"/>
    <w:rsid w:val="24906236"/>
    <w:rsid w:val="249A720D"/>
    <w:rsid w:val="24A125D5"/>
    <w:rsid w:val="24B2506F"/>
    <w:rsid w:val="24C25DBD"/>
    <w:rsid w:val="24C93DAB"/>
    <w:rsid w:val="24D75FE9"/>
    <w:rsid w:val="24E10C24"/>
    <w:rsid w:val="24EF3E61"/>
    <w:rsid w:val="24F44FC6"/>
    <w:rsid w:val="24F574BB"/>
    <w:rsid w:val="250B5FEA"/>
    <w:rsid w:val="251B2944"/>
    <w:rsid w:val="252B7AB8"/>
    <w:rsid w:val="25345348"/>
    <w:rsid w:val="25357F48"/>
    <w:rsid w:val="25513659"/>
    <w:rsid w:val="25515249"/>
    <w:rsid w:val="256D392B"/>
    <w:rsid w:val="257A006F"/>
    <w:rsid w:val="25806711"/>
    <w:rsid w:val="258E28BA"/>
    <w:rsid w:val="25920973"/>
    <w:rsid w:val="25A40D8D"/>
    <w:rsid w:val="25AB6516"/>
    <w:rsid w:val="25AC114B"/>
    <w:rsid w:val="25BA34D6"/>
    <w:rsid w:val="25CF40A1"/>
    <w:rsid w:val="25D03EC3"/>
    <w:rsid w:val="25D06FAE"/>
    <w:rsid w:val="25D4609E"/>
    <w:rsid w:val="25D919B3"/>
    <w:rsid w:val="25DB03A4"/>
    <w:rsid w:val="25DC5699"/>
    <w:rsid w:val="25EF4C51"/>
    <w:rsid w:val="25FB0716"/>
    <w:rsid w:val="26105548"/>
    <w:rsid w:val="26223BC5"/>
    <w:rsid w:val="26266411"/>
    <w:rsid w:val="262D4DFC"/>
    <w:rsid w:val="262D6BE5"/>
    <w:rsid w:val="26337507"/>
    <w:rsid w:val="26386807"/>
    <w:rsid w:val="265E7DC7"/>
    <w:rsid w:val="2664589B"/>
    <w:rsid w:val="267964B5"/>
    <w:rsid w:val="268664D9"/>
    <w:rsid w:val="26924E72"/>
    <w:rsid w:val="2693378B"/>
    <w:rsid w:val="26945AD6"/>
    <w:rsid w:val="26981D66"/>
    <w:rsid w:val="269848C7"/>
    <w:rsid w:val="26A66BFA"/>
    <w:rsid w:val="26AF77BE"/>
    <w:rsid w:val="26B54814"/>
    <w:rsid w:val="26CA4C23"/>
    <w:rsid w:val="26CC63DA"/>
    <w:rsid w:val="26CE3408"/>
    <w:rsid w:val="26D6789C"/>
    <w:rsid w:val="26D93DF2"/>
    <w:rsid w:val="26DB7F33"/>
    <w:rsid w:val="26DD2BDA"/>
    <w:rsid w:val="26FA247D"/>
    <w:rsid w:val="27142F35"/>
    <w:rsid w:val="27161F45"/>
    <w:rsid w:val="274A3254"/>
    <w:rsid w:val="275B5577"/>
    <w:rsid w:val="27742FE8"/>
    <w:rsid w:val="2783783F"/>
    <w:rsid w:val="27847AA0"/>
    <w:rsid w:val="27953F30"/>
    <w:rsid w:val="27966DD5"/>
    <w:rsid w:val="27B74573"/>
    <w:rsid w:val="27BA6312"/>
    <w:rsid w:val="27C0268A"/>
    <w:rsid w:val="27C362EF"/>
    <w:rsid w:val="27C56D47"/>
    <w:rsid w:val="27CC633B"/>
    <w:rsid w:val="27FF5FF5"/>
    <w:rsid w:val="2812029D"/>
    <w:rsid w:val="28173707"/>
    <w:rsid w:val="281C0FEC"/>
    <w:rsid w:val="282146A8"/>
    <w:rsid w:val="282800FF"/>
    <w:rsid w:val="28450E53"/>
    <w:rsid w:val="28591C13"/>
    <w:rsid w:val="285F2176"/>
    <w:rsid w:val="286D415E"/>
    <w:rsid w:val="28727A4A"/>
    <w:rsid w:val="287851E1"/>
    <w:rsid w:val="288436DA"/>
    <w:rsid w:val="28873E50"/>
    <w:rsid w:val="288C4AD5"/>
    <w:rsid w:val="28AB3BF2"/>
    <w:rsid w:val="28B51C37"/>
    <w:rsid w:val="28C35422"/>
    <w:rsid w:val="28D64409"/>
    <w:rsid w:val="28F56DCA"/>
    <w:rsid w:val="291B659A"/>
    <w:rsid w:val="291F5298"/>
    <w:rsid w:val="29253B1C"/>
    <w:rsid w:val="29262732"/>
    <w:rsid w:val="292D1BC7"/>
    <w:rsid w:val="2939426E"/>
    <w:rsid w:val="294A034B"/>
    <w:rsid w:val="294C17D9"/>
    <w:rsid w:val="294F172D"/>
    <w:rsid w:val="29593AE1"/>
    <w:rsid w:val="295C7716"/>
    <w:rsid w:val="29615E28"/>
    <w:rsid w:val="2963188E"/>
    <w:rsid w:val="29682AB8"/>
    <w:rsid w:val="296D3AEC"/>
    <w:rsid w:val="29777C8E"/>
    <w:rsid w:val="29840522"/>
    <w:rsid w:val="29A34006"/>
    <w:rsid w:val="29A71631"/>
    <w:rsid w:val="29AD12E5"/>
    <w:rsid w:val="29B0006C"/>
    <w:rsid w:val="29BB215E"/>
    <w:rsid w:val="29C2668E"/>
    <w:rsid w:val="29CD0C18"/>
    <w:rsid w:val="29D62C03"/>
    <w:rsid w:val="29D872A8"/>
    <w:rsid w:val="29ED0A9C"/>
    <w:rsid w:val="29F5045A"/>
    <w:rsid w:val="29FD721D"/>
    <w:rsid w:val="2A2332CC"/>
    <w:rsid w:val="2A2353BF"/>
    <w:rsid w:val="2A382E3C"/>
    <w:rsid w:val="2A416461"/>
    <w:rsid w:val="2A454124"/>
    <w:rsid w:val="2A4E23A5"/>
    <w:rsid w:val="2A6C1C86"/>
    <w:rsid w:val="2A701ABF"/>
    <w:rsid w:val="2A7147B4"/>
    <w:rsid w:val="2A73580A"/>
    <w:rsid w:val="2AA07261"/>
    <w:rsid w:val="2AA65BE0"/>
    <w:rsid w:val="2AC21E56"/>
    <w:rsid w:val="2AC44DFA"/>
    <w:rsid w:val="2AC62EA8"/>
    <w:rsid w:val="2ACB616D"/>
    <w:rsid w:val="2ACE0842"/>
    <w:rsid w:val="2AD26DCC"/>
    <w:rsid w:val="2AD702DC"/>
    <w:rsid w:val="2AD8782F"/>
    <w:rsid w:val="2AE37C9F"/>
    <w:rsid w:val="2AE94205"/>
    <w:rsid w:val="2AF15D10"/>
    <w:rsid w:val="2B01103A"/>
    <w:rsid w:val="2B21341B"/>
    <w:rsid w:val="2B4D171A"/>
    <w:rsid w:val="2B5C0CCF"/>
    <w:rsid w:val="2B6215E7"/>
    <w:rsid w:val="2B6A20B8"/>
    <w:rsid w:val="2B6E054E"/>
    <w:rsid w:val="2B7604AE"/>
    <w:rsid w:val="2B7C203C"/>
    <w:rsid w:val="2B7F7533"/>
    <w:rsid w:val="2B884517"/>
    <w:rsid w:val="2BA37C70"/>
    <w:rsid w:val="2BA93E7A"/>
    <w:rsid w:val="2BB22487"/>
    <w:rsid w:val="2BB54412"/>
    <w:rsid w:val="2BB80A5F"/>
    <w:rsid w:val="2BBB0D19"/>
    <w:rsid w:val="2BC12383"/>
    <w:rsid w:val="2BD603CD"/>
    <w:rsid w:val="2BE2503F"/>
    <w:rsid w:val="2BFF0591"/>
    <w:rsid w:val="2BFF2511"/>
    <w:rsid w:val="2C09471D"/>
    <w:rsid w:val="2C0B2608"/>
    <w:rsid w:val="2C110202"/>
    <w:rsid w:val="2C133940"/>
    <w:rsid w:val="2C230EBD"/>
    <w:rsid w:val="2C237BBB"/>
    <w:rsid w:val="2C255507"/>
    <w:rsid w:val="2C4011B0"/>
    <w:rsid w:val="2C524DE6"/>
    <w:rsid w:val="2C586034"/>
    <w:rsid w:val="2C5B2F10"/>
    <w:rsid w:val="2C623503"/>
    <w:rsid w:val="2C7E29B3"/>
    <w:rsid w:val="2C8844B0"/>
    <w:rsid w:val="2C8974C2"/>
    <w:rsid w:val="2C8E3BB9"/>
    <w:rsid w:val="2C9611C5"/>
    <w:rsid w:val="2CB922DF"/>
    <w:rsid w:val="2CCB37B1"/>
    <w:rsid w:val="2CD21348"/>
    <w:rsid w:val="2CD50E8F"/>
    <w:rsid w:val="2CD5544F"/>
    <w:rsid w:val="2CDA27A1"/>
    <w:rsid w:val="2CDC41E8"/>
    <w:rsid w:val="2CE16057"/>
    <w:rsid w:val="2CF11C84"/>
    <w:rsid w:val="2CF33383"/>
    <w:rsid w:val="2D0332EA"/>
    <w:rsid w:val="2D1147BE"/>
    <w:rsid w:val="2D1A4972"/>
    <w:rsid w:val="2D1A7E74"/>
    <w:rsid w:val="2D1C1A48"/>
    <w:rsid w:val="2D2156B8"/>
    <w:rsid w:val="2D272A45"/>
    <w:rsid w:val="2D2B2FA9"/>
    <w:rsid w:val="2D2E1874"/>
    <w:rsid w:val="2D330F80"/>
    <w:rsid w:val="2D395A6D"/>
    <w:rsid w:val="2D3C4871"/>
    <w:rsid w:val="2D4529F4"/>
    <w:rsid w:val="2D6A3E91"/>
    <w:rsid w:val="2D6A5930"/>
    <w:rsid w:val="2D72286F"/>
    <w:rsid w:val="2D7C34B6"/>
    <w:rsid w:val="2DA816BB"/>
    <w:rsid w:val="2DB73BEC"/>
    <w:rsid w:val="2DBB46D4"/>
    <w:rsid w:val="2DD22D29"/>
    <w:rsid w:val="2DE752D2"/>
    <w:rsid w:val="2E2C56E6"/>
    <w:rsid w:val="2E374C01"/>
    <w:rsid w:val="2E3E0C9A"/>
    <w:rsid w:val="2E4378B8"/>
    <w:rsid w:val="2E4978AF"/>
    <w:rsid w:val="2E4C66EB"/>
    <w:rsid w:val="2E5B199F"/>
    <w:rsid w:val="2E61574A"/>
    <w:rsid w:val="2E645A74"/>
    <w:rsid w:val="2E71357D"/>
    <w:rsid w:val="2E762561"/>
    <w:rsid w:val="2E885B19"/>
    <w:rsid w:val="2EA11230"/>
    <w:rsid w:val="2EC55177"/>
    <w:rsid w:val="2EC81BE8"/>
    <w:rsid w:val="2ED749EF"/>
    <w:rsid w:val="2EDC0C17"/>
    <w:rsid w:val="2EE5047B"/>
    <w:rsid w:val="2EF55553"/>
    <w:rsid w:val="2EFB0C84"/>
    <w:rsid w:val="2F05046E"/>
    <w:rsid w:val="2F124000"/>
    <w:rsid w:val="2F267EB6"/>
    <w:rsid w:val="2F324376"/>
    <w:rsid w:val="2F4A55FA"/>
    <w:rsid w:val="2F5B6EC5"/>
    <w:rsid w:val="2F6608A3"/>
    <w:rsid w:val="2F7730A0"/>
    <w:rsid w:val="2F9C57B3"/>
    <w:rsid w:val="2FB1012F"/>
    <w:rsid w:val="2FBF6999"/>
    <w:rsid w:val="2FC83789"/>
    <w:rsid w:val="2FE05FA1"/>
    <w:rsid w:val="2FE74D37"/>
    <w:rsid w:val="2FF00572"/>
    <w:rsid w:val="30013F18"/>
    <w:rsid w:val="300955A8"/>
    <w:rsid w:val="303806ED"/>
    <w:rsid w:val="30393F9D"/>
    <w:rsid w:val="304B5E24"/>
    <w:rsid w:val="305563B5"/>
    <w:rsid w:val="30606C8E"/>
    <w:rsid w:val="30640E04"/>
    <w:rsid w:val="30701AAE"/>
    <w:rsid w:val="307E389D"/>
    <w:rsid w:val="30837D1B"/>
    <w:rsid w:val="30842C35"/>
    <w:rsid w:val="30845228"/>
    <w:rsid w:val="30A833F1"/>
    <w:rsid w:val="30AD3F59"/>
    <w:rsid w:val="30AE5874"/>
    <w:rsid w:val="30C05B66"/>
    <w:rsid w:val="30DE2767"/>
    <w:rsid w:val="30F00BD1"/>
    <w:rsid w:val="30FD1E81"/>
    <w:rsid w:val="31073795"/>
    <w:rsid w:val="310B7E66"/>
    <w:rsid w:val="311425DE"/>
    <w:rsid w:val="31313C46"/>
    <w:rsid w:val="31501714"/>
    <w:rsid w:val="315732DB"/>
    <w:rsid w:val="316B2EE6"/>
    <w:rsid w:val="318F030F"/>
    <w:rsid w:val="31907116"/>
    <w:rsid w:val="31A2190E"/>
    <w:rsid w:val="31A91AD8"/>
    <w:rsid w:val="31B17A7C"/>
    <w:rsid w:val="31B4036A"/>
    <w:rsid w:val="31C26AF5"/>
    <w:rsid w:val="31C33BFF"/>
    <w:rsid w:val="31CD2BFE"/>
    <w:rsid w:val="31D822A2"/>
    <w:rsid w:val="31DC42EE"/>
    <w:rsid w:val="31DD2217"/>
    <w:rsid w:val="31E66A3E"/>
    <w:rsid w:val="31FD13DF"/>
    <w:rsid w:val="32020871"/>
    <w:rsid w:val="32025F3F"/>
    <w:rsid w:val="3204582F"/>
    <w:rsid w:val="32053D32"/>
    <w:rsid w:val="32080FAC"/>
    <w:rsid w:val="3216451B"/>
    <w:rsid w:val="32380BAB"/>
    <w:rsid w:val="32387BE1"/>
    <w:rsid w:val="323911B0"/>
    <w:rsid w:val="32410BEF"/>
    <w:rsid w:val="32420099"/>
    <w:rsid w:val="324C4F78"/>
    <w:rsid w:val="32584637"/>
    <w:rsid w:val="325E685B"/>
    <w:rsid w:val="326027ED"/>
    <w:rsid w:val="32663172"/>
    <w:rsid w:val="32680482"/>
    <w:rsid w:val="32681228"/>
    <w:rsid w:val="32711BE8"/>
    <w:rsid w:val="32777645"/>
    <w:rsid w:val="327824C3"/>
    <w:rsid w:val="32873B20"/>
    <w:rsid w:val="328A2364"/>
    <w:rsid w:val="32A4649D"/>
    <w:rsid w:val="32AD641E"/>
    <w:rsid w:val="32B81A36"/>
    <w:rsid w:val="32BA08A0"/>
    <w:rsid w:val="32BA740F"/>
    <w:rsid w:val="32C637B7"/>
    <w:rsid w:val="32CE1F28"/>
    <w:rsid w:val="32D472B5"/>
    <w:rsid w:val="32DC1E00"/>
    <w:rsid w:val="32E3558D"/>
    <w:rsid w:val="32EA312C"/>
    <w:rsid w:val="32F37CD2"/>
    <w:rsid w:val="3300562D"/>
    <w:rsid w:val="330419A7"/>
    <w:rsid w:val="3312059F"/>
    <w:rsid w:val="334920C4"/>
    <w:rsid w:val="335D5EF5"/>
    <w:rsid w:val="33705548"/>
    <w:rsid w:val="3372062F"/>
    <w:rsid w:val="33993223"/>
    <w:rsid w:val="33A22359"/>
    <w:rsid w:val="33AA7B28"/>
    <w:rsid w:val="33D00F74"/>
    <w:rsid w:val="33D52F7C"/>
    <w:rsid w:val="33D64AFE"/>
    <w:rsid w:val="33EA2523"/>
    <w:rsid w:val="33F83754"/>
    <w:rsid w:val="33F8408C"/>
    <w:rsid w:val="34037A27"/>
    <w:rsid w:val="34080FDE"/>
    <w:rsid w:val="34120E5E"/>
    <w:rsid w:val="341906BD"/>
    <w:rsid w:val="342141E5"/>
    <w:rsid w:val="342249CD"/>
    <w:rsid w:val="34292FFA"/>
    <w:rsid w:val="343B173C"/>
    <w:rsid w:val="344627CF"/>
    <w:rsid w:val="34580EE9"/>
    <w:rsid w:val="345F12D4"/>
    <w:rsid w:val="346C3C56"/>
    <w:rsid w:val="3482072B"/>
    <w:rsid w:val="34863EC3"/>
    <w:rsid w:val="3487173E"/>
    <w:rsid w:val="34882646"/>
    <w:rsid w:val="348B0211"/>
    <w:rsid w:val="349D66E3"/>
    <w:rsid w:val="34A6741C"/>
    <w:rsid w:val="34B45B7D"/>
    <w:rsid w:val="34BF1DBB"/>
    <w:rsid w:val="34C25517"/>
    <w:rsid w:val="34C909A9"/>
    <w:rsid w:val="34CE04D1"/>
    <w:rsid w:val="34D71115"/>
    <w:rsid w:val="34F33496"/>
    <w:rsid w:val="34F7782D"/>
    <w:rsid w:val="350265F1"/>
    <w:rsid w:val="35093BF0"/>
    <w:rsid w:val="35103046"/>
    <w:rsid w:val="3519357F"/>
    <w:rsid w:val="352141CC"/>
    <w:rsid w:val="35325E77"/>
    <w:rsid w:val="35333C81"/>
    <w:rsid w:val="353A26D9"/>
    <w:rsid w:val="353D17C3"/>
    <w:rsid w:val="35413983"/>
    <w:rsid w:val="354D2398"/>
    <w:rsid w:val="356A5E3B"/>
    <w:rsid w:val="356D0290"/>
    <w:rsid w:val="358F5122"/>
    <w:rsid w:val="3595752E"/>
    <w:rsid w:val="359C0F47"/>
    <w:rsid w:val="35A44033"/>
    <w:rsid w:val="35A455B0"/>
    <w:rsid w:val="35B45C13"/>
    <w:rsid w:val="35C4668E"/>
    <w:rsid w:val="35C8452C"/>
    <w:rsid w:val="35CC1C96"/>
    <w:rsid w:val="35D40EB2"/>
    <w:rsid w:val="35DE6D35"/>
    <w:rsid w:val="35FA0293"/>
    <w:rsid w:val="35FA70C8"/>
    <w:rsid w:val="35FD08A2"/>
    <w:rsid w:val="3619020E"/>
    <w:rsid w:val="361F61BA"/>
    <w:rsid w:val="36260307"/>
    <w:rsid w:val="362D3E8F"/>
    <w:rsid w:val="36482AD3"/>
    <w:rsid w:val="364D4927"/>
    <w:rsid w:val="364E4A62"/>
    <w:rsid w:val="36530487"/>
    <w:rsid w:val="3658041F"/>
    <w:rsid w:val="366D00F5"/>
    <w:rsid w:val="367C0A50"/>
    <w:rsid w:val="36887DA8"/>
    <w:rsid w:val="36937ADC"/>
    <w:rsid w:val="36B075FC"/>
    <w:rsid w:val="36B33438"/>
    <w:rsid w:val="36BD10F3"/>
    <w:rsid w:val="36C8606A"/>
    <w:rsid w:val="36DF3201"/>
    <w:rsid w:val="36E91850"/>
    <w:rsid w:val="36F34292"/>
    <w:rsid w:val="36F90243"/>
    <w:rsid w:val="36FE1FC6"/>
    <w:rsid w:val="371011D3"/>
    <w:rsid w:val="3710741F"/>
    <w:rsid w:val="37185DE1"/>
    <w:rsid w:val="37273E72"/>
    <w:rsid w:val="37373535"/>
    <w:rsid w:val="375544BC"/>
    <w:rsid w:val="37574471"/>
    <w:rsid w:val="3758559F"/>
    <w:rsid w:val="375B568A"/>
    <w:rsid w:val="375B6013"/>
    <w:rsid w:val="375D02FD"/>
    <w:rsid w:val="37637E56"/>
    <w:rsid w:val="376C1B16"/>
    <w:rsid w:val="37723874"/>
    <w:rsid w:val="377506D9"/>
    <w:rsid w:val="37820247"/>
    <w:rsid w:val="37903CE8"/>
    <w:rsid w:val="379D0257"/>
    <w:rsid w:val="37A06FE7"/>
    <w:rsid w:val="37A166D7"/>
    <w:rsid w:val="37B16AF2"/>
    <w:rsid w:val="37CB1789"/>
    <w:rsid w:val="37D06DA5"/>
    <w:rsid w:val="37D67354"/>
    <w:rsid w:val="37E26694"/>
    <w:rsid w:val="37EF5ED5"/>
    <w:rsid w:val="37F733B5"/>
    <w:rsid w:val="38013869"/>
    <w:rsid w:val="381D1C32"/>
    <w:rsid w:val="381F7FE4"/>
    <w:rsid w:val="38243EC5"/>
    <w:rsid w:val="382D2228"/>
    <w:rsid w:val="385D5CBD"/>
    <w:rsid w:val="386913C2"/>
    <w:rsid w:val="38710619"/>
    <w:rsid w:val="387112AB"/>
    <w:rsid w:val="387A6971"/>
    <w:rsid w:val="3884586E"/>
    <w:rsid w:val="389318F2"/>
    <w:rsid w:val="38985023"/>
    <w:rsid w:val="38A043ED"/>
    <w:rsid w:val="38A767B3"/>
    <w:rsid w:val="38AF33D9"/>
    <w:rsid w:val="38CB584B"/>
    <w:rsid w:val="38D42EAF"/>
    <w:rsid w:val="38DD2740"/>
    <w:rsid w:val="38E3218A"/>
    <w:rsid w:val="38EA6818"/>
    <w:rsid w:val="38F9248C"/>
    <w:rsid w:val="38FB6ACC"/>
    <w:rsid w:val="390F3EB4"/>
    <w:rsid w:val="391C2A32"/>
    <w:rsid w:val="3920137C"/>
    <w:rsid w:val="39256565"/>
    <w:rsid w:val="392E5956"/>
    <w:rsid w:val="39442A84"/>
    <w:rsid w:val="394934AE"/>
    <w:rsid w:val="39564CFC"/>
    <w:rsid w:val="396D65CD"/>
    <w:rsid w:val="39752172"/>
    <w:rsid w:val="39772BB2"/>
    <w:rsid w:val="39953C54"/>
    <w:rsid w:val="39A17D77"/>
    <w:rsid w:val="39B71C0D"/>
    <w:rsid w:val="39C102C8"/>
    <w:rsid w:val="39C35A30"/>
    <w:rsid w:val="39C67730"/>
    <w:rsid w:val="39C8365B"/>
    <w:rsid w:val="39CF70D3"/>
    <w:rsid w:val="39D827A8"/>
    <w:rsid w:val="39E124B3"/>
    <w:rsid w:val="39E60E21"/>
    <w:rsid w:val="39FF5AB5"/>
    <w:rsid w:val="3A13743C"/>
    <w:rsid w:val="3A167F68"/>
    <w:rsid w:val="3A1D4101"/>
    <w:rsid w:val="3A1D7799"/>
    <w:rsid w:val="3A285011"/>
    <w:rsid w:val="3A3C2E54"/>
    <w:rsid w:val="3A3D1799"/>
    <w:rsid w:val="3A543E6C"/>
    <w:rsid w:val="3A57456A"/>
    <w:rsid w:val="3A603099"/>
    <w:rsid w:val="3A671AD8"/>
    <w:rsid w:val="3A67217F"/>
    <w:rsid w:val="3A9353C6"/>
    <w:rsid w:val="3A967CD2"/>
    <w:rsid w:val="3AB66BA9"/>
    <w:rsid w:val="3AC0460B"/>
    <w:rsid w:val="3ACA3B92"/>
    <w:rsid w:val="3AD83FCD"/>
    <w:rsid w:val="3AE670E7"/>
    <w:rsid w:val="3AE9332A"/>
    <w:rsid w:val="3AED5E0C"/>
    <w:rsid w:val="3AEF62EB"/>
    <w:rsid w:val="3AF4692F"/>
    <w:rsid w:val="3AF846AB"/>
    <w:rsid w:val="3B152F89"/>
    <w:rsid w:val="3B212C11"/>
    <w:rsid w:val="3B2464A3"/>
    <w:rsid w:val="3B3F416D"/>
    <w:rsid w:val="3B4C571A"/>
    <w:rsid w:val="3B5E2F06"/>
    <w:rsid w:val="3B637183"/>
    <w:rsid w:val="3B6F4A6C"/>
    <w:rsid w:val="3B7A561B"/>
    <w:rsid w:val="3B9806B1"/>
    <w:rsid w:val="3B9C437A"/>
    <w:rsid w:val="3BA34E98"/>
    <w:rsid w:val="3BA67455"/>
    <w:rsid w:val="3BAA0BEA"/>
    <w:rsid w:val="3BCC68D5"/>
    <w:rsid w:val="3BF676DE"/>
    <w:rsid w:val="3BFC79DD"/>
    <w:rsid w:val="3C0D3352"/>
    <w:rsid w:val="3C161A6E"/>
    <w:rsid w:val="3C1A79F0"/>
    <w:rsid w:val="3C221985"/>
    <w:rsid w:val="3C2C3D7E"/>
    <w:rsid w:val="3C311A9A"/>
    <w:rsid w:val="3C315C10"/>
    <w:rsid w:val="3C400A05"/>
    <w:rsid w:val="3C44148C"/>
    <w:rsid w:val="3C47206C"/>
    <w:rsid w:val="3C537AC7"/>
    <w:rsid w:val="3C670837"/>
    <w:rsid w:val="3C781866"/>
    <w:rsid w:val="3C8D4B56"/>
    <w:rsid w:val="3C9463BB"/>
    <w:rsid w:val="3CB17EAD"/>
    <w:rsid w:val="3CB72898"/>
    <w:rsid w:val="3CBF033C"/>
    <w:rsid w:val="3CDB13D6"/>
    <w:rsid w:val="3CE96611"/>
    <w:rsid w:val="3CF7271A"/>
    <w:rsid w:val="3CFA3337"/>
    <w:rsid w:val="3CFB2251"/>
    <w:rsid w:val="3CFE2102"/>
    <w:rsid w:val="3D143D9F"/>
    <w:rsid w:val="3D161120"/>
    <w:rsid w:val="3D273346"/>
    <w:rsid w:val="3D2B130D"/>
    <w:rsid w:val="3D2B43D5"/>
    <w:rsid w:val="3D3D6D02"/>
    <w:rsid w:val="3D4A0805"/>
    <w:rsid w:val="3D4E1CFC"/>
    <w:rsid w:val="3D5004D5"/>
    <w:rsid w:val="3D54648B"/>
    <w:rsid w:val="3D570DF9"/>
    <w:rsid w:val="3D6267DB"/>
    <w:rsid w:val="3D630FAF"/>
    <w:rsid w:val="3D65401E"/>
    <w:rsid w:val="3D684D80"/>
    <w:rsid w:val="3D732445"/>
    <w:rsid w:val="3D7F7055"/>
    <w:rsid w:val="3D862F9D"/>
    <w:rsid w:val="3DC568AD"/>
    <w:rsid w:val="3DCE63C6"/>
    <w:rsid w:val="3DE5297C"/>
    <w:rsid w:val="3DF70217"/>
    <w:rsid w:val="3DFE07AD"/>
    <w:rsid w:val="3E097777"/>
    <w:rsid w:val="3E0A241D"/>
    <w:rsid w:val="3E0E62F9"/>
    <w:rsid w:val="3E172657"/>
    <w:rsid w:val="3E1B6FA0"/>
    <w:rsid w:val="3E241EE3"/>
    <w:rsid w:val="3E2B72E6"/>
    <w:rsid w:val="3E30054D"/>
    <w:rsid w:val="3E3617D9"/>
    <w:rsid w:val="3E3806B9"/>
    <w:rsid w:val="3E3C2123"/>
    <w:rsid w:val="3E40507E"/>
    <w:rsid w:val="3E647B7A"/>
    <w:rsid w:val="3E877CA0"/>
    <w:rsid w:val="3E9F0CCF"/>
    <w:rsid w:val="3EB47A01"/>
    <w:rsid w:val="3EB60708"/>
    <w:rsid w:val="3EDE5D7D"/>
    <w:rsid w:val="3EE02637"/>
    <w:rsid w:val="3EE45FFB"/>
    <w:rsid w:val="3EE46342"/>
    <w:rsid w:val="3EFB12E4"/>
    <w:rsid w:val="3F021E2B"/>
    <w:rsid w:val="3F240A76"/>
    <w:rsid w:val="3F2B1026"/>
    <w:rsid w:val="3F2C026C"/>
    <w:rsid w:val="3F411E9F"/>
    <w:rsid w:val="3F45544C"/>
    <w:rsid w:val="3F5A3441"/>
    <w:rsid w:val="3F5B0CCF"/>
    <w:rsid w:val="3F625B79"/>
    <w:rsid w:val="3F7B5350"/>
    <w:rsid w:val="3F853BC1"/>
    <w:rsid w:val="3F88178E"/>
    <w:rsid w:val="3F895E8B"/>
    <w:rsid w:val="3F8F1D4A"/>
    <w:rsid w:val="3F9F5EE1"/>
    <w:rsid w:val="3FA00B9C"/>
    <w:rsid w:val="3FA87877"/>
    <w:rsid w:val="3FB0349C"/>
    <w:rsid w:val="3FB20114"/>
    <w:rsid w:val="3FB52DD0"/>
    <w:rsid w:val="3FC21A3F"/>
    <w:rsid w:val="3FD92B87"/>
    <w:rsid w:val="3FE02BF5"/>
    <w:rsid w:val="3FE87E94"/>
    <w:rsid w:val="3FFE6D2D"/>
    <w:rsid w:val="400B3DE4"/>
    <w:rsid w:val="400F57ED"/>
    <w:rsid w:val="40126EA8"/>
    <w:rsid w:val="4025361B"/>
    <w:rsid w:val="402635FA"/>
    <w:rsid w:val="40276517"/>
    <w:rsid w:val="405B31EF"/>
    <w:rsid w:val="405E2A1F"/>
    <w:rsid w:val="406362F1"/>
    <w:rsid w:val="407430B3"/>
    <w:rsid w:val="40876F83"/>
    <w:rsid w:val="409022DC"/>
    <w:rsid w:val="40914009"/>
    <w:rsid w:val="40A22617"/>
    <w:rsid w:val="40A82199"/>
    <w:rsid w:val="40B10991"/>
    <w:rsid w:val="40CF267A"/>
    <w:rsid w:val="40D03F5F"/>
    <w:rsid w:val="40D060D5"/>
    <w:rsid w:val="40E35F45"/>
    <w:rsid w:val="40E63ED0"/>
    <w:rsid w:val="40FA3C53"/>
    <w:rsid w:val="411F75FF"/>
    <w:rsid w:val="412C3B42"/>
    <w:rsid w:val="41395232"/>
    <w:rsid w:val="414642D7"/>
    <w:rsid w:val="4151335A"/>
    <w:rsid w:val="415A2D32"/>
    <w:rsid w:val="4166063F"/>
    <w:rsid w:val="416A6C7A"/>
    <w:rsid w:val="4190513F"/>
    <w:rsid w:val="41932892"/>
    <w:rsid w:val="419F701A"/>
    <w:rsid w:val="41C27BC0"/>
    <w:rsid w:val="41C30744"/>
    <w:rsid w:val="41C31B5E"/>
    <w:rsid w:val="41D75BF3"/>
    <w:rsid w:val="41DA1247"/>
    <w:rsid w:val="41E164E2"/>
    <w:rsid w:val="41E76B2A"/>
    <w:rsid w:val="41E94013"/>
    <w:rsid w:val="41E95FB2"/>
    <w:rsid w:val="41EE18DC"/>
    <w:rsid w:val="422406A5"/>
    <w:rsid w:val="42247DDA"/>
    <w:rsid w:val="422C75D3"/>
    <w:rsid w:val="423B1889"/>
    <w:rsid w:val="42472F21"/>
    <w:rsid w:val="4256675C"/>
    <w:rsid w:val="425A066F"/>
    <w:rsid w:val="42640FFA"/>
    <w:rsid w:val="426F18C2"/>
    <w:rsid w:val="427E072F"/>
    <w:rsid w:val="428B08C0"/>
    <w:rsid w:val="429831C6"/>
    <w:rsid w:val="429B2C3F"/>
    <w:rsid w:val="429D529B"/>
    <w:rsid w:val="42AD26CF"/>
    <w:rsid w:val="42B94A6D"/>
    <w:rsid w:val="42BC748D"/>
    <w:rsid w:val="42D5317B"/>
    <w:rsid w:val="42DC28B8"/>
    <w:rsid w:val="42EC4463"/>
    <w:rsid w:val="42F924D7"/>
    <w:rsid w:val="430573B6"/>
    <w:rsid w:val="4307578A"/>
    <w:rsid w:val="432F1134"/>
    <w:rsid w:val="433048B4"/>
    <w:rsid w:val="433D4EEF"/>
    <w:rsid w:val="433F76BE"/>
    <w:rsid w:val="43805B48"/>
    <w:rsid w:val="43917E88"/>
    <w:rsid w:val="439B26DB"/>
    <w:rsid w:val="439E0DD7"/>
    <w:rsid w:val="43A11C63"/>
    <w:rsid w:val="43A81933"/>
    <w:rsid w:val="43AE0798"/>
    <w:rsid w:val="43B20597"/>
    <w:rsid w:val="43B95396"/>
    <w:rsid w:val="43C84E25"/>
    <w:rsid w:val="43DB52D4"/>
    <w:rsid w:val="43E75B90"/>
    <w:rsid w:val="43F04F03"/>
    <w:rsid w:val="43F10091"/>
    <w:rsid w:val="44063D2F"/>
    <w:rsid w:val="440815E3"/>
    <w:rsid w:val="442F4343"/>
    <w:rsid w:val="444B10D2"/>
    <w:rsid w:val="445C6437"/>
    <w:rsid w:val="44625B0E"/>
    <w:rsid w:val="446F6583"/>
    <w:rsid w:val="447F2451"/>
    <w:rsid w:val="44834E64"/>
    <w:rsid w:val="448F073E"/>
    <w:rsid w:val="44BC6B3E"/>
    <w:rsid w:val="44C31480"/>
    <w:rsid w:val="44C332BA"/>
    <w:rsid w:val="44C66DA3"/>
    <w:rsid w:val="44CF7C11"/>
    <w:rsid w:val="44DF00B5"/>
    <w:rsid w:val="44E03F93"/>
    <w:rsid w:val="44E23E96"/>
    <w:rsid w:val="44F5797F"/>
    <w:rsid w:val="45012C39"/>
    <w:rsid w:val="450509C5"/>
    <w:rsid w:val="45055246"/>
    <w:rsid w:val="45067AB9"/>
    <w:rsid w:val="45446D17"/>
    <w:rsid w:val="45477686"/>
    <w:rsid w:val="454C5E6D"/>
    <w:rsid w:val="454E69F8"/>
    <w:rsid w:val="455E3233"/>
    <w:rsid w:val="45602BD5"/>
    <w:rsid w:val="4564028E"/>
    <w:rsid w:val="456820DD"/>
    <w:rsid w:val="457816C2"/>
    <w:rsid w:val="457C2DAF"/>
    <w:rsid w:val="457E2926"/>
    <w:rsid w:val="45851C41"/>
    <w:rsid w:val="459D62C6"/>
    <w:rsid w:val="459E7318"/>
    <w:rsid w:val="45A046E6"/>
    <w:rsid w:val="45B033FF"/>
    <w:rsid w:val="45CA0FFD"/>
    <w:rsid w:val="45D53959"/>
    <w:rsid w:val="45D75213"/>
    <w:rsid w:val="45D956D6"/>
    <w:rsid w:val="45E00E49"/>
    <w:rsid w:val="45E97873"/>
    <w:rsid w:val="45EC62C4"/>
    <w:rsid w:val="45FF64A7"/>
    <w:rsid w:val="460510BD"/>
    <w:rsid w:val="46182016"/>
    <w:rsid w:val="46232F72"/>
    <w:rsid w:val="46240A14"/>
    <w:rsid w:val="463612E3"/>
    <w:rsid w:val="46480C16"/>
    <w:rsid w:val="465F0C85"/>
    <w:rsid w:val="467468F0"/>
    <w:rsid w:val="46763D4F"/>
    <w:rsid w:val="467C376F"/>
    <w:rsid w:val="468B3E57"/>
    <w:rsid w:val="468D1DDB"/>
    <w:rsid w:val="46914C44"/>
    <w:rsid w:val="46993CE3"/>
    <w:rsid w:val="469B35FB"/>
    <w:rsid w:val="46A060B1"/>
    <w:rsid w:val="46CC53AC"/>
    <w:rsid w:val="46D422EE"/>
    <w:rsid w:val="471B422B"/>
    <w:rsid w:val="471D3A1D"/>
    <w:rsid w:val="4730511B"/>
    <w:rsid w:val="473F7062"/>
    <w:rsid w:val="477B0F0D"/>
    <w:rsid w:val="47895AAC"/>
    <w:rsid w:val="47AE6E24"/>
    <w:rsid w:val="47AF5033"/>
    <w:rsid w:val="47AF5E76"/>
    <w:rsid w:val="47B0160D"/>
    <w:rsid w:val="47BB0932"/>
    <w:rsid w:val="47C52A40"/>
    <w:rsid w:val="47C6668E"/>
    <w:rsid w:val="47D1618A"/>
    <w:rsid w:val="47D72EB4"/>
    <w:rsid w:val="47E54007"/>
    <w:rsid w:val="47F12C3B"/>
    <w:rsid w:val="48101F96"/>
    <w:rsid w:val="48190CB5"/>
    <w:rsid w:val="481C12E3"/>
    <w:rsid w:val="481E6111"/>
    <w:rsid w:val="482A1D7B"/>
    <w:rsid w:val="482F2215"/>
    <w:rsid w:val="483A4635"/>
    <w:rsid w:val="48450BE5"/>
    <w:rsid w:val="48580A64"/>
    <w:rsid w:val="485D2BDA"/>
    <w:rsid w:val="4889652E"/>
    <w:rsid w:val="488C32B3"/>
    <w:rsid w:val="488C57B9"/>
    <w:rsid w:val="48902AAE"/>
    <w:rsid w:val="4894193D"/>
    <w:rsid w:val="489D54E2"/>
    <w:rsid w:val="489F3750"/>
    <w:rsid w:val="48A21C13"/>
    <w:rsid w:val="48B911A8"/>
    <w:rsid w:val="48BE4673"/>
    <w:rsid w:val="48CB7E60"/>
    <w:rsid w:val="48D810F6"/>
    <w:rsid w:val="48F135BB"/>
    <w:rsid w:val="48FB4976"/>
    <w:rsid w:val="490D625C"/>
    <w:rsid w:val="49101787"/>
    <w:rsid w:val="4911097B"/>
    <w:rsid w:val="49143044"/>
    <w:rsid w:val="491950B6"/>
    <w:rsid w:val="491A378C"/>
    <w:rsid w:val="491C3C7B"/>
    <w:rsid w:val="491D05F0"/>
    <w:rsid w:val="49311426"/>
    <w:rsid w:val="493D491D"/>
    <w:rsid w:val="494269C3"/>
    <w:rsid w:val="494935CD"/>
    <w:rsid w:val="494E37C0"/>
    <w:rsid w:val="495E6DB1"/>
    <w:rsid w:val="49613ABA"/>
    <w:rsid w:val="4965469D"/>
    <w:rsid w:val="49821040"/>
    <w:rsid w:val="4984277F"/>
    <w:rsid w:val="49852F55"/>
    <w:rsid w:val="498B1224"/>
    <w:rsid w:val="498E1E68"/>
    <w:rsid w:val="499B7CD1"/>
    <w:rsid w:val="49A30162"/>
    <w:rsid w:val="49A46525"/>
    <w:rsid w:val="49A57D1D"/>
    <w:rsid w:val="49B75B66"/>
    <w:rsid w:val="49C552ED"/>
    <w:rsid w:val="49CA496C"/>
    <w:rsid w:val="49D75D85"/>
    <w:rsid w:val="49E51169"/>
    <w:rsid w:val="49EC5AED"/>
    <w:rsid w:val="49F520D5"/>
    <w:rsid w:val="4A080970"/>
    <w:rsid w:val="4A257075"/>
    <w:rsid w:val="4A3701D9"/>
    <w:rsid w:val="4A4F40DE"/>
    <w:rsid w:val="4A51624C"/>
    <w:rsid w:val="4A5C499A"/>
    <w:rsid w:val="4A6752FC"/>
    <w:rsid w:val="4A6D2460"/>
    <w:rsid w:val="4A841DDE"/>
    <w:rsid w:val="4A872F98"/>
    <w:rsid w:val="4A906482"/>
    <w:rsid w:val="4A9E4BE1"/>
    <w:rsid w:val="4AA056D9"/>
    <w:rsid w:val="4AAD25A4"/>
    <w:rsid w:val="4AB26141"/>
    <w:rsid w:val="4ABD2247"/>
    <w:rsid w:val="4ABD38DF"/>
    <w:rsid w:val="4ABE0527"/>
    <w:rsid w:val="4AC4285F"/>
    <w:rsid w:val="4AD3341D"/>
    <w:rsid w:val="4ADE38B6"/>
    <w:rsid w:val="4ADF59F6"/>
    <w:rsid w:val="4AE61A78"/>
    <w:rsid w:val="4AEA1F72"/>
    <w:rsid w:val="4B012625"/>
    <w:rsid w:val="4B0A258D"/>
    <w:rsid w:val="4B0B3E84"/>
    <w:rsid w:val="4B0F2CC3"/>
    <w:rsid w:val="4B1B6EFD"/>
    <w:rsid w:val="4B262FBD"/>
    <w:rsid w:val="4B370FE8"/>
    <w:rsid w:val="4B3C1AB4"/>
    <w:rsid w:val="4B4D66E4"/>
    <w:rsid w:val="4B4E4432"/>
    <w:rsid w:val="4B540B75"/>
    <w:rsid w:val="4B590330"/>
    <w:rsid w:val="4B7B2EE8"/>
    <w:rsid w:val="4B7F0C4E"/>
    <w:rsid w:val="4B8539BC"/>
    <w:rsid w:val="4B881333"/>
    <w:rsid w:val="4B940765"/>
    <w:rsid w:val="4B9A518E"/>
    <w:rsid w:val="4BA9399A"/>
    <w:rsid w:val="4BBD1AC5"/>
    <w:rsid w:val="4BC173BD"/>
    <w:rsid w:val="4BDD1CE7"/>
    <w:rsid w:val="4BE00EAA"/>
    <w:rsid w:val="4BE83CA4"/>
    <w:rsid w:val="4BF0400C"/>
    <w:rsid w:val="4BFD7704"/>
    <w:rsid w:val="4BFF518C"/>
    <w:rsid w:val="4C076F0A"/>
    <w:rsid w:val="4C0C5B01"/>
    <w:rsid w:val="4C13742B"/>
    <w:rsid w:val="4C1C3886"/>
    <w:rsid w:val="4C2413F9"/>
    <w:rsid w:val="4C2819F3"/>
    <w:rsid w:val="4C3B3A59"/>
    <w:rsid w:val="4C45769B"/>
    <w:rsid w:val="4C543CA6"/>
    <w:rsid w:val="4C5F4125"/>
    <w:rsid w:val="4C672A78"/>
    <w:rsid w:val="4C6B1E05"/>
    <w:rsid w:val="4C6F763D"/>
    <w:rsid w:val="4C8A7F6F"/>
    <w:rsid w:val="4C8D4D46"/>
    <w:rsid w:val="4C8F45FC"/>
    <w:rsid w:val="4C9004F4"/>
    <w:rsid w:val="4C955F8A"/>
    <w:rsid w:val="4CB52F89"/>
    <w:rsid w:val="4CC022E4"/>
    <w:rsid w:val="4CC133C8"/>
    <w:rsid w:val="4CC254A7"/>
    <w:rsid w:val="4CCB69F3"/>
    <w:rsid w:val="4CD52EB2"/>
    <w:rsid w:val="4CDA2EA6"/>
    <w:rsid w:val="4CE654D2"/>
    <w:rsid w:val="4CED2B8F"/>
    <w:rsid w:val="4CF20118"/>
    <w:rsid w:val="4CFC3AC7"/>
    <w:rsid w:val="4CFF5670"/>
    <w:rsid w:val="4D00539C"/>
    <w:rsid w:val="4D026722"/>
    <w:rsid w:val="4D062C8C"/>
    <w:rsid w:val="4D12529D"/>
    <w:rsid w:val="4D1E714A"/>
    <w:rsid w:val="4D275202"/>
    <w:rsid w:val="4D3168F8"/>
    <w:rsid w:val="4D3F3C70"/>
    <w:rsid w:val="4D40166B"/>
    <w:rsid w:val="4D4A711F"/>
    <w:rsid w:val="4D516E69"/>
    <w:rsid w:val="4D5367E9"/>
    <w:rsid w:val="4D6C6510"/>
    <w:rsid w:val="4D711F01"/>
    <w:rsid w:val="4D791C8E"/>
    <w:rsid w:val="4D82153A"/>
    <w:rsid w:val="4D8654B3"/>
    <w:rsid w:val="4D8A2731"/>
    <w:rsid w:val="4D9A6EE6"/>
    <w:rsid w:val="4DC62A07"/>
    <w:rsid w:val="4DCC3C75"/>
    <w:rsid w:val="4DDF6867"/>
    <w:rsid w:val="4E100DF1"/>
    <w:rsid w:val="4E2A05EB"/>
    <w:rsid w:val="4E37330F"/>
    <w:rsid w:val="4E3E6561"/>
    <w:rsid w:val="4E433610"/>
    <w:rsid w:val="4E4431E6"/>
    <w:rsid w:val="4E723728"/>
    <w:rsid w:val="4E76713F"/>
    <w:rsid w:val="4E7E6D10"/>
    <w:rsid w:val="4E905349"/>
    <w:rsid w:val="4EB04B15"/>
    <w:rsid w:val="4EB165E2"/>
    <w:rsid w:val="4EC57B64"/>
    <w:rsid w:val="4ED01737"/>
    <w:rsid w:val="4EDB3CF8"/>
    <w:rsid w:val="4EEA0738"/>
    <w:rsid w:val="4EEE51D5"/>
    <w:rsid w:val="4EF6066E"/>
    <w:rsid w:val="4EFD3566"/>
    <w:rsid w:val="4F021669"/>
    <w:rsid w:val="4F031448"/>
    <w:rsid w:val="4F3D4A9C"/>
    <w:rsid w:val="4F4101E9"/>
    <w:rsid w:val="4F422DFC"/>
    <w:rsid w:val="4F453316"/>
    <w:rsid w:val="4F4C1AE5"/>
    <w:rsid w:val="4F756960"/>
    <w:rsid w:val="4F79627E"/>
    <w:rsid w:val="4F7D39F2"/>
    <w:rsid w:val="4F824016"/>
    <w:rsid w:val="4F8F1B66"/>
    <w:rsid w:val="4F914B27"/>
    <w:rsid w:val="4F9942ED"/>
    <w:rsid w:val="4FBA7443"/>
    <w:rsid w:val="4FCD4165"/>
    <w:rsid w:val="4FCE58B4"/>
    <w:rsid w:val="4FEF38A8"/>
    <w:rsid w:val="4FF430B8"/>
    <w:rsid w:val="4FF66522"/>
    <w:rsid w:val="4FF9183F"/>
    <w:rsid w:val="50065FBC"/>
    <w:rsid w:val="50165783"/>
    <w:rsid w:val="50275021"/>
    <w:rsid w:val="502B175F"/>
    <w:rsid w:val="502D49EE"/>
    <w:rsid w:val="50624A89"/>
    <w:rsid w:val="50927F25"/>
    <w:rsid w:val="50944418"/>
    <w:rsid w:val="509C07CE"/>
    <w:rsid w:val="509F121E"/>
    <w:rsid w:val="50B364A1"/>
    <w:rsid w:val="50D43A28"/>
    <w:rsid w:val="50D948FD"/>
    <w:rsid w:val="50F60B7B"/>
    <w:rsid w:val="50FD53A6"/>
    <w:rsid w:val="51022015"/>
    <w:rsid w:val="51132472"/>
    <w:rsid w:val="513D0CF2"/>
    <w:rsid w:val="513F623D"/>
    <w:rsid w:val="514C6ECB"/>
    <w:rsid w:val="514E0FCC"/>
    <w:rsid w:val="515342AF"/>
    <w:rsid w:val="51647CBB"/>
    <w:rsid w:val="51650DE1"/>
    <w:rsid w:val="516F3FD6"/>
    <w:rsid w:val="518D3C5E"/>
    <w:rsid w:val="51AF2107"/>
    <w:rsid w:val="51B0352C"/>
    <w:rsid w:val="51C75C6B"/>
    <w:rsid w:val="51E62056"/>
    <w:rsid w:val="51E87E76"/>
    <w:rsid w:val="51F36279"/>
    <w:rsid w:val="52094D85"/>
    <w:rsid w:val="522423EB"/>
    <w:rsid w:val="522924AC"/>
    <w:rsid w:val="522E02E1"/>
    <w:rsid w:val="52315957"/>
    <w:rsid w:val="523B7768"/>
    <w:rsid w:val="523E16BE"/>
    <w:rsid w:val="523E2344"/>
    <w:rsid w:val="525723A9"/>
    <w:rsid w:val="525A4C65"/>
    <w:rsid w:val="52630896"/>
    <w:rsid w:val="52751A79"/>
    <w:rsid w:val="527B3CD2"/>
    <w:rsid w:val="527D5A5E"/>
    <w:rsid w:val="52817ABD"/>
    <w:rsid w:val="52870C3B"/>
    <w:rsid w:val="528C7324"/>
    <w:rsid w:val="528E573F"/>
    <w:rsid w:val="529632CC"/>
    <w:rsid w:val="529D59E5"/>
    <w:rsid w:val="52B460FE"/>
    <w:rsid w:val="52B77520"/>
    <w:rsid w:val="52B87D81"/>
    <w:rsid w:val="52CB3CF5"/>
    <w:rsid w:val="52CD178F"/>
    <w:rsid w:val="52D62EEF"/>
    <w:rsid w:val="52DC7C45"/>
    <w:rsid w:val="52F17419"/>
    <w:rsid w:val="53206C2F"/>
    <w:rsid w:val="5321026F"/>
    <w:rsid w:val="53245A06"/>
    <w:rsid w:val="532A2684"/>
    <w:rsid w:val="533C1E8B"/>
    <w:rsid w:val="53437104"/>
    <w:rsid w:val="53451891"/>
    <w:rsid w:val="534900C9"/>
    <w:rsid w:val="534F3BC1"/>
    <w:rsid w:val="5357244B"/>
    <w:rsid w:val="5363256C"/>
    <w:rsid w:val="537B3A4A"/>
    <w:rsid w:val="53873C09"/>
    <w:rsid w:val="5388603E"/>
    <w:rsid w:val="53992807"/>
    <w:rsid w:val="5399525B"/>
    <w:rsid w:val="539A001E"/>
    <w:rsid w:val="53AB787F"/>
    <w:rsid w:val="53B13E7A"/>
    <w:rsid w:val="53C62347"/>
    <w:rsid w:val="53E966BF"/>
    <w:rsid w:val="53F31ADD"/>
    <w:rsid w:val="53F4304B"/>
    <w:rsid w:val="541940EC"/>
    <w:rsid w:val="5431201A"/>
    <w:rsid w:val="543A0D78"/>
    <w:rsid w:val="54437B19"/>
    <w:rsid w:val="54471A9D"/>
    <w:rsid w:val="544D2913"/>
    <w:rsid w:val="545216B7"/>
    <w:rsid w:val="54586ABF"/>
    <w:rsid w:val="546F1C0D"/>
    <w:rsid w:val="54757DBE"/>
    <w:rsid w:val="547C087D"/>
    <w:rsid w:val="54833901"/>
    <w:rsid w:val="54840970"/>
    <w:rsid w:val="548C0359"/>
    <w:rsid w:val="54B31BA6"/>
    <w:rsid w:val="54B5777D"/>
    <w:rsid w:val="54B624E0"/>
    <w:rsid w:val="54C300D2"/>
    <w:rsid w:val="54D449E4"/>
    <w:rsid w:val="54E6670E"/>
    <w:rsid w:val="54F4196F"/>
    <w:rsid w:val="54F779A4"/>
    <w:rsid w:val="54FA4907"/>
    <w:rsid w:val="54FD721B"/>
    <w:rsid w:val="551152D3"/>
    <w:rsid w:val="552062D6"/>
    <w:rsid w:val="55237280"/>
    <w:rsid w:val="552C5D7A"/>
    <w:rsid w:val="552E3484"/>
    <w:rsid w:val="55336CE2"/>
    <w:rsid w:val="55460570"/>
    <w:rsid w:val="554B1E5D"/>
    <w:rsid w:val="555005FF"/>
    <w:rsid w:val="555313C9"/>
    <w:rsid w:val="55601EB6"/>
    <w:rsid w:val="556B2C3D"/>
    <w:rsid w:val="55A516CE"/>
    <w:rsid w:val="55D70032"/>
    <w:rsid w:val="55DE513A"/>
    <w:rsid w:val="55E37AD6"/>
    <w:rsid w:val="55E41999"/>
    <w:rsid w:val="55EA2A9A"/>
    <w:rsid w:val="55F36BDD"/>
    <w:rsid w:val="55F61722"/>
    <w:rsid w:val="5603249A"/>
    <w:rsid w:val="5606530B"/>
    <w:rsid w:val="562A410A"/>
    <w:rsid w:val="564606FA"/>
    <w:rsid w:val="56894598"/>
    <w:rsid w:val="568C6A40"/>
    <w:rsid w:val="569A04DE"/>
    <w:rsid w:val="569E66BC"/>
    <w:rsid w:val="56B11AA9"/>
    <w:rsid w:val="56B54BC9"/>
    <w:rsid w:val="56B55B7E"/>
    <w:rsid w:val="56E132EC"/>
    <w:rsid w:val="56EB4AD7"/>
    <w:rsid w:val="570A32DF"/>
    <w:rsid w:val="571A3D2D"/>
    <w:rsid w:val="572C4CD6"/>
    <w:rsid w:val="57404118"/>
    <w:rsid w:val="57471611"/>
    <w:rsid w:val="575718B8"/>
    <w:rsid w:val="57676B9E"/>
    <w:rsid w:val="578B7A28"/>
    <w:rsid w:val="578F0D4B"/>
    <w:rsid w:val="579B2035"/>
    <w:rsid w:val="57A81CD9"/>
    <w:rsid w:val="57A827EE"/>
    <w:rsid w:val="57AB595F"/>
    <w:rsid w:val="57AE715B"/>
    <w:rsid w:val="57BA4078"/>
    <w:rsid w:val="57C02F91"/>
    <w:rsid w:val="57C63F07"/>
    <w:rsid w:val="57E547F0"/>
    <w:rsid w:val="57E76953"/>
    <w:rsid w:val="57EE50E6"/>
    <w:rsid w:val="5804263F"/>
    <w:rsid w:val="581F31CB"/>
    <w:rsid w:val="58245C47"/>
    <w:rsid w:val="583B3392"/>
    <w:rsid w:val="58521B9C"/>
    <w:rsid w:val="58582238"/>
    <w:rsid w:val="5867087C"/>
    <w:rsid w:val="58691898"/>
    <w:rsid w:val="58753BF8"/>
    <w:rsid w:val="589C4FC9"/>
    <w:rsid w:val="58A7062D"/>
    <w:rsid w:val="58B325DD"/>
    <w:rsid w:val="58C2374C"/>
    <w:rsid w:val="58D074F8"/>
    <w:rsid w:val="58D8161B"/>
    <w:rsid w:val="58EF5BBF"/>
    <w:rsid w:val="58F2124A"/>
    <w:rsid w:val="58F43805"/>
    <w:rsid w:val="58FA6992"/>
    <w:rsid w:val="59043B94"/>
    <w:rsid w:val="59081ECB"/>
    <w:rsid w:val="590A1E42"/>
    <w:rsid w:val="591912C5"/>
    <w:rsid w:val="593117FC"/>
    <w:rsid w:val="594205C3"/>
    <w:rsid w:val="59494061"/>
    <w:rsid w:val="59582EA8"/>
    <w:rsid w:val="595A3EC4"/>
    <w:rsid w:val="59603E50"/>
    <w:rsid w:val="59662D19"/>
    <w:rsid w:val="596F5C81"/>
    <w:rsid w:val="5977339C"/>
    <w:rsid w:val="597C2D5D"/>
    <w:rsid w:val="5981361E"/>
    <w:rsid w:val="59850176"/>
    <w:rsid w:val="59860D71"/>
    <w:rsid w:val="598D495F"/>
    <w:rsid w:val="59AE4830"/>
    <w:rsid w:val="59B02D4F"/>
    <w:rsid w:val="59CA4907"/>
    <w:rsid w:val="59CF3F8D"/>
    <w:rsid w:val="59DE0491"/>
    <w:rsid w:val="59E249C7"/>
    <w:rsid w:val="59F81355"/>
    <w:rsid w:val="5A046BB0"/>
    <w:rsid w:val="5A076C84"/>
    <w:rsid w:val="5A0B2453"/>
    <w:rsid w:val="5A151587"/>
    <w:rsid w:val="5A1D1556"/>
    <w:rsid w:val="5A220F5A"/>
    <w:rsid w:val="5A2448E0"/>
    <w:rsid w:val="5A286AEB"/>
    <w:rsid w:val="5A4D1305"/>
    <w:rsid w:val="5A5A78FA"/>
    <w:rsid w:val="5A5C504D"/>
    <w:rsid w:val="5A6523A8"/>
    <w:rsid w:val="5A68047C"/>
    <w:rsid w:val="5A68712D"/>
    <w:rsid w:val="5A6950B3"/>
    <w:rsid w:val="5A802349"/>
    <w:rsid w:val="5A827527"/>
    <w:rsid w:val="5A895605"/>
    <w:rsid w:val="5A900A68"/>
    <w:rsid w:val="5AA1483A"/>
    <w:rsid w:val="5AA62EB1"/>
    <w:rsid w:val="5AB11D1D"/>
    <w:rsid w:val="5AB94ACA"/>
    <w:rsid w:val="5AC86586"/>
    <w:rsid w:val="5AD32846"/>
    <w:rsid w:val="5AE42513"/>
    <w:rsid w:val="5AF75FC8"/>
    <w:rsid w:val="5B0910D1"/>
    <w:rsid w:val="5B1E7496"/>
    <w:rsid w:val="5B3964A5"/>
    <w:rsid w:val="5B47786B"/>
    <w:rsid w:val="5B4F0CFB"/>
    <w:rsid w:val="5B517F67"/>
    <w:rsid w:val="5B6449F1"/>
    <w:rsid w:val="5B66023E"/>
    <w:rsid w:val="5B7245C1"/>
    <w:rsid w:val="5B762FDB"/>
    <w:rsid w:val="5B836C76"/>
    <w:rsid w:val="5BA37EB2"/>
    <w:rsid w:val="5BAB1694"/>
    <w:rsid w:val="5BBD233E"/>
    <w:rsid w:val="5BC86F95"/>
    <w:rsid w:val="5BD522F4"/>
    <w:rsid w:val="5BD555B1"/>
    <w:rsid w:val="5BD6208B"/>
    <w:rsid w:val="5BD80337"/>
    <w:rsid w:val="5BDB54EC"/>
    <w:rsid w:val="5BDB5A1E"/>
    <w:rsid w:val="5BE96EF2"/>
    <w:rsid w:val="5BEC51F6"/>
    <w:rsid w:val="5C0C7690"/>
    <w:rsid w:val="5C16128F"/>
    <w:rsid w:val="5C1E636A"/>
    <w:rsid w:val="5C2D5C78"/>
    <w:rsid w:val="5C3110C7"/>
    <w:rsid w:val="5C32720D"/>
    <w:rsid w:val="5C365F5F"/>
    <w:rsid w:val="5C3D684C"/>
    <w:rsid w:val="5C4D12C9"/>
    <w:rsid w:val="5C617A1B"/>
    <w:rsid w:val="5C654C7C"/>
    <w:rsid w:val="5C70708C"/>
    <w:rsid w:val="5CA94C2C"/>
    <w:rsid w:val="5CAB577B"/>
    <w:rsid w:val="5CAD1830"/>
    <w:rsid w:val="5CB04005"/>
    <w:rsid w:val="5CB627EE"/>
    <w:rsid w:val="5CC00E54"/>
    <w:rsid w:val="5CDB3127"/>
    <w:rsid w:val="5CE64B74"/>
    <w:rsid w:val="5D00347B"/>
    <w:rsid w:val="5D14747F"/>
    <w:rsid w:val="5D26752B"/>
    <w:rsid w:val="5D296A81"/>
    <w:rsid w:val="5D3A2447"/>
    <w:rsid w:val="5D4018F8"/>
    <w:rsid w:val="5D4035B2"/>
    <w:rsid w:val="5D4449C4"/>
    <w:rsid w:val="5D4A3964"/>
    <w:rsid w:val="5D53728C"/>
    <w:rsid w:val="5D5E6005"/>
    <w:rsid w:val="5D6E21A2"/>
    <w:rsid w:val="5D89499F"/>
    <w:rsid w:val="5D9561E1"/>
    <w:rsid w:val="5D9C3E5E"/>
    <w:rsid w:val="5DAA4EC7"/>
    <w:rsid w:val="5DB214C5"/>
    <w:rsid w:val="5DB91734"/>
    <w:rsid w:val="5DBA477C"/>
    <w:rsid w:val="5DC20B1D"/>
    <w:rsid w:val="5DC300AA"/>
    <w:rsid w:val="5DD14DBC"/>
    <w:rsid w:val="5DD766A8"/>
    <w:rsid w:val="5DDB73A7"/>
    <w:rsid w:val="5DE80305"/>
    <w:rsid w:val="5DF51618"/>
    <w:rsid w:val="5DFB55CF"/>
    <w:rsid w:val="5E1F2399"/>
    <w:rsid w:val="5E2379CD"/>
    <w:rsid w:val="5E2F54BA"/>
    <w:rsid w:val="5E3F0359"/>
    <w:rsid w:val="5E43750E"/>
    <w:rsid w:val="5E551056"/>
    <w:rsid w:val="5E6F0D06"/>
    <w:rsid w:val="5E707204"/>
    <w:rsid w:val="5E775A0B"/>
    <w:rsid w:val="5E7E7081"/>
    <w:rsid w:val="5E99354B"/>
    <w:rsid w:val="5EA457C2"/>
    <w:rsid w:val="5EAB7002"/>
    <w:rsid w:val="5EAD098C"/>
    <w:rsid w:val="5ED4682D"/>
    <w:rsid w:val="5EDD23FD"/>
    <w:rsid w:val="5EDE310F"/>
    <w:rsid w:val="5EE0212C"/>
    <w:rsid w:val="5EEA5B9A"/>
    <w:rsid w:val="5EF502CB"/>
    <w:rsid w:val="5F0476B1"/>
    <w:rsid w:val="5F0E61E2"/>
    <w:rsid w:val="5F126217"/>
    <w:rsid w:val="5F1A2DA1"/>
    <w:rsid w:val="5F213240"/>
    <w:rsid w:val="5F23630F"/>
    <w:rsid w:val="5F346F9C"/>
    <w:rsid w:val="5F377AF1"/>
    <w:rsid w:val="5F431867"/>
    <w:rsid w:val="5F4C59F0"/>
    <w:rsid w:val="5F526339"/>
    <w:rsid w:val="5F5F784B"/>
    <w:rsid w:val="5F624A77"/>
    <w:rsid w:val="5F7E3CB3"/>
    <w:rsid w:val="5F801807"/>
    <w:rsid w:val="5F821F7C"/>
    <w:rsid w:val="5F823ADA"/>
    <w:rsid w:val="5F8A3FD4"/>
    <w:rsid w:val="5F93658F"/>
    <w:rsid w:val="5F9772D9"/>
    <w:rsid w:val="5FA07D3F"/>
    <w:rsid w:val="5FA56D42"/>
    <w:rsid w:val="5FAE2B4A"/>
    <w:rsid w:val="5FB20F04"/>
    <w:rsid w:val="5FD36F31"/>
    <w:rsid w:val="5FD43C71"/>
    <w:rsid w:val="5FD95C80"/>
    <w:rsid w:val="5FDA01D2"/>
    <w:rsid w:val="5FDF2917"/>
    <w:rsid w:val="60083202"/>
    <w:rsid w:val="600E3782"/>
    <w:rsid w:val="601160F7"/>
    <w:rsid w:val="60212048"/>
    <w:rsid w:val="602A4074"/>
    <w:rsid w:val="603A06B8"/>
    <w:rsid w:val="604A47B0"/>
    <w:rsid w:val="60532A0A"/>
    <w:rsid w:val="6074583D"/>
    <w:rsid w:val="607E138E"/>
    <w:rsid w:val="608B0FDC"/>
    <w:rsid w:val="60972D21"/>
    <w:rsid w:val="60A04660"/>
    <w:rsid w:val="60B3336E"/>
    <w:rsid w:val="60C71460"/>
    <w:rsid w:val="60CD68D6"/>
    <w:rsid w:val="60D654DF"/>
    <w:rsid w:val="60F47E42"/>
    <w:rsid w:val="60F7250A"/>
    <w:rsid w:val="612A0911"/>
    <w:rsid w:val="612D4603"/>
    <w:rsid w:val="613A075D"/>
    <w:rsid w:val="614110EA"/>
    <w:rsid w:val="614B1D68"/>
    <w:rsid w:val="615063D5"/>
    <w:rsid w:val="61556C1F"/>
    <w:rsid w:val="61644365"/>
    <w:rsid w:val="61747685"/>
    <w:rsid w:val="617E7B3B"/>
    <w:rsid w:val="617F5C73"/>
    <w:rsid w:val="61942F1A"/>
    <w:rsid w:val="6196245E"/>
    <w:rsid w:val="619924CA"/>
    <w:rsid w:val="61994BD9"/>
    <w:rsid w:val="619A7F6F"/>
    <w:rsid w:val="619C5BFA"/>
    <w:rsid w:val="61B13FDD"/>
    <w:rsid w:val="61BA2EEB"/>
    <w:rsid w:val="61C06948"/>
    <w:rsid w:val="61D17D0D"/>
    <w:rsid w:val="61DA77E4"/>
    <w:rsid w:val="61E84DD5"/>
    <w:rsid w:val="61F046CE"/>
    <w:rsid w:val="61F476BD"/>
    <w:rsid w:val="62071A8F"/>
    <w:rsid w:val="620948D5"/>
    <w:rsid w:val="621424F5"/>
    <w:rsid w:val="621B4BFD"/>
    <w:rsid w:val="621C058F"/>
    <w:rsid w:val="622F1CCD"/>
    <w:rsid w:val="625D057E"/>
    <w:rsid w:val="626161CC"/>
    <w:rsid w:val="626F055F"/>
    <w:rsid w:val="62797337"/>
    <w:rsid w:val="627A68C4"/>
    <w:rsid w:val="62985132"/>
    <w:rsid w:val="6299658F"/>
    <w:rsid w:val="62A23F53"/>
    <w:rsid w:val="62A54DBF"/>
    <w:rsid w:val="62AD2312"/>
    <w:rsid w:val="62C2054F"/>
    <w:rsid w:val="62CB2D69"/>
    <w:rsid w:val="62D92C41"/>
    <w:rsid w:val="62DA182D"/>
    <w:rsid w:val="62DB55CB"/>
    <w:rsid w:val="62E05099"/>
    <w:rsid w:val="62E621B7"/>
    <w:rsid w:val="62EA4B04"/>
    <w:rsid w:val="630169AD"/>
    <w:rsid w:val="63024B52"/>
    <w:rsid w:val="630424A1"/>
    <w:rsid w:val="630B2E8B"/>
    <w:rsid w:val="631420CD"/>
    <w:rsid w:val="631E5D9B"/>
    <w:rsid w:val="632E4E5F"/>
    <w:rsid w:val="63305F05"/>
    <w:rsid w:val="63357323"/>
    <w:rsid w:val="633B5558"/>
    <w:rsid w:val="633D0E74"/>
    <w:rsid w:val="6351101C"/>
    <w:rsid w:val="635D18D0"/>
    <w:rsid w:val="636A0DA0"/>
    <w:rsid w:val="6389163D"/>
    <w:rsid w:val="63A36BB3"/>
    <w:rsid w:val="63B15B76"/>
    <w:rsid w:val="63B703E6"/>
    <w:rsid w:val="63BE7B49"/>
    <w:rsid w:val="63C31DF8"/>
    <w:rsid w:val="63C434BD"/>
    <w:rsid w:val="63DA628B"/>
    <w:rsid w:val="63DE1344"/>
    <w:rsid w:val="63E22C6F"/>
    <w:rsid w:val="63F77320"/>
    <w:rsid w:val="63FA2063"/>
    <w:rsid w:val="63FE523E"/>
    <w:rsid w:val="63FE5B3B"/>
    <w:rsid w:val="63FF6BD7"/>
    <w:rsid w:val="64033B69"/>
    <w:rsid w:val="64040BD0"/>
    <w:rsid w:val="64081DA8"/>
    <w:rsid w:val="641C6179"/>
    <w:rsid w:val="642267B5"/>
    <w:rsid w:val="6433356A"/>
    <w:rsid w:val="64572A4D"/>
    <w:rsid w:val="645A2578"/>
    <w:rsid w:val="648455FF"/>
    <w:rsid w:val="648808C6"/>
    <w:rsid w:val="648A5C99"/>
    <w:rsid w:val="648C1C40"/>
    <w:rsid w:val="64931139"/>
    <w:rsid w:val="649A1899"/>
    <w:rsid w:val="64A460A6"/>
    <w:rsid w:val="64B60B46"/>
    <w:rsid w:val="64B6267F"/>
    <w:rsid w:val="64C93812"/>
    <w:rsid w:val="64DC66EF"/>
    <w:rsid w:val="64E01D0A"/>
    <w:rsid w:val="64EE798A"/>
    <w:rsid w:val="64EF5074"/>
    <w:rsid w:val="64F02CE1"/>
    <w:rsid w:val="64F854BF"/>
    <w:rsid w:val="64FF44B8"/>
    <w:rsid w:val="64FF5F19"/>
    <w:rsid w:val="65053972"/>
    <w:rsid w:val="651E0DEA"/>
    <w:rsid w:val="65350495"/>
    <w:rsid w:val="65397BA0"/>
    <w:rsid w:val="654A3ACC"/>
    <w:rsid w:val="655C6061"/>
    <w:rsid w:val="655F6123"/>
    <w:rsid w:val="65640431"/>
    <w:rsid w:val="65655D7B"/>
    <w:rsid w:val="656947A7"/>
    <w:rsid w:val="656F100B"/>
    <w:rsid w:val="657C2CBA"/>
    <w:rsid w:val="657F13FB"/>
    <w:rsid w:val="65815FCA"/>
    <w:rsid w:val="65915F79"/>
    <w:rsid w:val="659234C5"/>
    <w:rsid w:val="659D79B1"/>
    <w:rsid w:val="65A10F61"/>
    <w:rsid w:val="65AE50DD"/>
    <w:rsid w:val="65B22746"/>
    <w:rsid w:val="65C01F4F"/>
    <w:rsid w:val="65C60612"/>
    <w:rsid w:val="65C74A88"/>
    <w:rsid w:val="65D01591"/>
    <w:rsid w:val="66023A82"/>
    <w:rsid w:val="660A4109"/>
    <w:rsid w:val="660E14D9"/>
    <w:rsid w:val="66165D6B"/>
    <w:rsid w:val="661B0BA1"/>
    <w:rsid w:val="66503E63"/>
    <w:rsid w:val="666F290F"/>
    <w:rsid w:val="667B359A"/>
    <w:rsid w:val="6687387A"/>
    <w:rsid w:val="66876520"/>
    <w:rsid w:val="668B2BBD"/>
    <w:rsid w:val="6695674C"/>
    <w:rsid w:val="6696789C"/>
    <w:rsid w:val="66A149F9"/>
    <w:rsid w:val="66A339F7"/>
    <w:rsid w:val="66A77C56"/>
    <w:rsid w:val="66C34606"/>
    <w:rsid w:val="66CB698A"/>
    <w:rsid w:val="66CF4686"/>
    <w:rsid w:val="66CF7753"/>
    <w:rsid w:val="66E35D36"/>
    <w:rsid w:val="66EF4189"/>
    <w:rsid w:val="66F22E7D"/>
    <w:rsid w:val="67065D51"/>
    <w:rsid w:val="670A773B"/>
    <w:rsid w:val="671A29B2"/>
    <w:rsid w:val="67261151"/>
    <w:rsid w:val="672D440C"/>
    <w:rsid w:val="6730651C"/>
    <w:rsid w:val="674971D7"/>
    <w:rsid w:val="674D3E86"/>
    <w:rsid w:val="674F1322"/>
    <w:rsid w:val="67572342"/>
    <w:rsid w:val="675D40F2"/>
    <w:rsid w:val="676F1681"/>
    <w:rsid w:val="677915A1"/>
    <w:rsid w:val="67817413"/>
    <w:rsid w:val="6785100F"/>
    <w:rsid w:val="67864653"/>
    <w:rsid w:val="67915B32"/>
    <w:rsid w:val="67980CB0"/>
    <w:rsid w:val="67A25093"/>
    <w:rsid w:val="67BA2299"/>
    <w:rsid w:val="67D5540A"/>
    <w:rsid w:val="67ED74E8"/>
    <w:rsid w:val="68060ADC"/>
    <w:rsid w:val="68074D5E"/>
    <w:rsid w:val="680D7CA7"/>
    <w:rsid w:val="6810638C"/>
    <w:rsid w:val="6816778A"/>
    <w:rsid w:val="6819325C"/>
    <w:rsid w:val="682A4AAF"/>
    <w:rsid w:val="68531BD4"/>
    <w:rsid w:val="68622670"/>
    <w:rsid w:val="6879090D"/>
    <w:rsid w:val="687B3D3B"/>
    <w:rsid w:val="687D4DB8"/>
    <w:rsid w:val="68843942"/>
    <w:rsid w:val="68850980"/>
    <w:rsid w:val="68970C73"/>
    <w:rsid w:val="68A40455"/>
    <w:rsid w:val="68A4117D"/>
    <w:rsid w:val="68A51946"/>
    <w:rsid w:val="68B06EB9"/>
    <w:rsid w:val="68B45206"/>
    <w:rsid w:val="68B96DFE"/>
    <w:rsid w:val="68BD2204"/>
    <w:rsid w:val="68BE4410"/>
    <w:rsid w:val="68C76647"/>
    <w:rsid w:val="68D961FC"/>
    <w:rsid w:val="68EC4299"/>
    <w:rsid w:val="68FD2200"/>
    <w:rsid w:val="690A2355"/>
    <w:rsid w:val="691F20AE"/>
    <w:rsid w:val="69223424"/>
    <w:rsid w:val="692D565E"/>
    <w:rsid w:val="693B2C1E"/>
    <w:rsid w:val="6942033B"/>
    <w:rsid w:val="694A707E"/>
    <w:rsid w:val="694C11D5"/>
    <w:rsid w:val="69522FD1"/>
    <w:rsid w:val="69567115"/>
    <w:rsid w:val="6960392E"/>
    <w:rsid w:val="69673CE7"/>
    <w:rsid w:val="696C2DA1"/>
    <w:rsid w:val="6971153E"/>
    <w:rsid w:val="69747B00"/>
    <w:rsid w:val="69773E17"/>
    <w:rsid w:val="69805D4E"/>
    <w:rsid w:val="69880C72"/>
    <w:rsid w:val="698F0BFF"/>
    <w:rsid w:val="69BD46FB"/>
    <w:rsid w:val="69E204A1"/>
    <w:rsid w:val="69E213FC"/>
    <w:rsid w:val="6A0F6CF3"/>
    <w:rsid w:val="6A214199"/>
    <w:rsid w:val="6A2B3B65"/>
    <w:rsid w:val="6A305C87"/>
    <w:rsid w:val="6A3C116F"/>
    <w:rsid w:val="6A520AE8"/>
    <w:rsid w:val="6A597186"/>
    <w:rsid w:val="6A5C4881"/>
    <w:rsid w:val="6A7777BF"/>
    <w:rsid w:val="6A7C373E"/>
    <w:rsid w:val="6A8049E0"/>
    <w:rsid w:val="6A9015E8"/>
    <w:rsid w:val="6A9A2891"/>
    <w:rsid w:val="6AA021CC"/>
    <w:rsid w:val="6AA32039"/>
    <w:rsid w:val="6AAB18A3"/>
    <w:rsid w:val="6AB5086B"/>
    <w:rsid w:val="6AB9640C"/>
    <w:rsid w:val="6AC00034"/>
    <w:rsid w:val="6AE46DC2"/>
    <w:rsid w:val="6AEF2454"/>
    <w:rsid w:val="6AF14EAC"/>
    <w:rsid w:val="6AFB4A15"/>
    <w:rsid w:val="6B1743F1"/>
    <w:rsid w:val="6B187917"/>
    <w:rsid w:val="6B187F6F"/>
    <w:rsid w:val="6B1D2CFD"/>
    <w:rsid w:val="6B3446A8"/>
    <w:rsid w:val="6B42165C"/>
    <w:rsid w:val="6B471CA6"/>
    <w:rsid w:val="6B5B0442"/>
    <w:rsid w:val="6B654D18"/>
    <w:rsid w:val="6B6E59D0"/>
    <w:rsid w:val="6B730707"/>
    <w:rsid w:val="6B7314DB"/>
    <w:rsid w:val="6B864337"/>
    <w:rsid w:val="6B8954E7"/>
    <w:rsid w:val="6BA14864"/>
    <w:rsid w:val="6BB37252"/>
    <w:rsid w:val="6BB75CB0"/>
    <w:rsid w:val="6BBB043B"/>
    <w:rsid w:val="6BBC1CFD"/>
    <w:rsid w:val="6BBF0ACA"/>
    <w:rsid w:val="6BC17C12"/>
    <w:rsid w:val="6BC313A6"/>
    <w:rsid w:val="6BC4795B"/>
    <w:rsid w:val="6BDB7A08"/>
    <w:rsid w:val="6BE21565"/>
    <w:rsid w:val="6BE45639"/>
    <w:rsid w:val="6BE52585"/>
    <w:rsid w:val="6BEF5E86"/>
    <w:rsid w:val="6C133FB5"/>
    <w:rsid w:val="6C1B665F"/>
    <w:rsid w:val="6C1D19DB"/>
    <w:rsid w:val="6C1D330C"/>
    <w:rsid w:val="6C3874CD"/>
    <w:rsid w:val="6C422AD6"/>
    <w:rsid w:val="6C4A7373"/>
    <w:rsid w:val="6C5015EA"/>
    <w:rsid w:val="6C604FB9"/>
    <w:rsid w:val="6C616618"/>
    <w:rsid w:val="6C675476"/>
    <w:rsid w:val="6C78696A"/>
    <w:rsid w:val="6C871B52"/>
    <w:rsid w:val="6C905AD3"/>
    <w:rsid w:val="6CA31AAE"/>
    <w:rsid w:val="6CA70893"/>
    <w:rsid w:val="6CD46589"/>
    <w:rsid w:val="6CD70A4E"/>
    <w:rsid w:val="6CEC02CD"/>
    <w:rsid w:val="6CFF0AD7"/>
    <w:rsid w:val="6D04391C"/>
    <w:rsid w:val="6D056F25"/>
    <w:rsid w:val="6D0B5DFE"/>
    <w:rsid w:val="6D1B52DB"/>
    <w:rsid w:val="6D204798"/>
    <w:rsid w:val="6D365E48"/>
    <w:rsid w:val="6D47476D"/>
    <w:rsid w:val="6D492913"/>
    <w:rsid w:val="6D637F89"/>
    <w:rsid w:val="6D671944"/>
    <w:rsid w:val="6D6A783E"/>
    <w:rsid w:val="6D775D18"/>
    <w:rsid w:val="6D7A7273"/>
    <w:rsid w:val="6D8A3B88"/>
    <w:rsid w:val="6D9F538D"/>
    <w:rsid w:val="6DCD6C3C"/>
    <w:rsid w:val="6DD761A5"/>
    <w:rsid w:val="6DD90554"/>
    <w:rsid w:val="6DF2697A"/>
    <w:rsid w:val="6DFD1099"/>
    <w:rsid w:val="6E136D53"/>
    <w:rsid w:val="6E352E93"/>
    <w:rsid w:val="6E482368"/>
    <w:rsid w:val="6E4B6EE1"/>
    <w:rsid w:val="6E6C64E2"/>
    <w:rsid w:val="6E7D48C5"/>
    <w:rsid w:val="6E9629AC"/>
    <w:rsid w:val="6E9A5FB2"/>
    <w:rsid w:val="6EAB6495"/>
    <w:rsid w:val="6EB76345"/>
    <w:rsid w:val="6EBE2B32"/>
    <w:rsid w:val="6ED157D9"/>
    <w:rsid w:val="6EDE1B08"/>
    <w:rsid w:val="6EE14779"/>
    <w:rsid w:val="6F045F16"/>
    <w:rsid w:val="6F23000C"/>
    <w:rsid w:val="6F24357D"/>
    <w:rsid w:val="6F312822"/>
    <w:rsid w:val="6F380A8D"/>
    <w:rsid w:val="6F3C4426"/>
    <w:rsid w:val="6F3D0A45"/>
    <w:rsid w:val="6F476ABE"/>
    <w:rsid w:val="6F4C0D99"/>
    <w:rsid w:val="6F505525"/>
    <w:rsid w:val="6F583F1C"/>
    <w:rsid w:val="6F5A77F6"/>
    <w:rsid w:val="6F5F75A8"/>
    <w:rsid w:val="6F6A5E12"/>
    <w:rsid w:val="6F7C3ABF"/>
    <w:rsid w:val="6FA92F92"/>
    <w:rsid w:val="6FAA052A"/>
    <w:rsid w:val="6FAB2584"/>
    <w:rsid w:val="6FB31E25"/>
    <w:rsid w:val="6FBF14E9"/>
    <w:rsid w:val="6FCE214A"/>
    <w:rsid w:val="6FD5779B"/>
    <w:rsid w:val="6FD72705"/>
    <w:rsid w:val="6FD870FF"/>
    <w:rsid w:val="6FE069B6"/>
    <w:rsid w:val="6FE66DC4"/>
    <w:rsid w:val="700527C2"/>
    <w:rsid w:val="700A69EA"/>
    <w:rsid w:val="70125CC4"/>
    <w:rsid w:val="70144014"/>
    <w:rsid w:val="70162EB1"/>
    <w:rsid w:val="701B46A0"/>
    <w:rsid w:val="703A63E5"/>
    <w:rsid w:val="703A70F4"/>
    <w:rsid w:val="70497060"/>
    <w:rsid w:val="706D166D"/>
    <w:rsid w:val="70701BBA"/>
    <w:rsid w:val="70775B68"/>
    <w:rsid w:val="708519D7"/>
    <w:rsid w:val="708D7E9A"/>
    <w:rsid w:val="70A97296"/>
    <w:rsid w:val="70AA0B22"/>
    <w:rsid w:val="70B26E89"/>
    <w:rsid w:val="70B62C1C"/>
    <w:rsid w:val="70C006A9"/>
    <w:rsid w:val="70C76B6E"/>
    <w:rsid w:val="70CA62A6"/>
    <w:rsid w:val="70D75771"/>
    <w:rsid w:val="70DB344A"/>
    <w:rsid w:val="70E23A92"/>
    <w:rsid w:val="70E27CDF"/>
    <w:rsid w:val="71017668"/>
    <w:rsid w:val="710A7D12"/>
    <w:rsid w:val="7118149F"/>
    <w:rsid w:val="71456565"/>
    <w:rsid w:val="7157500C"/>
    <w:rsid w:val="715766B7"/>
    <w:rsid w:val="7171171E"/>
    <w:rsid w:val="71784193"/>
    <w:rsid w:val="71896C3A"/>
    <w:rsid w:val="71917C40"/>
    <w:rsid w:val="719260AB"/>
    <w:rsid w:val="71965942"/>
    <w:rsid w:val="71A841E7"/>
    <w:rsid w:val="71AB5664"/>
    <w:rsid w:val="71C260B1"/>
    <w:rsid w:val="71CF6CF6"/>
    <w:rsid w:val="71D86E76"/>
    <w:rsid w:val="71E015E7"/>
    <w:rsid w:val="71E75BBC"/>
    <w:rsid w:val="71EF41DB"/>
    <w:rsid w:val="71F26F91"/>
    <w:rsid w:val="71FA4B0E"/>
    <w:rsid w:val="720E2FDD"/>
    <w:rsid w:val="7236557A"/>
    <w:rsid w:val="723734EC"/>
    <w:rsid w:val="723855CC"/>
    <w:rsid w:val="72394E2D"/>
    <w:rsid w:val="72431C07"/>
    <w:rsid w:val="7244463D"/>
    <w:rsid w:val="724D28B8"/>
    <w:rsid w:val="7258180E"/>
    <w:rsid w:val="725939BC"/>
    <w:rsid w:val="72597AE8"/>
    <w:rsid w:val="72733368"/>
    <w:rsid w:val="727D76B5"/>
    <w:rsid w:val="72810A0A"/>
    <w:rsid w:val="72814268"/>
    <w:rsid w:val="729A492B"/>
    <w:rsid w:val="729F4481"/>
    <w:rsid w:val="72B9704F"/>
    <w:rsid w:val="72BD1E1C"/>
    <w:rsid w:val="72BE0809"/>
    <w:rsid w:val="72C52000"/>
    <w:rsid w:val="72E25EA4"/>
    <w:rsid w:val="72EB1754"/>
    <w:rsid w:val="7300546B"/>
    <w:rsid w:val="7306588A"/>
    <w:rsid w:val="73397A20"/>
    <w:rsid w:val="734034CA"/>
    <w:rsid w:val="73635066"/>
    <w:rsid w:val="736428BD"/>
    <w:rsid w:val="736A1E7E"/>
    <w:rsid w:val="73742CB1"/>
    <w:rsid w:val="737E5FC9"/>
    <w:rsid w:val="738533DD"/>
    <w:rsid w:val="738A27CB"/>
    <w:rsid w:val="739B567E"/>
    <w:rsid w:val="739D7B35"/>
    <w:rsid w:val="73B65AC3"/>
    <w:rsid w:val="73C77D0F"/>
    <w:rsid w:val="73D56E71"/>
    <w:rsid w:val="73EC552C"/>
    <w:rsid w:val="74124E65"/>
    <w:rsid w:val="74175099"/>
    <w:rsid w:val="742C6020"/>
    <w:rsid w:val="74393199"/>
    <w:rsid w:val="743D5922"/>
    <w:rsid w:val="74507F91"/>
    <w:rsid w:val="745D2553"/>
    <w:rsid w:val="74611029"/>
    <w:rsid w:val="746B0337"/>
    <w:rsid w:val="747340D6"/>
    <w:rsid w:val="748530AA"/>
    <w:rsid w:val="74995290"/>
    <w:rsid w:val="74AE050A"/>
    <w:rsid w:val="74B07F97"/>
    <w:rsid w:val="74D26E7B"/>
    <w:rsid w:val="74DE3B76"/>
    <w:rsid w:val="74F23E1A"/>
    <w:rsid w:val="74F626DE"/>
    <w:rsid w:val="74FE09BC"/>
    <w:rsid w:val="75290F08"/>
    <w:rsid w:val="752D7245"/>
    <w:rsid w:val="7535254B"/>
    <w:rsid w:val="75357B8E"/>
    <w:rsid w:val="754B424B"/>
    <w:rsid w:val="7550033D"/>
    <w:rsid w:val="7557592D"/>
    <w:rsid w:val="75732741"/>
    <w:rsid w:val="75755855"/>
    <w:rsid w:val="757A31A8"/>
    <w:rsid w:val="75836922"/>
    <w:rsid w:val="7584571F"/>
    <w:rsid w:val="759117E4"/>
    <w:rsid w:val="75996A45"/>
    <w:rsid w:val="759A17C9"/>
    <w:rsid w:val="75BD1CD0"/>
    <w:rsid w:val="75C16FD7"/>
    <w:rsid w:val="75CC375F"/>
    <w:rsid w:val="75CD3B6E"/>
    <w:rsid w:val="75D36D5D"/>
    <w:rsid w:val="75D44189"/>
    <w:rsid w:val="75EE764B"/>
    <w:rsid w:val="75EF5902"/>
    <w:rsid w:val="76040A0E"/>
    <w:rsid w:val="761261EB"/>
    <w:rsid w:val="76207AF3"/>
    <w:rsid w:val="76216C95"/>
    <w:rsid w:val="76255573"/>
    <w:rsid w:val="762568A0"/>
    <w:rsid w:val="762A4E38"/>
    <w:rsid w:val="762D5EB8"/>
    <w:rsid w:val="76305085"/>
    <w:rsid w:val="76333EAC"/>
    <w:rsid w:val="76343C78"/>
    <w:rsid w:val="764A3DDC"/>
    <w:rsid w:val="76500891"/>
    <w:rsid w:val="7657405C"/>
    <w:rsid w:val="766D7252"/>
    <w:rsid w:val="766E2121"/>
    <w:rsid w:val="7679437E"/>
    <w:rsid w:val="768A5910"/>
    <w:rsid w:val="768B7502"/>
    <w:rsid w:val="768E72A4"/>
    <w:rsid w:val="7694527E"/>
    <w:rsid w:val="76966640"/>
    <w:rsid w:val="76970A91"/>
    <w:rsid w:val="76AC4414"/>
    <w:rsid w:val="76B13B96"/>
    <w:rsid w:val="76B331A2"/>
    <w:rsid w:val="76B77D5D"/>
    <w:rsid w:val="76BD4E66"/>
    <w:rsid w:val="76C22CD1"/>
    <w:rsid w:val="76C37919"/>
    <w:rsid w:val="76CA2676"/>
    <w:rsid w:val="76D31184"/>
    <w:rsid w:val="76DB6BE6"/>
    <w:rsid w:val="76DD22DE"/>
    <w:rsid w:val="76F36B7C"/>
    <w:rsid w:val="76F96B69"/>
    <w:rsid w:val="77034760"/>
    <w:rsid w:val="772002B6"/>
    <w:rsid w:val="77295FF7"/>
    <w:rsid w:val="772B593C"/>
    <w:rsid w:val="772E30F1"/>
    <w:rsid w:val="7745672D"/>
    <w:rsid w:val="774E3E51"/>
    <w:rsid w:val="77521463"/>
    <w:rsid w:val="775D33E5"/>
    <w:rsid w:val="776F7FFA"/>
    <w:rsid w:val="77736E19"/>
    <w:rsid w:val="777536D9"/>
    <w:rsid w:val="77760388"/>
    <w:rsid w:val="778A6384"/>
    <w:rsid w:val="77981A0B"/>
    <w:rsid w:val="77A43F02"/>
    <w:rsid w:val="77B772A9"/>
    <w:rsid w:val="77BE72D9"/>
    <w:rsid w:val="77C1781B"/>
    <w:rsid w:val="77ED72A6"/>
    <w:rsid w:val="77F122F5"/>
    <w:rsid w:val="77F913BB"/>
    <w:rsid w:val="77FE7EEE"/>
    <w:rsid w:val="78136520"/>
    <w:rsid w:val="781652F2"/>
    <w:rsid w:val="781A78AE"/>
    <w:rsid w:val="781C2B6C"/>
    <w:rsid w:val="781F03BA"/>
    <w:rsid w:val="78223CA8"/>
    <w:rsid w:val="782C2102"/>
    <w:rsid w:val="784B1EA4"/>
    <w:rsid w:val="784E504A"/>
    <w:rsid w:val="78565B32"/>
    <w:rsid w:val="7875046E"/>
    <w:rsid w:val="78765DB4"/>
    <w:rsid w:val="78826B7C"/>
    <w:rsid w:val="78833C2B"/>
    <w:rsid w:val="78B329D1"/>
    <w:rsid w:val="78C33272"/>
    <w:rsid w:val="78C94E72"/>
    <w:rsid w:val="78CD4422"/>
    <w:rsid w:val="78D423ED"/>
    <w:rsid w:val="78E02341"/>
    <w:rsid w:val="78FF71A4"/>
    <w:rsid w:val="7910694D"/>
    <w:rsid w:val="79133E05"/>
    <w:rsid w:val="79215138"/>
    <w:rsid w:val="792C741D"/>
    <w:rsid w:val="792F3916"/>
    <w:rsid w:val="793F577C"/>
    <w:rsid w:val="79436B19"/>
    <w:rsid w:val="79516E01"/>
    <w:rsid w:val="79566E37"/>
    <w:rsid w:val="79662D14"/>
    <w:rsid w:val="79681E5F"/>
    <w:rsid w:val="796A7A29"/>
    <w:rsid w:val="796E788D"/>
    <w:rsid w:val="79706EED"/>
    <w:rsid w:val="797462D3"/>
    <w:rsid w:val="79792B5A"/>
    <w:rsid w:val="799938E8"/>
    <w:rsid w:val="79A21F4B"/>
    <w:rsid w:val="79B950B0"/>
    <w:rsid w:val="79BF7999"/>
    <w:rsid w:val="79C47DC1"/>
    <w:rsid w:val="79C61F84"/>
    <w:rsid w:val="79C82EDB"/>
    <w:rsid w:val="79C83395"/>
    <w:rsid w:val="79D16E98"/>
    <w:rsid w:val="7A070122"/>
    <w:rsid w:val="7A155CA2"/>
    <w:rsid w:val="7A250EEB"/>
    <w:rsid w:val="7A2B556E"/>
    <w:rsid w:val="7A2D5437"/>
    <w:rsid w:val="7A2E268C"/>
    <w:rsid w:val="7A3F1B45"/>
    <w:rsid w:val="7A566E9D"/>
    <w:rsid w:val="7A587C38"/>
    <w:rsid w:val="7A5918B7"/>
    <w:rsid w:val="7A6118FA"/>
    <w:rsid w:val="7A670D27"/>
    <w:rsid w:val="7A673992"/>
    <w:rsid w:val="7A7705AD"/>
    <w:rsid w:val="7A9F4763"/>
    <w:rsid w:val="7AA351D4"/>
    <w:rsid w:val="7AB23DCE"/>
    <w:rsid w:val="7AB724C2"/>
    <w:rsid w:val="7AC27C1B"/>
    <w:rsid w:val="7AD44B19"/>
    <w:rsid w:val="7AD76193"/>
    <w:rsid w:val="7ADA16F5"/>
    <w:rsid w:val="7ADE1C9B"/>
    <w:rsid w:val="7AE53AE0"/>
    <w:rsid w:val="7AE6355D"/>
    <w:rsid w:val="7AF1331A"/>
    <w:rsid w:val="7AF63C59"/>
    <w:rsid w:val="7AFD5080"/>
    <w:rsid w:val="7B075EAF"/>
    <w:rsid w:val="7B0B7866"/>
    <w:rsid w:val="7B1535A3"/>
    <w:rsid w:val="7B1F64D1"/>
    <w:rsid w:val="7B320F3E"/>
    <w:rsid w:val="7B331429"/>
    <w:rsid w:val="7B4F087F"/>
    <w:rsid w:val="7B82342B"/>
    <w:rsid w:val="7B862128"/>
    <w:rsid w:val="7B8F7692"/>
    <w:rsid w:val="7B937B45"/>
    <w:rsid w:val="7B9847A4"/>
    <w:rsid w:val="7BA940D7"/>
    <w:rsid w:val="7BB00C2B"/>
    <w:rsid w:val="7BC91764"/>
    <w:rsid w:val="7BCE24CE"/>
    <w:rsid w:val="7BDE4ACF"/>
    <w:rsid w:val="7BE770C7"/>
    <w:rsid w:val="7BEC6D70"/>
    <w:rsid w:val="7BF4780A"/>
    <w:rsid w:val="7BF52552"/>
    <w:rsid w:val="7BFA0D57"/>
    <w:rsid w:val="7C1A29B7"/>
    <w:rsid w:val="7C2D3246"/>
    <w:rsid w:val="7C2D7DB6"/>
    <w:rsid w:val="7C2F7302"/>
    <w:rsid w:val="7C3A70F9"/>
    <w:rsid w:val="7C3E4F14"/>
    <w:rsid w:val="7C410E7E"/>
    <w:rsid w:val="7C4A0400"/>
    <w:rsid w:val="7C4E0CD7"/>
    <w:rsid w:val="7C74053B"/>
    <w:rsid w:val="7C7E3E99"/>
    <w:rsid w:val="7C862DE2"/>
    <w:rsid w:val="7C880885"/>
    <w:rsid w:val="7C9B591A"/>
    <w:rsid w:val="7C9E77EC"/>
    <w:rsid w:val="7CB52E09"/>
    <w:rsid w:val="7CD62690"/>
    <w:rsid w:val="7CDA4326"/>
    <w:rsid w:val="7CDD2713"/>
    <w:rsid w:val="7CE41667"/>
    <w:rsid w:val="7CE56C6A"/>
    <w:rsid w:val="7CF13ABB"/>
    <w:rsid w:val="7CF83FCE"/>
    <w:rsid w:val="7D0B0398"/>
    <w:rsid w:val="7D12074F"/>
    <w:rsid w:val="7D247A9A"/>
    <w:rsid w:val="7D247F3D"/>
    <w:rsid w:val="7D261004"/>
    <w:rsid w:val="7D2C43F5"/>
    <w:rsid w:val="7D4371E7"/>
    <w:rsid w:val="7D466F70"/>
    <w:rsid w:val="7D822CDF"/>
    <w:rsid w:val="7D850DB2"/>
    <w:rsid w:val="7D8876CD"/>
    <w:rsid w:val="7D8919CF"/>
    <w:rsid w:val="7D93046D"/>
    <w:rsid w:val="7D993DD0"/>
    <w:rsid w:val="7D9A7F6B"/>
    <w:rsid w:val="7DA87742"/>
    <w:rsid w:val="7DD66EF7"/>
    <w:rsid w:val="7DDB408E"/>
    <w:rsid w:val="7DF72F66"/>
    <w:rsid w:val="7E0E527F"/>
    <w:rsid w:val="7E1600EA"/>
    <w:rsid w:val="7E204AFF"/>
    <w:rsid w:val="7E3026D2"/>
    <w:rsid w:val="7E314645"/>
    <w:rsid w:val="7E3E0CEC"/>
    <w:rsid w:val="7E3F2AA1"/>
    <w:rsid w:val="7E5E7C30"/>
    <w:rsid w:val="7E647E2F"/>
    <w:rsid w:val="7E7B7639"/>
    <w:rsid w:val="7EAD2E57"/>
    <w:rsid w:val="7EAD429B"/>
    <w:rsid w:val="7EAE7B07"/>
    <w:rsid w:val="7EBC4C99"/>
    <w:rsid w:val="7EC51958"/>
    <w:rsid w:val="7ECB2BC7"/>
    <w:rsid w:val="7ECC3842"/>
    <w:rsid w:val="7ED0357E"/>
    <w:rsid w:val="7EF619ED"/>
    <w:rsid w:val="7EFC4E72"/>
    <w:rsid w:val="7F05348A"/>
    <w:rsid w:val="7F0E4F37"/>
    <w:rsid w:val="7F16191B"/>
    <w:rsid w:val="7F24039C"/>
    <w:rsid w:val="7F277758"/>
    <w:rsid w:val="7F395354"/>
    <w:rsid w:val="7F5E2F42"/>
    <w:rsid w:val="7F664A71"/>
    <w:rsid w:val="7F702EF1"/>
    <w:rsid w:val="7F7F7072"/>
    <w:rsid w:val="7F8014FE"/>
    <w:rsid w:val="7F821975"/>
    <w:rsid w:val="7F9E2EC7"/>
    <w:rsid w:val="7FA718C9"/>
    <w:rsid w:val="7FC80F0F"/>
    <w:rsid w:val="7FD72A54"/>
    <w:rsid w:val="7FD90A31"/>
    <w:rsid w:val="7FDA4015"/>
    <w:rsid w:val="7FDC0E95"/>
    <w:rsid w:val="7FE36E2B"/>
    <w:rsid w:val="7FED2997"/>
    <w:rsid w:val="7FEE140C"/>
    <w:rsid w:val="7FFE2FA3"/>
    <w:rsid w:val="7FFE61C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iPriority="0" w:name="index heading"/>
    <w:lsdException w:qFormat="1" w:uiPriority="0" w:name="caption"/>
    <w:lsdException w:qFormat="1" w:uiPriority="0" w:name="table of figures"/>
    <w:lsdException w:qFormat="1" w:uiPriority="0" w:name="envelope address"/>
    <w:lsdException w:qFormat="1"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qFormat="1" w:uiPriority="0" w:name="endnote text"/>
    <w:lsdException w:qFormat="1" w:uiPriority="0" w:name="table of authorities"/>
    <w:lsdException w:qFormat="1" w:uiPriority="0" w:name="macro"/>
    <w:lsdException w:qFormat="1"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iPriority="0" w:name="List Number 3"/>
    <w:lsdException w:qFormat="1" w:uiPriority="0" w:name="List Number 4"/>
    <w:lsdException w:qFormat="1" w:uiPriority="0" w:name="List Number 5"/>
    <w:lsdException w:qFormat="1" w:unhideWhenUsed="0" w:uiPriority="0" w:semiHidden="0" w:name="Title"/>
    <w:lsdException w:qFormat="1" w:uiPriority="0" w:name="Closing"/>
    <w:lsdException w:qFormat="1" w:uiPriority="0" w:name="Signature"/>
    <w:lsdException w:qFormat="1" w:uiPriority="1" w:name="Default Paragraph Font"/>
    <w:lsdException w:qFormat="1" w:uiPriority="0" w:name="Body Text"/>
    <w:lsdException w:qFormat="1" w:uiPriority="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name="Body Text First Indent 2"/>
    <w:lsdException w:qFormat="1" w:uiPriority="0"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0" w:name="Plain Text"/>
    <w:lsdException w:qFormat="1" w:uiPriority="0" w:name="E-mail Signature"/>
    <w:lsdException w:qFormat="1" w:uiPriority="0" w:name="Normal (Web)"/>
    <w:lsdException w:uiPriority="0" w:name="HTML Acronym"/>
    <w:lsdException w:qFormat="1"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0">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48"/>
    <w:semiHidden/>
    <w:unhideWhenUsed/>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imes New Roman"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semiHidden/>
    <w:qFormat/>
    <w:uiPriority w:val="0"/>
    <w:pPr>
      <w:tabs>
        <w:tab w:val="right" w:leader="dot" w:pos="9639"/>
      </w:tabs>
      <w:ind w:left="1418" w:hanging="1418"/>
    </w:pPr>
  </w:style>
  <w:style w:type="paragraph" w:styleId="20">
    <w:name w:val="toc 3"/>
    <w:basedOn w:val="21"/>
    <w:next w:val="1"/>
    <w:semiHidden/>
    <w:qFormat/>
    <w:uiPriority w:val="0"/>
    <w:pPr>
      <w:tabs>
        <w:tab w:val="right" w:leader="dot" w:pos="9639"/>
      </w:tabs>
      <w:ind w:left="1134" w:hanging="1134"/>
    </w:pPr>
  </w:style>
  <w:style w:type="paragraph" w:styleId="21">
    <w:name w:val="toc 2"/>
    <w:basedOn w:val="22"/>
    <w:next w:val="1"/>
    <w:semiHidden/>
    <w:qFormat/>
    <w:uiPriority w:val="0"/>
    <w:pPr>
      <w:keepNext w:val="0"/>
      <w:tabs>
        <w:tab w:val="right" w:leader="dot" w:pos="9639"/>
      </w:tabs>
      <w:spacing w:before="0"/>
      <w:ind w:left="851" w:hanging="851"/>
    </w:pPr>
    <w:rPr>
      <w:sz w:val="20"/>
    </w:rPr>
  </w:style>
  <w:style w:type="paragraph" w:styleId="22">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semiHidden/>
    <w:unhideWhenUsed/>
    <w:qFormat/>
    <w:uiPriority w:val="0"/>
    <w:pPr>
      <w:spacing w:after="0"/>
      <w:ind w:left="200" w:hanging="200"/>
    </w:pPr>
  </w:style>
  <w:style w:type="paragraph" w:styleId="26">
    <w:name w:val="Note Heading"/>
    <w:basedOn w:val="1"/>
    <w:next w:val="1"/>
    <w:link w:val="151"/>
    <w:semiHidden/>
    <w:unhideWhenUsed/>
    <w:qFormat/>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semiHidden/>
    <w:unhideWhenUsed/>
    <w:qFormat/>
    <w:uiPriority w:val="0"/>
    <w:pPr>
      <w:spacing w:after="0"/>
      <w:ind w:left="1600" w:hanging="200"/>
    </w:pPr>
  </w:style>
  <w:style w:type="paragraph" w:styleId="32">
    <w:name w:val="E-mail Signature"/>
    <w:basedOn w:val="1"/>
    <w:link w:val="141"/>
    <w:semiHidden/>
    <w:unhideWhenUsed/>
    <w:qFormat/>
    <w:uiPriority w:val="0"/>
    <w:pPr>
      <w:spacing w:after="0"/>
    </w:pPr>
  </w:style>
  <w:style w:type="paragraph" w:styleId="33">
    <w:name w:val="Normal Indent"/>
    <w:basedOn w:val="1"/>
    <w:semiHidden/>
    <w:unhideWhenUsed/>
    <w:qFormat/>
    <w:uiPriority w:val="0"/>
    <w:pPr>
      <w:ind w:left="720"/>
    </w:pPr>
  </w:style>
  <w:style w:type="paragraph" w:styleId="34">
    <w:name w:val="caption"/>
    <w:basedOn w:val="1"/>
    <w:next w:val="1"/>
    <w:semiHidden/>
    <w:unhideWhenUsed/>
    <w:qFormat/>
    <w:uiPriority w:val="0"/>
    <w:pPr>
      <w:spacing w:after="200"/>
    </w:pPr>
    <w:rPr>
      <w:i/>
      <w:iCs/>
      <w:color w:val="1F497D" w:themeColor="text2"/>
      <w:sz w:val="18"/>
      <w:szCs w:val="18"/>
      <w14:textFill>
        <w14:solidFill>
          <w14:schemeClr w14:val="tx2"/>
        </w14:solidFill>
      </w14:textFill>
    </w:rPr>
  </w:style>
  <w:style w:type="paragraph" w:styleId="35">
    <w:name w:val="index 5"/>
    <w:basedOn w:val="1"/>
    <w:next w:val="1"/>
    <w:semiHidden/>
    <w:unhideWhenUsed/>
    <w:qFormat/>
    <w:uiPriority w:val="0"/>
    <w:pPr>
      <w:spacing w:after="0"/>
      <w:ind w:left="1000" w:hanging="200"/>
    </w:pPr>
  </w:style>
  <w:style w:type="paragraph" w:styleId="36">
    <w:name w:val="envelope address"/>
    <w:basedOn w:val="1"/>
    <w:semiHidden/>
    <w:unhideWhenUsed/>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semiHidden/>
    <w:qFormat/>
    <w:uiPriority w:val="0"/>
    <w:pPr>
      <w:shd w:val="clear" w:color="auto" w:fill="000080"/>
    </w:pPr>
    <w:rPr>
      <w:rFonts w:ascii="Tahoma" w:hAnsi="Tahoma" w:cs="Tahoma"/>
    </w:rPr>
  </w:style>
  <w:style w:type="paragraph" w:styleId="38">
    <w:name w:val="toa heading"/>
    <w:basedOn w:val="1"/>
    <w:next w:val="1"/>
    <w:semiHidden/>
    <w:unhideWhenUsed/>
    <w:qFormat/>
    <w:uiPriority w:val="0"/>
    <w:pPr>
      <w:spacing w:before="120"/>
    </w:pPr>
    <w:rPr>
      <w:rFonts w:asciiTheme="majorHAnsi" w:hAnsiTheme="majorHAnsi" w:eastAsiaTheme="majorEastAsia" w:cstheme="majorBidi"/>
      <w:b/>
      <w:bCs/>
      <w:sz w:val="24"/>
      <w:szCs w:val="24"/>
    </w:rPr>
  </w:style>
  <w:style w:type="paragraph" w:styleId="39">
    <w:name w:val="annotation text"/>
    <w:basedOn w:val="1"/>
    <w:semiHidden/>
    <w:qFormat/>
    <w:uiPriority w:val="0"/>
  </w:style>
  <w:style w:type="paragraph" w:styleId="40">
    <w:name w:val="index 6"/>
    <w:basedOn w:val="1"/>
    <w:next w:val="1"/>
    <w:semiHidden/>
    <w:unhideWhenUsed/>
    <w:qFormat/>
    <w:uiPriority w:val="0"/>
    <w:pPr>
      <w:spacing w:after="0"/>
      <w:ind w:left="1200" w:hanging="200"/>
    </w:pPr>
  </w:style>
  <w:style w:type="paragraph" w:styleId="41">
    <w:name w:val="Salutation"/>
    <w:basedOn w:val="1"/>
    <w:next w:val="1"/>
    <w:link w:val="155"/>
    <w:qFormat/>
    <w:uiPriority w:val="0"/>
  </w:style>
  <w:style w:type="paragraph" w:styleId="42">
    <w:name w:val="Body Text 3"/>
    <w:basedOn w:val="1"/>
    <w:link w:val="133"/>
    <w:semiHidden/>
    <w:unhideWhenUsed/>
    <w:qFormat/>
    <w:uiPriority w:val="0"/>
    <w:pPr>
      <w:spacing w:after="120"/>
    </w:pPr>
    <w:rPr>
      <w:sz w:val="16"/>
      <w:szCs w:val="16"/>
    </w:rPr>
  </w:style>
  <w:style w:type="paragraph" w:styleId="43">
    <w:name w:val="Closing"/>
    <w:basedOn w:val="1"/>
    <w:link w:val="139"/>
    <w:semiHidden/>
    <w:unhideWhenUsed/>
    <w:qFormat/>
    <w:uiPriority w:val="0"/>
    <w:pPr>
      <w:spacing w:after="0"/>
      <w:ind w:left="4252"/>
    </w:pPr>
  </w:style>
  <w:style w:type="paragraph" w:styleId="44">
    <w:name w:val="Body Text"/>
    <w:basedOn w:val="1"/>
    <w:link w:val="131"/>
    <w:semiHidden/>
    <w:unhideWhenUsed/>
    <w:qFormat/>
    <w:uiPriority w:val="0"/>
    <w:pPr>
      <w:spacing w:after="120"/>
    </w:pPr>
  </w:style>
  <w:style w:type="paragraph" w:styleId="45">
    <w:name w:val="Body Text Indent"/>
    <w:basedOn w:val="1"/>
    <w:link w:val="135"/>
    <w:semiHidden/>
    <w:unhideWhenUsed/>
    <w:qFormat/>
    <w:uiPriority w:val="0"/>
    <w:pPr>
      <w:spacing w:after="120"/>
      <w:ind w:left="283"/>
    </w:pPr>
  </w:style>
  <w:style w:type="paragraph" w:styleId="46">
    <w:name w:val="List Number 3"/>
    <w:basedOn w:val="1"/>
    <w:semiHidden/>
    <w:unhideWhenUsed/>
    <w:qFormat/>
    <w:uiPriority w:val="0"/>
    <w:pPr>
      <w:numPr>
        <w:ilvl w:val="0"/>
        <w:numId w:val="1"/>
      </w:numPr>
      <w:contextualSpacing/>
    </w:pPr>
  </w:style>
  <w:style w:type="paragraph" w:styleId="47">
    <w:name w:val="List Continue"/>
    <w:basedOn w:val="1"/>
    <w:semiHidden/>
    <w:unhideWhenUsed/>
    <w:qFormat/>
    <w:uiPriority w:val="0"/>
    <w:pPr>
      <w:spacing w:after="120"/>
      <w:ind w:left="283"/>
      <w:contextualSpacing/>
    </w:pPr>
  </w:style>
  <w:style w:type="paragraph" w:styleId="48">
    <w:name w:val="Block Text"/>
    <w:basedOn w:val="1"/>
    <w:semiHidden/>
    <w:unhideWhenUsed/>
    <w:qFormat/>
    <w:uiPriority w:val="0"/>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14:textFill>
        <w14:solidFill>
          <w14:schemeClr w14:val="accent1"/>
        </w14:solidFill>
      </w14:textFill>
    </w:rPr>
  </w:style>
  <w:style w:type="paragraph" w:styleId="49">
    <w:name w:val="HTML Address"/>
    <w:basedOn w:val="1"/>
    <w:link w:val="143"/>
    <w:semiHidden/>
    <w:unhideWhenUsed/>
    <w:qFormat/>
    <w:uiPriority w:val="0"/>
    <w:pPr>
      <w:spacing w:after="0"/>
    </w:pPr>
    <w:rPr>
      <w:i/>
      <w:iCs/>
    </w:rPr>
  </w:style>
  <w:style w:type="paragraph" w:styleId="50">
    <w:name w:val="index 4"/>
    <w:basedOn w:val="1"/>
    <w:next w:val="1"/>
    <w:semiHidden/>
    <w:unhideWhenUsed/>
    <w:qFormat/>
    <w:uiPriority w:val="0"/>
    <w:pPr>
      <w:spacing w:after="0"/>
      <w:ind w:left="800" w:hanging="200"/>
    </w:pPr>
  </w:style>
  <w:style w:type="paragraph" w:styleId="51">
    <w:name w:val="Plain Text"/>
    <w:basedOn w:val="1"/>
    <w:link w:val="152"/>
    <w:semiHidden/>
    <w:unhideWhenUsed/>
    <w:qFormat/>
    <w:uiPriority w:val="0"/>
    <w:pPr>
      <w:spacing w:after="0"/>
    </w:pPr>
    <w:rPr>
      <w:rFonts w:ascii="Consolas" w:hAnsi="Consolas"/>
      <w:sz w:val="21"/>
      <w:szCs w:val="21"/>
    </w:rPr>
  </w:style>
  <w:style w:type="paragraph" w:styleId="52">
    <w:name w:val="List Bullet 5"/>
    <w:basedOn w:val="27"/>
    <w:qFormat/>
    <w:uiPriority w:val="0"/>
    <w:pPr>
      <w:ind w:left="1702"/>
    </w:pPr>
  </w:style>
  <w:style w:type="paragraph" w:styleId="53">
    <w:name w:val="List Number 4"/>
    <w:basedOn w:val="1"/>
    <w:semiHidden/>
    <w:unhideWhenUsed/>
    <w:qFormat/>
    <w:uiPriority w:val="0"/>
    <w:pPr>
      <w:numPr>
        <w:ilvl w:val="0"/>
        <w:numId w:val="2"/>
      </w:numPr>
      <w:contextualSpacing/>
    </w:pPr>
  </w:style>
  <w:style w:type="paragraph" w:styleId="54">
    <w:name w:val="toc 8"/>
    <w:basedOn w:val="22"/>
    <w:next w:val="1"/>
    <w:semiHidden/>
    <w:qFormat/>
    <w:uiPriority w:val="0"/>
    <w:pPr>
      <w:spacing w:before="180"/>
      <w:ind w:left="2693" w:hanging="2693"/>
    </w:pPr>
    <w:rPr>
      <w:b/>
    </w:rPr>
  </w:style>
  <w:style w:type="paragraph" w:styleId="55">
    <w:name w:val="index 3"/>
    <w:basedOn w:val="1"/>
    <w:next w:val="1"/>
    <w:semiHidden/>
    <w:unhideWhenUsed/>
    <w:qFormat/>
    <w:uiPriority w:val="0"/>
    <w:pPr>
      <w:spacing w:after="0"/>
      <w:ind w:left="600" w:hanging="200"/>
    </w:pPr>
  </w:style>
  <w:style w:type="paragraph" w:styleId="56">
    <w:name w:val="Date"/>
    <w:basedOn w:val="1"/>
    <w:next w:val="1"/>
    <w:link w:val="140"/>
    <w:qFormat/>
    <w:uiPriority w:val="0"/>
  </w:style>
  <w:style w:type="paragraph" w:styleId="57">
    <w:name w:val="Body Text Indent 2"/>
    <w:basedOn w:val="1"/>
    <w:link w:val="137"/>
    <w:semiHidden/>
    <w:unhideWhenUsed/>
    <w:qFormat/>
    <w:uiPriority w:val="0"/>
    <w:pPr>
      <w:spacing w:after="120" w:line="480" w:lineRule="auto"/>
      <w:ind w:left="283"/>
    </w:pPr>
  </w:style>
  <w:style w:type="paragraph" w:styleId="58">
    <w:name w:val="endnote text"/>
    <w:basedOn w:val="1"/>
    <w:link w:val="142"/>
    <w:semiHidden/>
    <w:unhideWhenUsed/>
    <w:qFormat/>
    <w:uiPriority w:val="0"/>
    <w:pPr>
      <w:spacing w:after="0"/>
    </w:pPr>
  </w:style>
  <w:style w:type="paragraph" w:styleId="59">
    <w:name w:val="List Continue 5"/>
    <w:basedOn w:val="1"/>
    <w:semiHidden/>
    <w:unhideWhenUsed/>
    <w:qFormat/>
    <w:uiPriority w:val="0"/>
    <w:pPr>
      <w:spacing w:after="120"/>
      <w:ind w:left="1415"/>
      <w:contextualSpacing/>
    </w:pPr>
  </w:style>
  <w:style w:type="paragraph" w:styleId="60">
    <w:name w:val="Balloon Text"/>
    <w:basedOn w:val="1"/>
    <w:semiHidden/>
    <w:qFormat/>
    <w:uiPriority w:val="0"/>
    <w:rPr>
      <w:rFonts w:ascii="Tahoma" w:hAnsi="Tahoma" w:cs="Tahoma"/>
      <w:sz w:val="16"/>
      <w:szCs w:val="16"/>
    </w:rPr>
  </w:style>
  <w:style w:type="paragraph" w:styleId="61">
    <w:name w:val="footer"/>
    <w:basedOn w:val="62"/>
    <w:qFormat/>
    <w:uiPriority w:val="0"/>
    <w:pPr>
      <w:jc w:val="center"/>
    </w:pPr>
    <w:rPr>
      <w:i/>
    </w:rPr>
  </w:style>
  <w:style w:type="paragraph" w:styleId="62">
    <w:name w:val="header"/>
    <w:qFormat/>
    <w:uiPriority w:val="0"/>
    <w:pPr>
      <w:widowControl w:val="0"/>
    </w:pPr>
    <w:rPr>
      <w:rFonts w:ascii="Arial" w:hAnsi="Arial" w:eastAsia="Times New Roman" w:cs="Times New Roman"/>
      <w:b/>
      <w:sz w:val="18"/>
      <w:lang w:val="en-GB" w:eastAsia="en-US" w:bidi="ar-SA"/>
    </w:rPr>
  </w:style>
  <w:style w:type="paragraph" w:styleId="63">
    <w:name w:val="envelope return"/>
    <w:basedOn w:val="1"/>
    <w:semiHidden/>
    <w:unhideWhenUsed/>
    <w:qFormat/>
    <w:uiPriority w:val="0"/>
    <w:pPr>
      <w:spacing w:after="0"/>
    </w:pPr>
    <w:rPr>
      <w:rFonts w:asciiTheme="majorHAnsi" w:hAnsiTheme="majorHAnsi" w:eastAsiaTheme="majorEastAsia" w:cstheme="majorBidi"/>
    </w:rPr>
  </w:style>
  <w:style w:type="paragraph" w:styleId="64">
    <w:name w:val="Signature"/>
    <w:basedOn w:val="1"/>
    <w:link w:val="156"/>
    <w:semiHidden/>
    <w:unhideWhenUsed/>
    <w:qFormat/>
    <w:uiPriority w:val="0"/>
    <w:pPr>
      <w:spacing w:after="0"/>
      <w:ind w:left="4252"/>
    </w:pPr>
  </w:style>
  <w:style w:type="paragraph" w:styleId="65">
    <w:name w:val="List Continue 4"/>
    <w:basedOn w:val="1"/>
    <w:semiHidden/>
    <w:unhideWhenUsed/>
    <w:qFormat/>
    <w:uiPriority w:val="0"/>
    <w:pPr>
      <w:spacing w:after="120"/>
      <w:ind w:left="1132"/>
      <w:contextualSpacing/>
    </w:pPr>
  </w:style>
  <w:style w:type="paragraph" w:styleId="66">
    <w:name w:val="index heading"/>
    <w:basedOn w:val="1"/>
    <w:next w:val="67"/>
    <w:semiHidden/>
    <w:unhideWhenUsed/>
    <w:qFormat/>
    <w:uiPriority w:val="0"/>
    <w:rPr>
      <w:rFonts w:asciiTheme="majorHAnsi" w:hAnsiTheme="majorHAnsi" w:eastAsiaTheme="majorEastAsia" w:cstheme="majorBidi"/>
      <w:b/>
      <w:bCs/>
    </w:rPr>
  </w:style>
  <w:style w:type="paragraph" w:styleId="67">
    <w:name w:val="index 1"/>
    <w:basedOn w:val="1"/>
    <w:next w:val="1"/>
    <w:semiHidden/>
    <w:qFormat/>
    <w:uiPriority w:val="0"/>
    <w:pPr>
      <w:keepLines/>
      <w:spacing w:after="0"/>
    </w:pPr>
  </w:style>
  <w:style w:type="paragraph" w:styleId="68">
    <w:name w:val="Subtitle"/>
    <w:basedOn w:val="1"/>
    <w:next w:val="1"/>
    <w:link w:val="157"/>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semiHidden/>
    <w:unhideWhenUsed/>
    <w:qFormat/>
    <w:uiPriority w:val="0"/>
    <w:pPr>
      <w:numPr>
        <w:ilvl w:val="0"/>
        <w:numId w:val="3"/>
      </w:numPr>
      <w:contextualSpacing/>
    </w:pPr>
  </w:style>
  <w:style w:type="paragraph" w:styleId="70">
    <w:name w:val="footnote text"/>
    <w:basedOn w:val="1"/>
    <w:semiHidden/>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38"/>
    <w:semiHidden/>
    <w:unhideWhenUsed/>
    <w:qFormat/>
    <w:uiPriority w:val="0"/>
    <w:pPr>
      <w:spacing w:after="120"/>
      <w:ind w:left="283"/>
    </w:pPr>
    <w:rPr>
      <w:sz w:val="16"/>
      <w:szCs w:val="16"/>
    </w:rPr>
  </w:style>
  <w:style w:type="paragraph" w:styleId="74">
    <w:name w:val="index 7"/>
    <w:basedOn w:val="1"/>
    <w:next w:val="1"/>
    <w:semiHidden/>
    <w:unhideWhenUsed/>
    <w:qFormat/>
    <w:uiPriority w:val="0"/>
    <w:pPr>
      <w:spacing w:after="0"/>
      <w:ind w:left="1400" w:hanging="200"/>
    </w:pPr>
  </w:style>
  <w:style w:type="paragraph" w:styleId="75">
    <w:name w:val="index 9"/>
    <w:basedOn w:val="1"/>
    <w:next w:val="1"/>
    <w:semiHidden/>
    <w:unhideWhenUsed/>
    <w:qFormat/>
    <w:uiPriority w:val="0"/>
    <w:pPr>
      <w:spacing w:after="0"/>
      <w:ind w:left="1800" w:hanging="200"/>
    </w:pPr>
  </w:style>
  <w:style w:type="paragraph" w:styleId="76">
    <w:name w:val="table of figures"/>
    <w:basedOn w:val="1"/>
    <w:next w:val="1"/>
    <w:semiHidden/>
    <w:unhideWhenUsed/>
    <w:qFormat/>
    <w:uiPriority w:val="0"/>
    <w:pPr>
      <w:spacing w:after="0"/>
    </w:pPr>
  </w:style>
  <w:style w:type="paragraph" w:styleId="77">
    <w:name w:val="toc 9"/>
    <w:basedOn w:val="54"/>
    <w:next w:val="1"/>
    <w:semiHidden/>
    <w:qFormat/>
    <w:uiPriority w:val="0"/>
    <w:pPr>
      <w:ind w:left="1418" w:hanging="1418"/>
    </w:pPr>
  </w:style>
  <w:style w:type="paragraph" w:styleId="78">
    <w:name w:val="Body Text 2"/>
    <w:basedOn w:val="1"/>
    <w:link w:val="132"/>
    <w:semiHidden/>
    <w:unhideWhenUsed/>
    <w:qFormat/>
    <w:uiPriority w:val="0"/>
    <w:pPr>
      <w:spacing w:after="120" w:line="480" w:lineRule="auto"/>
    </w:pPr>
  </w:style>
  <w:style w:type="paragraph" w:styleId="79">
    <w:name w:val="List Continue 2"/>
    <w:basedOn w:val="1"/>
    <w:semiHidden/>
    <w:unhideWhenUsed/>
    <w:qFormat/>
    <w:uiPriority w:val="0"/>
    <w:pPr>
      <w:spacing w:after="120"/>
      <w:ind w:left="566"/>
      <w:contextualSpacing/>
    </w:pPr>
  </w:style>
  <w:style w:type="paragraph" w:styleId="80">
    <w:name w:val="Message Header"/>
    <w:basedOn w:val="1"/>
    <w:link w:val="149"/>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44"/>
    <w:semiHidden/>
    <w:unhideWhenUsed/>
    <w:qFormat/>
    <w:uiPriority w:val="0"/>
    <w:pPr>
      <w:spacing w:after="0"/>
    </w:pPr>
    <w:rPr>
      <w:rFonts w:ascii="Consolas" w:hAnsi="Consolas"/>
    </w:rPr>
  </w:style>
  <w:style w:type="paragraph" w:styleId="82">
    <w:name w:val="Normal (Web)"/>
    <w:basedOn w:val="1"/>
    <w:semiHidden/>
    <w:unhideWhenUsed/>
    <w:qFormat/>
    <w:uiPriority w:val="0"/>
    <w:rPr>
      <w:sz w:val="24"/>
      <w:szCs w:val="24"/>
    </w:rPr>
  </w:style>
  <w:style w:type="paragraph" w:styleId="83">
    <w:name w:val="List Continue 3"/>
    <w:basedOn w:val="1"/>
    <w:semiHidden/>
    <w:unhideWhenUsed/>
    <w:qFormat/>
    <w:uiPriority w:val="0"/>
    <w:pPr>
      <w:spacing w:after="120"/>
      <w:ind w:left="849"/>
      <w:contextualSpacing/>
    </w:pPr>
  </w:style>
  <w:style w:type="paragraph" w:styleId="84">
    <w:name w:val="index 2"/>
    <w:basedOn w:val="67"/>
    <w:next w:val="1"/>
    <w:semiHidden/>
    <w:qFormat/>
    <w:uiPriority w:val="0"/>
    <w:pPr>
      <w:ind w:left="284"/>
    </w:pPr>
  </w:style>
  <w:style w:type="paragraph" w:styleId="85">
    <w:name w:val="Title"/>
    <w:basedOn w:val="1"/>
    <w:next w:val="1"/>
    <w:link w:val="158"/>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semiHidden/>
    <w:qFormat/>
    <w:uiPriority w:val="0"/>
    <w:rPr>
      <w:b/>
      <w:bCs/>
    </w:rPr>
  </w:style>
  <w:style w:type="paragraph" w:styleId="87">
    <w:name w:val="Body Text First Indent"/>
    <w:basedOn w:val="44"/>
    <w:link w:val="134"/>
    <w:qFormat/>
    <w:uiPriority w:val="0"/>
    <w:pPr>
      <w:spacing w:after="180"/>
      <w:ind w:firstLine="360"/>
    </w:pPr>
  </w:style>
  <w:style w:type="paragraph" w:styleId="88">
    <w:name w:val="Body Text First Indent 2"/>
    <w:basedOn w:val="45"/>
    <w:link w:val="136"/>
    <w:semiHidden/>
    <w:unhideWhenUsed/>
    <w:qFormat/>
    <w:uiPriority w:val="0"/>
    <w:pPr>
      <w:spacing w:after="180"/>
      <w:ind w:left="360" w:firstLine="360"/>
    </w:pPr>
  </w:style>
  <w:style w:type="character" w:styleId="91">
    <w:name w:val="FollowedHyperlink"/>
    <w:qFormat/>
    <w:uiPriority w:val="0"/>
    <w:rPr>
      <w:color w:val="800080"/>
      <w:u w:val="single"/>
    </w:rPr>
  </w:style>
  <w:style w:type="character" w:styleId="92">
    <w:name w:val="Hyperlink"/>
    <w:qFormat/>
    <w:uiPriority w:val="0"/>
    <w:rPr>
      <w:color w:val="0000FF"/>
      <w:u w:val="single"/>
    </w:rPr>
  </w:style>
  <w:style w:type="character" w:styleId="93">
    <w:name w:val="annotation reference"/>
    <w:semiHidden/>
    <w:qFormat/>
    <w:uiPriority w:val="0"/>
    <w:rPr>
      <w:sz w:val="16"/>
    </w:rPr>
  </w:style>
  <w:style w:type="character" w:styleId="94">
    <w:name w:val="footnote reference"/>
    <w:semiHidden/>
    <w:qFormat/>
    <w:uiPriority w:val="0"/>
    <w:rPr>
      <w:b/>
      <w:position w:val="6"/>
      <w:sz w:val="16"/>
    </w:rPr>
  </w:style>
  <w:style w:type="paragraph" w:customStyle="1" w:styleId="95">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96">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97">
    <w:name w:val="TT"/>
    <w:basedOn w:val="3"/>
    <w:next w:val="1"/>
    <w:qFormat/>
    <w:uiPriority w:val="0"/>
    <w:pPr>
      <w:outlineLvl w:val="9"/>
    </w:pPr>
  </w:style>
  <w:style w:type="paragraph" w:customStyle="1" w:styleId="98">
    <w:name w:val="TAH"/>
    <w:basedOn w:val="99"/>
    <w:link w:val="163"/>
    <w:qFormat/>
    <w:uiPriority w:val="0"/>
    <w:rPr>
      <w:b/>
    </w:rPr>
  </w:style>
  <w:style w:type="paragraph" w:customStyle="1" w:styleId="99">
    <w:name w:val="TAC"/>
    <w:basedOn w:val="100"/>
    <w:link w:val="166"/>
    <w:qFormat/>
    <w:uiPriority w:val="0"/>
    <w:pPr>
      <w:jc w:val="center"/>
    </w:pPr>
  </w:style>
  <w:style w:type="paragraph" w:customStyle="1" w:styleId="100">
    <w:name w:val="TAL"/>
    <w:basedOn w:val="1"/>
    <w:link w:val="164"/>
    <w:qFormat/>
    <w:uiPriority w:val="0"/>
    <w:pPr>
      <w:keepNext/>
      <w:keepLines/>
      <w:spacing w:after="0"/>
    </w:pPr>
    <w:rPr>
      <w:rFonts w:ascii="Arial" w:hAnsi="Arial"/>
      <w:sz w:val="18"/>
    </w:rPr>
  </w:style>
  <w:style w:type="paragraph" w:customStyle="1" w:styleId="101">
    <w:name w:val="TF"/>
    <w:basedOn w:val="102"/>
    <w:qFormat/>
    <w:uiPriority w:val="0"/>
    <w:pPr>
      <w:keepNext w:val="0"/>
      <w:spacing w:before="0" w:after="240"/>
    </w:pPr>
  </w:style>
  <w:style w:type="paragraph" w:customStyle="1" w:styleId="102">
    <w:name w:val="TH"/>
    <w:basedOn w:val="1"/>
    <w:link w:val="162"/>
    <w:qFormat/>
    <w:uiPriority w:val="0"/>
    <w:pPr>
      <w:keepNext/>
      <w:keepLines/>
      <w:spacing w:before="60"/>
      <w:jc w:val="center"/>
    </w:pPr>
    <w:rPr>
      <w:rFonts w:ascii="Arial" w:hAnsi="Arial"/>
      <w:b/>
    </w:rPr>
  </w:style>
  <w:style w:type="paragraph" w:customStyle="1" w:styleId="103">
    <w:name w:val="NO"/>
    <w:basedOn w:val="1"/>
    <w:link w:val="161"/>
    <w:qFormat/>
    <w:uiPriority w:val="0"/>
    <w:pPr>
      <w:keepLines/>
      <w:ind w:left="1135" w:hanging="851"/>
    </w:pPr>
  </w:style>
  <w:style w:type="paragraph" w:customStyle="1" w:styleId="104">
    <w:name w:val="EX"/>
    <w:basedOn w:val="1"/>
    <w:qFormat/>
    <w:uiPriority w:val="0"/>
    <w:pPr>
      <w:keepLines/>
      <w:ind w:left="1702" w:hanging="1418"/>
    </w:pPr>
  </w:style>
  <w:style w:type="paragraph" w:customStyle="1" w:styleId="105">
    <w:name w:val="FP"/>
    <w:basedOn w:val="1"/>
    <w:qFormat/>
    <w:uiPriority w:val="0"/>
    <w:pPr>
      <w:spacing w:after="0"/>
    </w:pPr>
  </w:style>
  <w:style w:type="paragraph" w:customStyle="1" w:styleId="106">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107">
    <w:name w:val="NW"/>
    <w:basedOn w:val="103"/>
    <w:qFormat/>
    <w:uiPriority w:val="0"/>
    <w:pPr>
      <w:spacing w:after="0"/>
    </w:pPr>
  </w:style>
  <w:style w:type="paragraph" w:customStyle="1" w:styleId="108">
    <w:name w:val="EW"/>
    <w:basedOn w:val="104"/>
    <w:link w:val="160"/>
    <w:qFormat/>
    <w:uiPriority w:val="0"/>
    <w:pPr>
      <w:spacing w:after="0"/>
    </w:pPr>
  </w:style>
  <w:style w:type="paragraph" w:customStyle="1" w:styleId="109">
    <w:name w:val="EQ"/>
    <w:basedOn w:val="1"/>
    <w:next w:val="1"/>
    <w:qFormat/>
    <w:uiPriority w:val="0"/>
    <w:pPr>
      <w:keepLines/>
      <w:tabs>
        <w:tab w:val="center" w:pos="4536"/>
        <w:tab w:val="right" w:pos="9072"/>
      </w:tabs>
    </w:pPr>
  </w:style>
  <w:style w:type="paragraph" w:customStyle="1" w:styleId="110">
    <w:name w:val="NF"/>
    <w:basedOn w:val="103"/>
    <w:qFormat/>
    <w:uiPriority w:val="0"/>
    <w:pPr>
      <w:keepNext/>
      <w:spacing w:after="0"/>
    </w:pPr>
    <w:rPr>
      <w:rFonts w:ascii="Arial" w:hAnsi="Arial"/>
      <w:sz w:val="18"/>
    </w:rPr>
  </w:style>
  <w:style w:type="paragraph" w:customStyle="1" w:styleId="11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112">
    <w:name w:val="TAR"/>
    <w:basedOn w:val="100"/>
    <w:qFormat/>
    <w:uiPriority w:val="0"/>
    <w:pPr>
      <w:jc w:val="right"/>
    </w:pPr>
  </w:style>
  <w:style w:type="paragraph" w:customStyle="1" w:styleId="113">
    <w:name w:val="TAN"/>
    <w:basedOn w:val="100"/>
    <w:link w:val="165"/>
    <w:qFormat/>
    <w:uiPriority w:val="0"/>
    <w:pPr>
      <w:ind w:left="851" w:hanging="851"/>
    </w:pPr>
  </w:style>
  <w:style w:type="paragraph" w:customStyle="1" w:styleId="114">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15">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16">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117">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18">
    <w:name w:val="ZV"/>
    <w:basedOn w:val="117"/>
    <w:qFormat/>
    <w:uiPriority w:val="0"/>
    <w:pPr>
      <w:framePr w:y="16161"/>
    </w:pPr>
  </w:style>
  <w:style w:type="character" w:customStyle="1" w:styleId="119">
    <w:name w:val="ZGSM"/>
    <w:qFormat/>
    <w:uiPriority w:val="0"/>
  </w:style>
  <w:style w:type="paragraph" w:customStyle="1" w:styleId="120">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21">
    <w:name w:val="Editor's Note"/>
    <w:basedOn w:val="103"/>
    <w:link w:val="171"/>
    <w:qFormat/>
    <w:uiPriority w:val="0"/>
    <w:rPr>
      <w:color w:val="FF0000"/>
    </w:rPr>
  </w:style>
  <w:style w:type="paragraph" w:customStyle="1" w:styleId="122">
    <w:name w:val="B1"/>
    <w:basedOn w:val="15"/>
    <w:link w:val="168"/>
    <w:qFormat/>
    <w:uiPriority w:val="0"/>
  </w:style>
  <w:style w:type="paragraph" w:customStyle="1" w:styleId="123">
    <w:name w:val="B2"/>
    <w:basedOn w:val="14"/>
    <w:link w:val="169"/>
    <w:qFormat/>
    <w:uiPriority w:val="0"/>
  </w:style>
  <w:style w:type="paragraph" w:customStyle="1" w:styleId="124">
    <w:name w:val="B3"/>
    <w:basedOn w:val="13"/>
    <w:link w:val="170"/>
    <w:qFormat/>
    <w:uiPriority w:val="0"/>
  </w:style>
  <w:style w:type="paragraph" w:customStyle="1" w:styleId="125">
    <w:name w:val="B4"/>
    <w:basedOn w:val="72"/>
    <w:qFormat/>
    <w:uiPriority w:val="0"/>
  </w:style>
  <w:style w:type="paragraph" w:customStyle="1" w:styleId="126">
    <w:name w:val="B5"/>
    <w:basedOn w:val="71"/>
    <w:qFormat/>
    <w:uiPriority w:val="0"/>
  </w:style>
  <w:style w:type="paragraph" w:customStyle="1" w:styleId="127">
    <w:name w:val="ZTD"/>
    <w:basedOn w:val="115"/>
    <w:qFormat/>
    <w:uiPriority w:val="0"/>
    <w:pPr>
      <w:framePr w:hRule="auto" w:y="852"/>
    </w:pPr>
    <w:rPr>
      <w:i w:val="0"/>
      <w:sz w:val="40"/>
    </w:rPr>
  </w:style>
  <w:style w:type="paragraph" w:customStyle="1" w:styleId="128">
    <w:name w:val="CR Cover Page"/>
    <w:qFormat/>
    <w:uiPriority w:val="0"/>
    <w:pPr>
      <w:spacing w:after="120"/>
    </w:pPr>
    <w:rPr>
      <w:rFonts w:ascii="Arial" w:hAnsi="Arial" w:eastAsia="Times New Roman" w:cs="Times New Roman"/>
      <w:lang w:val="en-GB" w:eastAsia="en-US" w:bidi="ar-SA"/>
    </w:rPr>
  </w:style>
  <w:style w:type="paragraph" w:customStyle="1" w:styleId="129">
    <w:name w:val="tdoc-header"/>
    <w:qFormat/>
    <w:uiPriority w:val="0"/>
    <w:rPr>
      <w:rFonts w:ascii="Arial" w:hAnsi="Arial" w:eastAsia="Times New Roman" w:cs="Times New Roman"/>
      <w:sz w:val="24"/>
      <w:lang w:val="en-GB" w:eastAsia="en-US" w:bidi="ar-SA"/>
    </w:rPr>
  </w:style>
  <w:style w:type="paragraph" w:customStyle="1" w:styleId="130">
    <w:name w:val="Bibliography"/>
    <w:basedOn w:val="1"/>
    <w:next w:val="1"/>
    <w:semiHidden/>
    <w:unhideWhenUsed/>
    <w:qFormat/>
    <w:uiPriority w:val="37"/>
  </w:style>
  <w:style w:type="character" w:customStyle="1" w:styleId="131">
    <w:name w:val="Body Text Char"/>
    <w:basedOn w:val="90"/>
    <w:link w:val="44"/>
    <w:semiHidden/>
    <w:qFormat/>
    <w:uiPriority w:val="0"/>
    <w:rPr>
      <w:rFonts w:ascii="Times New Roman" w:hAnsi="Times New Roman"/>
      <w:lang w:val="en-GB" w:eastAsia="en-US"/>
    </w:rPr>
  </w:style>
  <w:style w:type="character" w:customStyle="1" w:styleId="132">
    <w:name w:val="Body Text 2 Char"/>
    <w:basedOn w:val="90"/>
    <w:link w:val="78"/>
    <w:semiHidden/>
    <w:qFormat/>
    <w:uiPriority w:val="0"/>
    <w:rPr>
      <w:rFonts w:ascii="Times New Roman" w:hAnsi="Times New Roman"/>
      <w:lang w:val="en-GB" w:eastAsia="en-US"/>
    </w:rPr>
  </w:style>
  <w:style w:type="character" w:customStyle="1" w:styleId="133">
    <w:name w:val="Body Text 3 Char"/>
    <w:basedOn w:val="90"/>
    <w:link w:val="42"/>
    <w:semiHidden/>
    <w:qFormat/>
    <w:uiPriority w:val="0"/>
    <w:rPr>
      <w:rFonts w:ascii="Times New Roman" w:hAnsi="Times New Roman"/>
      <w:sz w:val="16"/>
      <w:szCs w:val="16"/>
      <w:lang w:val="en-GB" w:eastAsia="en-US"/>
    </w:rPr>
  </w:style>
  <w:style w:type="character" w:customStyle="1" w:styleId="134">
    <w:name w:val="Body Text First Indent Char"/>
    <w:basedOn w:val="131"/>
    <w:link w:val="87"/>
    <w:qFormat/>
    <w:uiPriority w:val="0"/>
    <w:rPr>
      <w:rFonts w:ascii="Times New Roman" w:hAnsi="Times New Roman"/>
      <w:lang w:val="en-GB" w:eastAsia="en-US"/>
    </w:rPr>
  </w:style>
  <w:style w:type="character" w:customStyle="1" w:styleId="135">
    <w:name w:val="Body Text Indent Char"/>
    <w:basedOn w:val="90"/>
    <w:link w:val="45"/>
    <w:semiHidden/>
    <w:qFormat/>
    <w:uiPriority w:val="0"/>
    <w:rPr>
      <w:rFonts w:ascii="Times New Roman" w:hAnsi="Times New Roman"/>
      <w:lang w:val="en-GB" w:eastAsia="en-US"/>
    </w:rPr>
  </w:style>
  <w:style w:type="character" w:customStyle="1" w:styleId="136">
    <w:name w:val="Body Text First Indent 2 Char"/>
    <w:basedOn w:val="135"/>
    <w:link w:val="88"/>
    <w:semiHidden/>
    <w:qFormat/>
    <w:uiPriority w:val="0"/>
    <w:rPr>
      <w:rFonts w:ascii="Times New Roman" w:hAnsi="Times New Roman"/>
      <w:lang w:val="en-GB" w:eastAsia="en-US"/>
    </w:rPr>
  </w:style>
  <w:style w:type="character" w:customStyle="1" w:styleId="137">
    <w:name w:val="Body Text Indent 2 Char"/>
    <w:basedOn w:val="90"/>
    <w:link w:val="57"/>
    <w:semiHidden/>
    <w:qFormat/>
    <w:uiPriority w:val="0"/>
    <w:rPr>
      <w:rFonts w:ascii="Times New Roman" w:hAnsi="Times New Roman"/>
      <w:lang w:val="en-GB" w:eastAsia="en-US"/>
    </w:rPr>
  </w:style>
  <w:style w:type="character" w:customStyle="1" w:styleId="138">
    <w:name w:val="Body Text Indent 3 Char"/>
    <w:basedOn w:val="90"/>
    <w:link w:val="73"/>
    <w:semiHidden/>
    <w:qFormat/>
    <w:uiPriority w:val="0"/>
    <w:rPr>
      <w:rFonts w:ascii="Times New Roman" w:hAnsi="Times New Roman"/>
      <w:sz w:val="16"/>
      <w:szCs w:val="16"/>
      <w:lang w:val="en-GB" w:eastAsia="en-US"/>
    </w:rPr>
  </w:style>
  <w:style w:type="character" w:customStyle="1" w:styleId="139">
    <w:name w:val="Closing Char"/>
    <w:basedOn w:val="90"/>
    <w:link w:val="43"/>
    <w:semiHidden/>
    <w:qFormat/>
    <w:uiPriority w:val="0"/>
    <w:rPr>
      <w:rFonts w:ascii="Times New Roman" w:hAnsi="Times New Roman"/>
      <w:lang w:val="en-GB" w:eastAsia="en-US"/>
    </w:rPr>
  </w:style>
  <w:style w:type="character" w:customStyle="1" w:styleId="140">
    <w:name w:val="Date Char"/>
    <w:basedOn w:val="90"/>
    <w:link w:val="56"/>
    <w:qFormat/>
    <w:uiPriority w:val="0"/>
    <w:rPr>
      <w:rFonts w:ascii="Times New Roman" w:hAnsi="Times New Roman"/>
      <w:lang w:val="en-GB" w:eastAsia="en-US"/>
    </w:rPr>
  </w:style>
  <w:style w:type="character" w:customStyle="1" w:styleId="141">
    <w:name w:val="E-mail Signature Char"/>
    <w:basedOn w:val="90"/>
    <w:link w:val="32"/>
    <w:semiHidden/>
    <w:qFormat/>
    <w:uiPriority w:val="0"/>
    <w:rPr>
      <w:rFonts w:ascii="Times New Roman" w:hAnsi="Times New Roman"/>
      <w:lang w:val="en-GB" w:eastAsia="en-US"/>
    </w:rPr>
  </w:style>
  <w:style w:type="character" w:customStyle="1" w:styleId="142">
    <w:name w:val="Endnote Text Char"/>
    <w:basedOn w:val="90"/>
    <w:link w:val="58"/>
    <w:semiHidden/>
    <w:qFormat/>
    <w:uiPriority w:val="0"/>
    <w:rPr>
      <w:rFonts w:ascii="Times New Roman" w:hAnsi="Times New Roman"/>
      <w:lang w:val="en-GB" w:eastAsia="en-US"/>
    </w:rPr>
  </w:style>
  <w:style w:type="character" w:customStyle="1" w:styleId="143">
    <w:name w:val="HTML Address Char"/>
    <w:basedOn w:val="90"/>
    <w:link w:val="49"/>
    <w:semiHidden/>
    <w:qFormat/>
    <w:uiPriority w:val="0"/>
    <w:rPr>
      <w:rFonts w:ascii="Times New Roman" w:hAnsi="Times New Roman"/>
      <w:i/>
      <w:iCs/>
      <w:lang w:val="en-GB" w:eastAsia="en-US"/>
    </w:rPr>
  </w:style>
  <w:style w:type="character" w:customStyle="1" w:styleId="144">
    <w:name w:val="HTML Preformatted Char"/>
    <w:basedOn w:val="90"/>
    <w:link w:val="81"/>
    <w:semiHidden/>
    <w:qFormat/>
    <w:uiPriority w:val="0"/>
    <w:rPr>
      <w:rFonts w:ascii="Consolas" w:hAnsi="Consolas"/>
      <w:lang w:val="en-GB" w:eastAsia="en-US"/>
    </w:rPr>
  </w:style>
  <w:style w:type="paragraph" w:styleId="145">
    <w:name w:val="Intense Quote"/>
    <w:basedOn w:val="1"/>
    <w:next w:val="1"/>
    <w:link w:val="146"/>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46">
    <w:name w:val="Intense Quote Char"/>
    <w:basedOn w:val="90"/>
    <w:link w:val="145"/>
    <w:qFormat/>
    <w:uiPriority w:val="30"/>
    <w:rPr>
      <w:rFonts w:ascii="Times New Roman" w:hAnsi="Times New Roman"/>
      <w:i/>
      <w:iCs/>
      <w:color w:val="4F81BD" w:themeColor="accent1"/>
      <w:lang w:val="en-GB" w:eastAsia="en-US"/>
      <w14:textFill>
        <w14:solidFill>
          <w14:schemeClr w14:val="accent1"/>
        </w14:solidFill>
      </w14:textFill>
    </w:rPr>
  </w:style>
  <w:style w:type="paragraph" w:styleId="147">
    <w:name w:val="List Paragraph"/>
    <w:basedOn w:val="1"/>
    <w:qFormat/>
    <w:uiPriority w:val="34"/>
    <w:pPr>
      <w:ind w:left="720"/>
      <w:contextualSpacing/>
    </w:pPr>
  </w:style>
  <w:style w:type="character" w:customStyle="1" w:styleId="148">
    <w:name w:val="Macro Text Char"/>
    <w:basedOn w:val="90"/>
    <w:link w:val="2"/>
    <w:semiHidden/>
    <w:qFormat/>
    <w:uiPriority w:val="0"/>
    <w:rPr>
      <w:rFonts w:ascii="Consolas" w:hAnsi="Consolas"/>
      <w:lang w:val="en-GB" w:eastAsia="en-US"/>
    </w:rPr>
  </w:style>
  <w:style w:type="character" w:customStyle="1" w:styleId="149">
    <w:name w:val="Message Header Char"/>
    <w:basedOn w:val="90"/>
    <w:link w:val="80"/>
    <w:semiHidden/>
    <w:qFormat/>
    <w:uiPriority w:val="0"/>
    <w:rPr>
      <w:rFonts w:asciiTheme="majorHAnsi" w:hAnsiTheme="majorHAnsi" w:eastAsiaTheme="majorEastAsia" w:cstheme="majorBidi"/>
      <w:sz w:val="24"/>
      <w:szCs w:val="24"/>
      <w:shd w:val="pct20" w:color="auto" w:fill="auto"/>
      <w:lang w:val="en-GB" w:eastAsia="en-US"/>
    </w:rPr>
  </w:style>
  <w:style w:type="paragraph" w:styleId="150">
    <w:name w:val="No Spacing"/>
    <w:qFormat/>
    <w:uiPriority w:val="1"/>
    <w:rPr>
      <w:rFonts w:ascii="Times New Roman" w:hAnsi="Times New Roman" w:eastAsia="Times New Roman" w:cs="Times New Roman"/>
      <w:lang w:val="en-GB" w:eastAsia="en-US" w:bidi="ar-SA"/>
    </w:rPr>
  </w:style>
  <w:style w:type="character" w:customStyle="1" w:styleId="151">
    <w:name w:val="Note Heading Char"/>
    <w:basedOn w:val="90"/>
    <w:link w:val="26"/>
    <w:semiHidden/>
    <w:qFormat/>
    <w:uiPriority w:val="0"/>
    <w:rPr>
      <w:rFonts w:ascii="Times New Roman" w:hAnsi="Times New Roman"/>
      <w:lang w:val="en-GB" w:eastAsia="en-US"/>
    </w:rPr>
  </w:style>
  <w:style w:type="character" w:customStyle="1" w:styleId="152">
    <w:name w:val="Plain Text Char"/>
    <w:basedOn w:val="90"/>
    <w:link w:val="51"/>
    <w:semiHidden/>
    <w:qFormat/>
    <w:uiPriority w:val="0"/>
    <w:rPr>
      <w:rFonts w:ascii="Consolas" w:hAnsi="Consolas"/>
      <w:sz w:val="21"/>
      <w:szCs w:val="21"/>
      <w:lang w:val="en-GB" w:eastAsia="en-US"/>
    </w:rPr>
  </w:style>
  <w:style w:type="paragraph" w:styleId="153">
    <w:name w:val="Quote"/>
    <w:basedOn w:val="1"/>
    <w:next w:val="1"/>
    <w:link w:val="154"/>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54">
    <w:name w:val="Quote Char"/>
    <w:basedOn w:val="90"/>
    <w:link w:val="153"/>
    <w:qFormat/>
    <w:uiPriority w:val="29"/>
    <w:rPr>
      <w:rFonts w:ascii="Times New Roman" w:hAnsi="Times New Roman"/>
      <w:i/>
      <w:iCs/>
      <w:color w:val="404040" w:themeColor="text1" w:themeTint="BF"/>
      <w:lang w:val="en-GB" w:eastAsia="en-US"/>
      <w14:textFill>
        <w14:solidFill>
          <w14:schemeClr w14:val="tx1">
            <w14:lumMod w14:val="75000"/>
            <w14:lumOff w14:val="25000"/>
          </w14:schemeClr>
        </w14:solidFill>
      </w14:textFill>
    </w:rPr>
  </w:style>
  <w:style w:type="character" w:customStyle="1" w:styleId="155">
    <w:name w:val="Salutation Char"/>
    <w:basedOn w:val="90"/>
    <w:link w:val="41"/>
    <w:qFormat/>
    <w:uiPriority w:val="0"/>
    <w:rPr>
      <w:rFonts w:ascii="Times New Roman" w:hAnsi="Times New Roman"/>
      <w:lang w:val="en-GB" w:eastAsia="en-US"/>
    </w:rPr>
  </w:style>
  <w:style w:type="character" w:customStyle="1" w:styleId="156">
    <w:name w:val="Signature Char"/>
    <w:basedOn w:val="90"/>
    <w:link w:val="64"/>
    <w:semiHidden/>
    <w:qFormat/>
    <w:uiPriority w:val="0"/>
    <w:rPr>
      <w:rFonts w:ascii="Times New Roman" w:hAnsi="Times New Roman"/>
      <w:lang w:val="en-GB" w:eastAsia="en-US"/>
    </w:rPr>
  </w:style>
  <w:style w:type="character" w:customStyle="1" w:styleId="157">
    <w:name w:val="Subtitle Char"/>
    <w:basedOn w:val="90"/>
    <w:link w:val="68"/>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58">
    <w:name w:val="Title Char"/>
    <w:basedOn w:val="90"/>
    <w:link w:val="85"/>
    <w:qFormat/>
    <w:uiPriority w:val="0"/>
    <w:rPr>
      <w:rFonts w:asciiTheme="majorHAnsi" w:hAnsiTheme="majorHAnsi" w:eastAsiaTheme="majorEastAsia" w:cstheme="majorBidi"/>
      <w:spacing w:val="-10"/>
      <w:kern w:val="28"/>
      <w:sz w:val="56"/>
      <w:szCs w:val="56"/>
      <w:lang w:val="en-GB" w:eastAsia="en-US"/>
    </w:rPr>
  </w:style>
  <w:style w:type="paragraph" w:customStyle="1" w:styleId="159">
    <w:name w:val="TOC Heading"/>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376092" w:themeColor="accent1" w:themeShade="BF"/>
      <w:sz w:val="32"/>
      <w:szCs w:val="32"/>
    </w:rPr>
  </w:style>
  <w:style w:type="character" w:customStyle="1" w:styleId="160">
    <w:name w:val="EW Char"/>
    <w:link w:val="108"/>
    <w:qFormat/>
    <w:locked/>
    <w:uiPriority w:val="0"/>
    <w:rPr>
      <w:rFonts w:ascii="Times New Roman" w:hAnsi="Times New Roman"/>
      <w:lang w:val="en-GB" w:eastAsia="en-US"/>
    </w:rPr>
  </w:style>
  <w:style w:type="character" w:customStyle="1" w:styleId="161">
    <w:name w:val="NO Char"/>
    <w:link w:val="103"/>
    <w:qFormat/>
    <w:uiPriority w:val="0"/>
    <w:rPr>
      <w:rFonts w:ascii="Times New Roman" w:hAnsi="Times New Roman"/>
      <w:lang w:val="en-GB" w:eastAsia="en-US"/>
    </w:rPr>
  </w:style>
  <w:style w:type="character" w:customStyle="1" w:styleId="162">
    <w:name w:val="TH Char"/>
    <w:link w:val="102"/>
    <w:qFormat/>
    <w:uiPriority w:val="0"/>
    <w:rPr>
      <w:rFonts w:ascii="Arial" w:hAnsi="Arial"/>
      <w:b/>
      <w:lang w:val="en-GB" w:eastAsia="en-US"/>
    </w:rPr>
  </w:style>
  <w:style w:type="character" w:customStyle="1" w:styleId="163">
    <w:name w:val="TAH Char"/>
    <w:link w:val="98"/>
    <w:qFormat/>
    <w:uiPriority w:val="0"/>
    <w:rPr>
      <w:rFonts w:ascii="Arial" w:hAnsi="Arial"/>
      <w:b/>
      <w:sz w:val="18"/>
      <w:lang w:val="en-GB" w:eastAsia="en-US"/>
    </w:rPr>
  </w:style>
  <w:style w:type="character" w:customStyle="1" w:styleId="164">
    <w:name w:val="TAL Char"/>
    <w:link w:val="100"/>
    <w:qFormat/>
    <w:uiPriority w:val="0"/>
    <w:rPr>
      <w:rFonts w:ascii="Arial" w:hAnsi="Arial"/>
      <w:sz w:val="18"/>
      <w:lang w:val="en-GB" w:eastAsia="en-US"/>
    </w:rPr>
  </w:style>
  <w:style w:type="character" w:customStyle="1" w:styleId="165">
    <w:name w:val="TAN Char"/>
    <w:link w:val="113"/>
    <w:qFormat/>
    <w:uiPriority w:val="0"/>
    <w:rPr>
      <w:rFonts w:ascii="Arial" w:hAnsi="Arial"/>
      <w:sz w:val="18"/>
      <w:lang w:val="en-GB" w:eastAsia="en-US"/>
    </w:rPr>
  </w:style>
  <w:style w:type="character" w:customStyle="1" w:styleId="166">
    <w:name w:val="TAC Char"/>
    <w:link w:val="99"/>
    <w:qFormat/>
    <w:uiPriority w:val="0"/>
    <w:rPr>
      <w:rFonts w:ascii="Arial" w:hAnsi="Arial"/>
      <w:sz w:val="18"/>
      <w:lang w:val="en-GB" w:eastAsia="en-US"/>
    </w:rPr>
  </w:style>
  <w:style w:type="character" w:customStyle="1" w:styleId="167">
    <w:name w:val="NO Zchn"/>
    <w:qFormat/>
    <w:uiPriority w:val="0"/>
    <w:rPr>
      <w:lang w:eastAsia="en-US"/>
    </w:rPr>
  </w:style>
  <w:style w:type="character" w:customStyle="1" w:styleId="168">
    <w:name w:val="B1 Char"/>
    <w:link w:val="122"/>
    <w:qFormat/>
    <w:uiPriority w:val="0"/>
    <w:rPr>
      <w:rFonts w:ascii="Times New Roman" w:hAnsi="Times New Roman"/>
      <w:lang w:val="en-GB" w:eastAsia="en-US"/>
    </w:rPr>
  </w:style>
  <w:style w:type="character" w:customStyle="1" w:styleId="169">
    <w:name w:val="B2 Char"/>
    <w:link w:val="123"/>
    <w:qFormat/>
    <w:uiPriority w:val="0"/>
    <w:rPr>
      <w:rFonts w:ascii="Times New Roman" w:hAnsi="Times New Roman"/>
      <w:lang w:val="en-GB" w:eastAsia="en-US"/>
    </w:rPr>
  </w:style>
  <w:style w:type="character" w:customStyle="1" w:styleId="170">
    <w:name w:val="B3 Char2"/>
    <w:link w:val="124"/>
    <w:qFormat/>
    <w:uiPriority w:val="0"/>
    <w:rPr>
      <w:rFonts w:ascii="Times New Roman" w:hAnsi="Times New Roman"/>
      <w:lang w:val="en-GB" w:eastAsia="en-US"/>
    </w:rPr>
  </w:style>
  <w:style w:type="character" w:customStyle="1" w:styleId="171">
    <w:name w:val="Editor's Note Char"/>
    <w:link w:val="121"/>
    <w:qFormat/>
    <w:uiPriority w:val="0"/>
    <w:rPr>
      <w:rFonts w:ascii="Times New Roman" w:hAnsi="Times New Roman"/>
      <w:color w:val="FF0000"/>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3" Type="http://schemas.microsoft.com/office/2011/relationships/people" Target="people.xml"/><Relationship Id="rId22" Type="http://schemas.openxmlformats.org/officeDocument/2006/relationships/fontTable" Target="fontTable.xml"/><Relationship Id="rId21" Type="http://schemas.microsoft.com/office/2006/relationships/keyMapCustomizations" Target="customizations.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emf"/><Relationship Id="rId16" Type="http://schemas.openxmlformats.org/officeDocument/2006/relationships/oleObject" Target="embeddings/oleObject2.bin"/><Relationship Id="rId15" Type="http://schemas.openxmlformats.org/officeDocument/2006/relationships/image" Target="media/image1.e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6CC0AA-1B64-400D-A06D-C8F14FB603AF}">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5</Pages>
  <Words>2055</Words>
  <Characters>12890</Characters>
  <Lines>107</Lines>
  <Paragraphs>29</Paragraphs>
  <TotalTime>12</TotalTime>
  <ScaleCrop>false</ScaleCrop>
  <LinksUpToDate>false</LinksUpToDate>
  <CharactersWithSpaces>14916</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2023-03-02T16:44:00Z</dcterms:created>
  <dc:creator>Michael Sanders, John M Meredith</dc:creator>
  <cp:lastModifiedBy>CMCC-r2</cp:lastModifiedBy>
  <cp:lastPrinted>2411-12-31T23:00:00Z</cp:lastPrinted>
  <dcterms:modified xsi:type="dcterms:W3CDTF">2023-04-20T11:40:38Z</dcterms:modified>
  <dc:title>MTG_TITLE</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2052-11.8.2.10321</vt:lpwstr>
  </property>
</Properties>
</file>