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592653">
        <w:rPr>
          <w:b/>
          <w:noProof/>
          <w:sz w:val="24"/>
        </w:rPr>
        <w:t>113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92653">
        <w:rPr>
          <w:rFonts w:ascii="Arial" w:hAnsi="Arial" w:cs="Arial"/>
          <w:b/>
          <w:bCs/>
        </w:rPr>
        <w:t>RACS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5"/>
        <w:gridCol w:w="725"/>
        <w:gridCol w:w="715"/>
        <w:gridCol w:w="715"/>
        <w:gridCol w:w="1330"/>
        <w:gridCol w:w="473"/>
        <w:gridCol w:w="739"/>
        <w:gridCol w:w="753"/>
        <w:gridCol w:w="1162"/>
        <w:gridCol w:w="739"/>
        <w:gridCol w:w="1243"/>
        <w:gridCol w:w="742"/>
      </w:tblGrid>
      <w:tr w:rsidR="00592653" w:rsidRPr="00592653" w:rsidTr="00592653">
        <w:trPr>
          <w:trHeight w:val="45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92653" w:rsidRPr="00592653" w:rsidTr="00592653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RACS capability bit in UE network capability ID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9.9.3.34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112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UE radio capability ID availability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5.4.3.2, 5.5.1.2.2, 8.2.4.1, 8.2.2.6.1, 8.2.29.1, 9.9.3.58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based solution for RACS ID synchronization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Samsung, Ericsson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5.3.20, 5.4.3.2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radio capability ID availability indication at mobility TAU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ZTE, Samsung, vivo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5.5.3.2.2, 5.5.3.3.2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storage of RACS parameters in non-volatile memory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C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UE radio capability ID reference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C1-196035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Limited, Qualcomm Incorporated, ZTE, Ericsson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8.2.7.1, 8.2.19.1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9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Identification procedure for RACS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C1-197005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 support at EPS to 5GS IWK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ZTE, Qualcomm Incorporated, vivo, Samsung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2653" w:rsidRPr="00592653" w:rsidTr="00592653">
        <w:trPr>
          <w:trHeight w:val="13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storage of RACS parameters in non-volatile memory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C.1, Annex C.2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53" w:rsidRPr="00592653" w:rsidRDefault="00592653" w:rsidP="005926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26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0BE" w:rsidRDefault="000810BE">
      <w:r>
        <w:separator/>
      </w:r>
    </w:p>
  </w:endnote>
  <w:endnote w:type="continuationSeparator" w:id="0">
    <w:p w:rsidR="000810BE" w:rsidRDefault="0008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0BE" w:rsidRDefault="000810BE">
      <w:r>
        <w:separator/>
      </w:r>
    </w:p>
  </w:footnote>
  <w:footnote w:type="continuationSeparator" w:id="0">
    <w:p w:rsidR="000810BE" w:rsidRDefault="00081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810BE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2653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8C5A26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2019-12-02T09:37:00Z</dcterms:modified>
</cp:coreProperties>
</file>