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892727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14:paraId="7AE399D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bookmarkEnd w:id="3"/>
            <w:r>
              <w:rPr>
                <w:rFonts w:hint="eastAsia" w:eastAsia="宋体"/>
                <w:lang w:val="en-US" w:eastAsia="zh-CN"/>
              </w:rPr>
              <w:t>2</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04</w:t>
            </w:r>
            <w:r>
              <w:rPr>
                <w:sz w:val="32"/>
              </w:rPr>
              <w:t>)</w:t>
            </w:r>
          </w:p>
        </w:tc>
      </w:tr>
      <w:tr w14:paraId="28D1DF1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3D8469">
            <w:pPr>
              <w:pStyle w:val="115"/>
              <w:framePr w:w="0" w:hRule="auto" w:wrap="auto" w:vAnchor="margin" w:hAnchor="text" w:yAlign="inline"/>
            </w:pPr>
            <w:r>
              <w:t xml:space="preserve">Technical </w:t>
            </w:r>
            <w:bookmarkStart w:id="5" w:name="spectype2"/>
            <w:r>
              <w:rPr>
                <w:highlight w:val="yellow"/>
              </w:rPr>
              <w:t>Report</w:t>
            </w:r>
            <w:bookmarkEnd w:id="5"/>
          </w:p>
          <w:p w14:paraId="540D99CB">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641528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1667F668">
            <w:pPr>
              <w:pStyle w:val="116"/>
              <w:framePr w:wrap="auto" w:vAnchor="margin" w:hAnchor="text" w:yAlign="inline"/>
            </w:pPr>
            <w:r>
              <w:t>3rd Generation Partnership Project;</w:t>
            </w:r>
          </w:p>
          <w:p w14:paraId="2D64BC17">
            <w:pPr>
              <w:pStyle w:val="116"/>
              <w:framePr w:wrap="auto" w:vAnchor="margin" w:hAnchor="text" w:yAlign="inline"/>
              <w:rPr>
                <w:highlight w:val="yellow"/>
              </w:rPr>
            </w:pPr>
            <w:r>
              <w:t xml:space="preserve">Technical Specification Group </w:t>
            </w:r>
            <w:bookmarkStart w:id="6" w:name="specTitle"/>
            <w:r>
              <w:t>Services and System Aspects;</w:t>
            </w:r>
          </w:p>
          <w:p w14:paraId="0C907CB3">
            <w:pPr>
              <w:pStyle w:val="116"/>
              <w:framePr w:wrap="auto" w:vAnchor="margin" w:hAnchor="text" w:yAlign="inline"/>
            </w:pPr>
            <w:r>
              <w:rPr>
                <w:rFonts w:hint="eastAsia"/>
              </w:rPr>
              <w:t>Study on Ultra Low Bitrate Speech Codecs</w:t>
            </w:r>
            <w:bookmarkEnd w:id="6"/>
          </w:p>
          <w:p w14:paraId="1E0C974D">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5E47ED1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AB64A2A">
            <w:pPr>
              <w:pStyle w:val="117"/>
              <w:framePr w:w="0" w:wrap="auto" w:vAnchor="margin" w:hAnchor="text" w:yAlign="inline"/>
              <w:tabs>
                <w:tab w:val="right" w:pos="10206"/>
              </w:tabs>
              <w:jc w:val="left"/>
              <w:rPr>
                <w:color w:val="0000FF"/>
              </w:rPr>
            </w:pPr>
            <w:r>
              <w:rPr>
                <w:color w:val="0000FF"/>
              </w:rPr>
              <w:tab/>
            </w:r>
          </w:p>
        </w:tc>
      </w:tr>
      <w:tr w14:paraId="004B30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085FA8A2">
            <w:pPr>
              <w:pStyle w:val="104"/>
            </w:pPr>
            <w:r>
              <w:object>
                <v:shape id="_x0000_i1025" o:spt="75" type="#_x0000_t75" style="height:64.95pt;width:100.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58D50C71">
            <w:pPr>
              <w:pStyle w:val="103"/>
            </w:pPr>
            <w:r>
              <w:object>
                <v:shape id="_x0000_i1026" o:spt="75" type="#_x0000_t75" style="height:72pt;width:129.4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4A2329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14:paraId="5F993C11">
            <w:pPr>
              <w:pStyle w:val="104"/>
            </w:pPr>
            <w:bookmarkStart w:id="8" w:name="_MON_1710316271"/>
            <w:bookmarkEnd w:id="8"/>
          </w:p>
        </w:tc>
      </w:tr>
      <w:tr w14:paraId="2171FC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shd w:val="clear" w:color="auto" w:fill="auto"/>
          </w:tcPr>
          <w:p w14:paraId="2D7CA27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2C8C388">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52CAD0CE">
        <w:tblPrEx>
          <w:tblCellMar>
            <w:top w:w="0" w:type="dxa"/>
            <w:left w:w="108" w:type="dxa"/>
            <w:bottom w:w="0" w:type="dxa"/>
            <w:right w:w="108" w:type="dxa"/>
          </w:tblCellMar>
        </w:tblPrEx>
        <w:trPr>
          <w:trHeight w:val="5670" w:hRule="exact"/>
        </w:trPr>
        <w:tc>
          <w:tcPr>
            <w:tcW w:w="10423" w:type="dxa"/>
            <w:shd w:val="clear" w:color="auto" w:fill="auto"/>
          </w:tcPr>
          <w:p w14:paraId="0BA1A1DA">
            <w:pPr>
              <w:pStyle w:val="129"/>
            </w:pPr>
            <w:bookmarkStart w:id="10" w:name="page2"/>
          </w:p>
        </w:tc>
      </w:tr>
      <w:tr w14:paraId="0039D709">
        <w:tblPrEx>
          <w:tblCellMar>
            <w:top w:w="0" w:type="dxa"/>
            <w:left w:w="108" w:type="dxa"/>
            <w:bottom w:w="0" w:type="dxa"/>
            <w:right w:w="108" w:type="dxa"/>
          </w:tblCellMar>
        </w:tblPrEx>
        <w:trPr>
          <w:trHeight w:val="5387" w:hRule="exact"/>
        </w:trPr>
        <w:tc>
          <w:tcPr>
            <w:tcW w:w="10423" w:type="dxa"/>
            <w:shd w:val="clear" w:color="auto" w:fill="auto"/>
          </w:tcPr>
          <w:p w14:paraId="49B959E8">
            <w:pPr>
              <w:pStyle w:val="109"/>
              <w:spacing w:after="240"/>
              <w:ind w:left="2835" w:right="2835"/>
              <w:jc w:val="center"/>
              <w:rPr>
                <w:rFonts w:ascii="Arial" w:hAnsi="Arial"/>
                <w:b/>
                <w:i/>
              </w:rPr>
            </w:pPr>
            <w:bookmarkStart w:id="11" w:name="coords3gpp"/>
            <w:r>
              <w:rPr>
                <w:rFonts w:ascii="Arial" w:hAnsi="Arial"/>
                <w:b/>
                <w:i/>
              </w:rPr>
              <w:t>3GPP</w:t>
            </w:r>
          </w:p>
          <w:p w14:paraId="66BB08C6">
            <w:pPr>
              <w:pStyle w:val="109"/>
              <w:pBdr>
                <w:bottom w:val="single" w:color="auto" w:sz="6" w:space="1"/>
              </w:pBdr>
              <w:ind w:left="2835" w:right="2835"/>
              <w:jc w:val="center"/>
            </w:pPr>
            <w:r>
              <w:t>Postal address</w:t>
            </w:r>
          </w:p>
          <w:p w14:paraId="304C788F">
            <w:pPr>
              <w:pStyle w:val="109"/>
              <w:ind w:left="2835" w:right="2835"/>
              <w:jc w:val="center"/>
              <w:rPr>
                <w:rFonts w:ascii="Arial" w:hAnsi="Arial"/>
                <w:sz w:val="18"/>
              </w:rPr>
            </w:pPr>
          </w:p>
          <w:p w14:paraId="00B9DD9F">
            <w:pPr>
              <w:pStyle w:val="109"/>
              <w:pBdr>
                <w:bottom w:val="single" w:color="auto" w:sz="6" w:space="1"/>
              </w:pBdr>
              <w:spacing w:before="240"/>
              <w:ind w:left="2835" w:right="2835"/>
              <w:jc w:val="center"/>
            </w:pPr>
            <w:r>
              <w:t>3GPP support office address</w:t>
            </w:r>
          </w:p>
          <w:p w14:paraId="7577BDCD">
            <w:pPr>
              <w:pStyle w:val="109"/>
              <w:ind w:left="2835" w:right="2835"/>
              <w:jc w:val="center"/>
              <w:rPr>
                <w:rFonts w:ascii="Arial" w:hAnsi="Arial"/>
                <w:sz w:val="18"/>
                <w:lang w:val="fr-FR"/>
              </w:rPr>
            </w:pPr>
            <w:r>
              <w:rPr>
                <w:rFonts w:ascii="Arial" w:hAnsi="Arial"/>
                <w:sz w:val="18"/>
                <w:lang w:val="fr-FR"/>
              </w:rPr>
              <w:t>650 Route des Lucioles - Sophia Antipolis</w:t>
            </w:r>
          </w:p>
          <w:p w14:paraId="0DB965A7">
            <w:pPr>
              <w:pStyle w:val="109"/>
              <w:ind w:left="2835" w:right="2835"/>
              <w:jc w:val="center"/>
              <w:rPr>
                <w:rFonts w:ascii="Arial" w:hAnsi="Arial"/>
                <w:sz w:val="18"/>
                <w:lang w:val="fr-FR"/>
              </w:rPr>
            </w:pPr>
            <w:r>
              <w:rPr>
                <w:rFonts w:ascii="Arial" w:hAnsi="Arial"/>
                <w:sz w:val="18"/>
                <w:lang w:val="fr-FR"/>
              </w:rPr>
              <w:t>Valbonne - FRANCE</w:t>
            </w:r>
          </w:p>
          <w:p w14:paraId="1C7D6035">
            <w:pPr>
              <w:pStyle w:val="109"/>
              <w:spacing w:after="20"/>
              <w:ind w:left="2835" w:right="2835"/>
              <w:jc w:val="center"/>
              <w:rPr>
                <w:rFonts w:ascii="Arial" w:hAnsi="Arial"/>
                <w:sz w:val="18"/>
              </w:rPr>
            </w:pPr>
            <w:r>
              <w:rPr>
                <w:rFonts w:ascii="Arial" w:hAnsi="Arial"/>
                <w:sz w:val="18"/>
              </w:rPr>
              <w:t>Tel.: +33 4 92 94 42 00 Fax: +33 4 93 65 47 16</w:t>
            </w:r>
          </w:p>
          <w:p w14:paraId="10E08EFF">
            <w:pPr>
              <w:pStyle w:val="109"/>
              <w:pBdr>
                <w:bottom w:val="single" w:color="auto" w:sz="6" w:space="1"/>
              </w:pBdr>
              <w:spacing w:before="240"/>
              <w:ind w:left="2835" w:right="2835"/>
              <w:jc w:val="center"/>
            </w:pPr>
            <w:r>
              <w:t>Internet</w:t>
            </w:r>
          </w:p>
          <w:p w14:paraId="11DA99E4">
            <w:pPr>
              <w:pStyle w:val="109"/>
              <w:ind w:left="2835" w:right="2835"/>
              <w:jc w:val="center"/>
              <w:rPr>
                <w:rFonts w:ascii="Arial" w:hAnsi="Arial"/>
                <w:sz w:val="18"/>
              </w:rPr>
            </w:pPr>
            <w:r>
              <w:rPr>
                <w:rFonts w:ascii="Arial" w:hAnsi="Arial"/>
                <w:sz w:val="18"/>
              </w:rPr>
              <w:t>https://www.3gpp.org</w:t>
            </w:r>
            <w:bookmarkEnd w:id="11"/>
          </w:p>
          <w:p w14:paraId="0A4E7DB9"/>
        </w:tc>
      </w:tr>
      <w:tr w14:paraId="50465389">
        <w:tblPrEx>
          <w:tblCellMar>
            <w:top w:w="0" w:type="dxa"/>
            <w:left w:w="108" w:type="dxa"/>
            <w:bottom w:w="0" w:type="dxa"/>
            <w:right w:w="108" w:type="dxa"/>
          </w:tblCellMar>
        </w:tblPrEx>
        <w:tc>
          <w:tcPr>
            <w:tcW w:w="10423" w:type="dxa"/>
            <w:shd w:val="clear" w:color="auto" w:fill="auto"/>
            <w:vAlign w:val="bottom"/>
          </w:tcPr>
          <w:p w14:paraId="45FB29EB">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F83F84F">
            <w:pPr>
              <w:pStyle w:val="109"/>
              <w:jc w:val="center"/>
            </w:pPr>
            <w:r>
              <w:t>No part may be reproduced except as authorized by written permission.</w:t>
            </w:r>
            <w:r>
              <w:br w:type="textWrapping"/>
            </w:r>
            <w:r>
              <w:t>The copyright and the foregoing restriction extend to reproduction in all media.</w:t>
            </w:r>
          </w:p>
          <w:p w14:paraId="14D9D20F">
            <w:pPr>
              <w:pStyle w:val="109"/>
              <w:jc w:val="center"/>
            </w:pPr>
          </w:p>
          <w:p w14:paraId="035C3762">
            <w:pPr>
              <w:pStyle w:val="109"/>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03C56B58">
            <w:pPr>
              <w:pStyle w:val="109"/>
              <w:jc w:val="center"/>
              <w:rPr>
                <w:sz w:val="18"/>
              </w:rPr>
            </w:pPr>
            <w:r>
              <w:rPr>
                <w:sz w:val="18"/>
              </w:rPr>
              <w:t>All rights reserved.</w:t>
            </w:r>
          </w:p>
          <w:p w14:paraId="47B3C00C">
            <w:pPr>
              <w:pStyle w:val="109"/>
              <w:rPr>
                <w:sz w:val="18"/>
              </w:rPr>
            </w:pPr>
          </w:p>
          <w:p w14:paraId="55DB6539">
            <w:pPr>
              <w:pStyle w:val="109"/>
              <w:rPr>
                <w:sz w:val="18"/>
              </w:rPr>
            </w:pPr>
            <w:r>
              <w:rPr>
                <w:sz w:val="18"/>
              </w:rPr>
              <w:t>UMTS™ is a Trade Mark of ETSI registered for the benefit of its members</w:t>
            </w:r>
          </w:p>
          <w:p w14:paraId="5CC725E1">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F051156">
            <w:pPr>
              <w:pStyle w:val="109"/>
              <w:rPr>
                <w:sz w:val="18"/>
              </w:rPr>
            </w:pPr>
            <w:r>
              <w:rPr>
                <w:sz w:val="18"/>
              </w:rPr>
              <w:t>GSM® and the GSM logo are registered and owned by the GSM Association</w:t>
            </w:r>
            <w:bookmarkEnd w:id="12"/>
          </w:p>
          <w:p w14:paraId="6076FFF5"/>
        </w:tc>
      </w:tr>
      <w:bookmarkEnd w:id="10"/>
    </w:tbl>
    <w:p w14:paraId="34FFA070">
      <w:pPr>
        <w:pStyle w:val="100"/>
      </w:pPr>
      <w:r>
        <w:br w:type="page"/>
      </w:r>
      <w:bookmarkStart w:id="15" w:name="tableOfContents"/>
      <w:bookmarkEnd w:id="15"/>
      <w:r>
        <w:t>Contents</w:t>
      </w:r>
    </w:p>
    <w:p w14:paraId="022E7692">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_Toc24204 \h </w:instrText>
      </w:r>
      <w:r>
        <w:fldChar w:fldCharType="separate"/>
      </w:r>
      <w:r>
        <w:t>4</w:t>
      </w:r>
      <w:r>
        <w:fldChar w:fldCharType="end"/>
      </w:r>
    </w:p>
    <w:p w14:paraId="5C6605E6">
      <w:pPr>
        <w:pStyle w:val="20"/>
        <w:tabs>
          <w:tab w:val="right" w:leader="dot" w:pos="9641"/>
          <w:tab w:val="clear" w:pos="9639"/>
        </w:tabs>
      </w:pPr>
      <w:r>
        <w:t>Introduction</w:t>
      </w:r>
      <w:r>
        <w:tab/>
      </w:r>
      <w:r>
        <w:fldChar w:fldCharType="begin"/>
      </w:r>
      <w:r>
        <w:instrText xml:space="preserve"> PAGEREF _Toc1662 \h </w:instrText>
      </w:r>
      <w:r>
        <w:fldChar w:fldCharType="separate"/>
      </w:r>
      <w:r>
        <w:t>4</w:t>
      </w:r>
      <w:r>
        <w:fldChar w:fldCharType="end"/>
      </w:r>
    </w:p>
    <w:p w14:paraId="62D1B2FC">
      <w:pPr>
        <w:pStyle w:val="20"/>
        <w:tabs>
          <w:tab w:val="right" w:leader="dot" w:pos="9641"/>
          <w:tab w:val="clear" w:pos="9639"/>
        </w:tabs>
      </w:pPr>
      <w:r>
        <w:t>1</w:t>
      </w:r>
      <w:r>
        <w:tab/>
      </w:r>
      <w:r>
        <w:t>Scope</w:t>
      </w:r>
      <w:r>
        <w:tab/>
      </w:r>
      <w:r>
        <w:fldChar w:fldCharType="begin"/>
      </w:r>
      <w:r>
        <w:instrText xml:space="preserve"> PAGEREF _Toc2760 \h </w:instrText>
      </w:r>
      <w:r>
        <w:fldChar w:fldCharType="separate"/>
      </w:r>
      <w:r>
        <w:t>5</w:t>
      </w:r>
      <w:r>
        <w:fldChar w:fldCharType="end"/>
      </w:r>
    </w:p>
    <w:p w14:paraId="1E715D8F">
      <w:pPr>
        <w:pStyle w:val="20"/>
        <w:tabs>
          <w:tab w:val="right" w:leader="dot" w:pos="9641"/>
          <w:tab w:val="clear" w:pos="9639"/>
        </w:tabs>
      </w:pPr>
      <w:r>
        <w:t>2</w:t>
      </w:r>
      <w:r>
        <w:tab/>
      </w:r>
      <w:r>
        <w:t>References</w:t>
      </w:r>
      <w:r>
        <w:tab/>
      </w:r>
      <w:r>
        <w:fldChar w:fldCharType="begin"/>
      </w:r>
      <w:r>
        <w:instrText xml:space="preserve"> PAGEREF _Toc23863 \h </w:instrText>
      </w:r>
      <w:r>
        <w:fldChar w:fldCharType="separate"/>
      </w:r>
      <w:r>
        <w:t>6</w:t>
      </w:r>
      <w:r>
        <w:fldChar w:fldCharType="end"/>
      </w:r>
    </w:p>
    <w:p w14:paraId="02D8449C">
      <w:pPr>
        <w:pStyle w:val="20"/>
        <w:tabs>
          <w:tab w:val="right" w:leader="dot" w:pos="9641"/>
          <w:tab w:val="clear" w:pos="9639"/>
        </w:tabs>
      </w:pPr>
      <w:r>
        <w:t>3</w:t>
      </w:r>
      <w:r>
        <w:tab/>
      </w:r>
      <w:r>
        <w:t>Definitions of terms, symbols and abbreviations</w:t>
      </w:r>
      <w:r>
        <w:tab/>
      </w:r>
      <w:r>
        <w:fldChar w:fldCharType="begin"/>
      </w:r>
      <w:r>
        <w:instrText xml:space="preserve"> PAGEREF _Toc3318 \h </w:instrText>
      </w:r>
      <w:r>
        <w:fldChar w:fldCharType="separate"/>
      </w:r>
      <w:r>
        <w:t>6</w:t>
      </w:r>
      <w:r>
        <w:fldChar w:fldCharType="end"/>
      </w:r>
    </w:p>
    <w:p w14:paraId="37EA7986">
      <w:pPr>
        <w:pStyle w:val="19"/>
        <w:tabs>
          <w:tab w:val="right" w:leader="dot" w:pos="9641"/>
          <w:tab w:val="clear" w:pos="9639"/>
        </w:tabs>
      </w:pPr>
      <w:r>
        <w:t>3.1</w:t>
      </w:r>
      <w:r>
        <w:tab/>
      </w:r>
      <w:r>
        <w:t>Terms</w:t>
      </w:r>
      <w:r>
        <w:tab/>
      </w:r>
      <w:r>
        <w:fldChar w:fldCharType="begin"/>
      </w:r>
      <w:r>
        <w:instrText xml:space="preserve"> PAGEREF _Toc31175 \h </w:instrText>
      </w:r>
      <w:r>
        <w:fldChar w:fldCharType="separate"/>
      </w:r>
      <w:r>
        <w:t>6</w:t>
      </w:r>
      <w:r>
        <w:fldChar w:fldCharType="end"/>
      </w:r>
    </w:p>
    <w:p w14:paraId="1A6B5D64">
      <w:pPr>
        <w:pStyle w:val="19"/>
        <w:tabs>
          <w:tab w:val="right" w:leader="dot" w:pos="9641"/>
          <w:tab w:val="clear" w:pos="9639"/>
        </w:tabs>
      </w:pPr>
      <w:r>
        <w:t>3.2</w:t>
      </w:r>
      <w:r>
        <w:tab/>
      </w:r>
      <w:r>
        <w:t>Symbols</w:t>
      </w:r>
      <w:r>
        <w:tab/>
      </w:r>
      <w:r>
        <w:fldChar w:fldCharType="begin"/>
      </w:r>
      <w:r>
        <w:instrText xml:space="preserve"> PAGEREF _Toc11155 \h </w:instrText>
      </w:r>
      <w:r>
        <w:fldChar w:fldCharType="separate"/>
      </w:r>
      <w:r>
        <w:t>6</w:t>
      </w:r>
      <w:r>
        <w:fldChar w:fldCharType="end"/>
      </w:r>
    </w:p>
    <w:p w14:paraId="612A3167">
      <w:pPr>
        <w:pStyle w:val="19"/>
        <w:tabs>
          <w:tab w:val="right" w:leader="dot" w:pos="9641"/>
          <w:tab w:val="clear" w:pos="9639"/>
        </w:tabs>
      </w:pPr>
      <w:r>
        <w:t>3.3</w:t>
      </w:r>
      <w:r>
        <w:tab/>
      </w:r>
      <w:r>
        <w:t>Abbreviations</w:t>
      </w:r>
      <w:r>
        <w:tab/>
      </w:r>
      <w:r>
        <w:fldChar w:fldCharType="begin"/>
      </w:r>
      <w:r>
        <w:instrText xml:space="preserve"> PAGEREF _Toc10277 \h </w:instrText>
      </w:r>
      <w:r>
        <w:fldChar w:fldCharType="separate"/>
      </w:r>
      <w:r>
        <w:t>7</w:t>
      </w:r>
      <w:r>
        <w:fldChar w:fldCharType="end"/>
      </w:r>
    </w:p>
    <w:p w14:paraId="38E7372C">
      <w:pPr>
        <w:pStyle w:val="20"/>
        <w:tabs>
          <w:tab w:val="right" w:leader="dot" w:pos="9641"/>
          <w:tab w:val="clear" w:pos="9639"/>
        </w:tabs>
      </w:pPr>
      <w:r>
        <w:t>4</w:t>
      </w:r>
      <w:r>
        <w:tab/>
      </w:r>
      <w:r>
        <w:t>Application scenarios for ultra-low bit rate communication services</w:t>
      </w:r>
      <w:r>
        <w:tab/>
      </w:r>
      <w:r>
        <w:fldChar w:fldCharType="begin"/>
      </w:r>
      <w:r>
        <w:instrText xml:space="preserve"> PAGEREF _Toc19589 \h </w:instrText>
      </w:r>
      <w:r>
        <w:fldChar w:fldCharType="separate"/>
      </w:r>
      <w:r>
        <w:t>7</w:t>
      </w:r>
      <w:r>
        <w:fldChar w:fldCharType="end"/>
      </w:r>
    </w:p>
    <w:p w14:paraId="219727A8">
      <w:pPr>
        <w:pStyle w:val="20"/>
        <w:tabs>
          <w:tab w:val="right" w:leader="dot" w:pos="9641"/>
          <w:tab w:val="clear" w:pos="9639"/>
        </w:tabs>
      </w:pPr>
      <w:r>
        <w:t>5</w:t>
      </w:r>
      <w:r>
        <w:tab/>
      </w:r>
      <w:r>
        <w:rPr>
          <w:rFonts w:hint="eastAsia" w:eastAsia="宋体"/>
          <w:lang w:val="en-US" w:eastAsia="zh-CN"/>
        </w:rPr>
        <w:t>C</w:t>
      </w:r>
      <w:r>
        <w:t>hannel characteristics</w:t>
      </w:r>
      <w:r>
        <w:rPr>
          <w:rFonts w:hint="eastAsia" w:eastAsia="宋体"/>
          <w:lang w:val="en-US" w:eastAsia="zh-CN"/>
        </w:rPr>
        <w:t xml:space="preserve"> and service-related dependencies</w:t>
      </w:r>
      <w:r>
        <w:tab/>
      </w:r>
      <w:r>
        <w:fldChar w:fldCharType="begin"/>
      </w:r>
      <w:r>
        <w:instrText xml:space="preserve"> PAGEREF _Toc24914 \h </w:instrText>
      </w:r>
      <w:r>
        <w:fldChar w:fldCharType="separate"/>
      </w:r>
      <w:r>
        <w:t>7</w:t>
      </w:r>
      <w:r>
        <w:fldChar w:fldCharType="end"/>
      </w:r>
    </w:p>
    <w:p w14:paraId="36C43075">
      <w:pPr>
        <w:pStyle w:val="20"/>
        <w:tabs>
          <w:tab w:val="right" w:leader="dot" w:pos="9641"/>
          <w:tab w:val="clear" w:pos="9639"/>
        </w:tabs>
      </w:pPr>
      <w:r>
        <w:t>6</w:t>
      </w:r>
      <w:r>
        <w:tab/>
      </w:r>
      <w:r>
        <w:t>Design constraints</w:t>
      </w:r>
      <w:r>
        <w:tab/>
      </w:r>
      <w:r>
        <w:fldChar w:fldCharType="begin"/>
      </w:r>
      <w:r>
        <w:instrText xml:space="preserve"> PAGEREF _Toc27795 \h </w:instrText>
      </w:r>
      <w:r>
        <w:fldChar w:fldCharType="separate"/>
      </w:r>
      <w:r>
        <w:t>7</w:t>
      </w:r>
      <w:r>
        <w:fldChar w:fldCharType="end"/>
      </w:r>
    </w:p>
    <w:p w14:paraId="0593AFD5">
      <w:pPr>
        <w:pStyle w:val="20"/>
        <w:tabs>
          <w:tab w:val="right" w:leader="dot" w:pos="9641"/>
          <w:tab w:val="clear" w:pos="9639"/>
        </w:tabs>
      </w:pPr>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 xml:space="preserve">vidence </w:t>
      </w:r>
      <w:r>
        <w:tab/>
      </w:r>
      <w:r>
        <w:fldChar w:fldCharType="begin"/>
      </w:r>
      <w:r>
        <w:instrText xml:space="preserve"> PAGEREF _Toc16261 \h </w:instrText>
      </w:r>
      <w:r>
        <w:fldChar w:fldCharType="separate"/>
      </w:r>
      <w:r>
        <w:t>8</w:t>
      </w:r>
      <w:r>
        <w:fldChar w:fldCharType="end"/>
      </w:r>
    </w:p>
    <w:p w14:paraId="2021E379">
      <w:pPr>
        <w:pStyle w:val="20"/>
        <w:tabs>
          <w:tab w:val="right" w:leader="dot" w:pos="9641"/>
          <w:tab w:val="clear" w:pos="9639"/>
        </w:tabs>
      </w:pPr>
      <w:r>
        <w:t>8</w:t>
      </w:r>
      <w:r>
        <w:tab/>
      </w:r>
      <w:r>
        <w:t>Performance requirements</w:t>
      </w:r>
      <w:r>
        <w:tab/>
      </w:r>
      <w:r>
        <w:fldChar w:fldCharType="begin"/>
      </w:r>
      <w:r>
        <w:instrText xml:space="preserve"> PAGEREF _Toc13181 \h </w:instrText>
      </w:r>
      <w:r>
        <w:fldChar w:fldCharType="separate"/>
      </w:r>
      <w:r>
        <w:t>8</w:t>
      </w:r>
      <w:r>
        <w:fldChar w:fldCharType="end"/>
      </w:r>
    </w:p>
    <w:p w14:paraId="40250587">
      <w:pPr>
        <w:pStyle w:val="20"/>
        <w:tabs>
          <w:tab w:val="right" w:leader="dot" w:pos="9641"/>
          <w:tab w:val="clear" w:pos="9639"/>
        </w:tabs>
      </w:pPr>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r>
        <w:tab/>
      </w:r>
      <w:r>
        <w:fldChar w:fldCharType="begin"/>
      </w:r>
      <w:r>
        <w:instrText xml:space="preserve"> PAGEREF _Toc28762 \h </w:instrText>
      </w:r>
      <w:r>
        <w:fldChar w:fldCharType="separate"/>
      </w:r>
      <w:r>
        <w:t>8</w:t>
      </w:r>
      <w:r>
        <w:fldChar w:fldCharType="end"/>
      </w:r>
    </w:p>
    <w:p w14:paraId="25B41AB2">
      <w:pPr>
        <w:pStyle w:val="20"/>
        <w:tabs>
          <w:tab w:val="right" w:leader="dot" w:pos="9641"/>
          <w:tab w:val="clear" w:pos="9639"/>
        </w:tabs>
      </w:pPr>
      <w:r>
        <w:rPr>
          <w:rFonts w:hint="eastAsia"/>
          <w:lang w:val="en-US" w:eastAsia="zh-CN"/>
        </w:rPr>
        <w:t>10</w:t>
      </w:r>
      <w:r>
        <w:rPr>
          <w:rFonts w:hint="eastAsia"/>
          <w:lang w:val="en-US" w:eastAsia="zh-CN"/>
        </w:rPr>
        <w:tab/>
      </w:r>
      <w:r>
        <w:rPr>
          <w:rFonts w:hint="eastAsia"/>
          <w:lang w:val="en-US" w:eastAsia="zh-CN"/>
        </w:rPr>
        <w:t>Considered work plan for potential normative work</w:t>
      </w:r>
      <w:r>
        <w:tab/>
      </w:r>
      <w:r>
        <w:fldChar w:fldCharType="begin"/>
      </w:r>
      <w:r>
        <w:instrText xml:space="preserve"> PAGEREF _Toc4578 \h </w:instrText>
      </w:r>
      <w:r>
        <w:fldChar w:fldCharType="separate"/>
      </w:r>
      <w:r>
        <w:t>8</w:t>
      </w:r>
      <w:r>
        <w:fldChar w:fldCharType="end"/>
      </w:r>
    </w:p>
    <w:p w14:paraId="442260C6">
      <w:pPr>
        <w:pStyle w:val="20"/>
        <w:tabs>
          <w:tab w:val="right" w:leader="dot" w:pos="9641"/>
          <w:tab w:val="clear" w:pos="9639"/>
        </w:tabs>
      </w:pPr>
      <w:r>
        <w:rPr>
          <w:rFonts w:hint="eastAsia" w:eastAsia="宋体"/>
          <w:lang w:val="en-US" w:eastAsia="zh-CN"/>
        </w:rPr>
        <w:t>11</w:t>
      </w:r>
      <w:r>
        <w:tab/>
      </w:r>
      <w:r>
        <w:t>Conclusion</w:t>
      </w:r>
      <w:r>
        <w:rPr>
          <w:rFonts w:hint="eastAsia" w:eastAsia="宋体"/>
          <w:lang w:val="en-US" w:eastAsia="zh-CN"/>
        </w:rPr>
        <w:t>s and recommendations</w:t>
      </w:r>
      <w:r>
        <w:tab/>
      </w:r>
      <w:r>
        <w:fldChar w:fldCharType="begin"/>
      </w:r>
      <w:r>
        <w:instrText xml:space="preserve"> PAGEREF _Toc32604 \h </w:instrText>
      </w:r>
      <w:r>
        <w:fldChar w:fldCharType="separate"/>
      </w:r>
      <w:r>
        <w:t>9</w:t>
      </w:r>
      <w:r>
        <w:fldChar w:fldCharType="end"/>
      </w:r>
    </w:p>
    <w:p w14:paraId="7BB73E9A">
      <w:pPr>
        <w:pStyle w:val="20"/>
        <w:tabs>
          <w:tab w:val="right" w:leader="dot" w:pos="9641"/>
          <w:tab w:val="clear" w:pos="9639"/>
        </w:tabs>
      </w:pPr>
      <w:r>
        <w:t>Proforma copyright release text block</w:t>
      </w:r>
      <w:r>
        <w:tab/>
      </w:r>
      <w:r>
        <w:fldChar w:fldCharType="begin"/>
      </w:r>
      <w:r>
        <w:instrText xml:space="preserve"> PAGEREF _Toc18814 \h </w:instrText>
      </w:r>
      <w:r>
        <w:fldChar w:fldCharType="separate"/>
      </w:r>
      <w:r>
        <w:t>10</w:t>
      </w:r>
      <w:r>
        <w:fldChar w:fldCharType="end"/>
      </w:r>
    </w:p>
    <w:p w14:paraId="28497E8B">
      <w:pPr>
        <w:pStyle w:val="19"/>
        <w:tabs>
          <w:tab w:val="right" w:leader="dot" w:pos="9641"/>
          <w:tab w:val="clear" w:pos="9639"/>
        </w:tabs>
      </w:pPr>
      <w:r>
        <w:t>X.1</w:t>
      </w:r>
      <w:r>
        <w:tab/>
      </w:r>
      <w:r>
        <w:t>The right to copy</w:t>
      </w:r>
      <w:r>
        <w:tab/>
      </w:r>
      <w:r>
        <w:fldChar w:fldCharType="begin"/>
      </w:r>
      <w:r>
        <w:instrText xml:space="preserve"> PAGEREF _Toc25208 \h </w:instrText>
      </w:r>
      <w:r>
        <w:fldChar w:fldCharType="separate"/>
      </w:r>
      <w:r>
        <w:t>10</w:t>
      </w:r>
      <w:r>
        <w:fldChar w:fldCharType="end"/>
      </w:r>
    </w:p>
    <w:p w14:paraId="0EDF5BAF">
      <w:pPr>
        <w:pStyle w:val="20"/>
        <w:tabs>
          <w:tab w:val="right" w:leader="dot" w:pos="9641"/>
          <w:tab w:val="clear" w:pos="9639"/>
        </w:tabs>
      </w:pPr>
      <w:r>
        <w:t>Abstract Test Suite (ATS) text block</w:t>
      </w:r>
      <w:r>
        <w:tab/>
      </w:r>
      <w:r>
        <w:fldChar w:fldCharType="begin"/>
      </w:r>
      <w:r>
        <w:instrText xml:space="preserve"> PAGEREF _Toc16666 \h </w:instrText>
      </w:r>
      <w:r>
        <w:fldChar w:fldCharType="separate"/>
      </w:r>
      <w:r>
        <w:t>11</w:t>
      </w:r>
      <w:r>
        <w:fldChar w:fldCharType="end"/>
      </w:r>
    </w:p>
    <w:p w14:paraId="6CBBEE50">
      <w:pPr>
        <w:pStyle w:val="20"/>
        <w:tabs>
          <w:tab w:val="right" w:leader="dot" w:pos="9641"/>
          <w:tab w:val="clear" w:pos="9639"/>
        </w:tabs>
      </w:pPr>
      <w:r>
        <w:t>Y</w:t>
      </w:r>
      <w:r>
        <w:tab/>
      </w:r>
      <w:r>
        <w:t>Abstract Test Suite (ATS)</w:t>
      </w:r>
      <w:r>
        <w:tab/>
      </w:r>
      <w:r>
        <w:fldChar w:fldCharType="begin"/>
      </w:r>
      <w:r>
        <w:instrText xml:space="preserve"> PAGEREF _Toc14709 \h </w:instrText>
      </w:r>
      <w:r>
        <w:fldChar w:fldCharType="separate"/>
      </w:r>
      <w:r>
        <w:t>11</w:t>
      </w:r>
      <w:r>
        <w:fldChar w:fldCharType="end"/>
      </w:r>
    </w:p>
    <w:p w14:paraId="198C50A8">
      <w:pPr>
        <w:pStyle w:val="19"/>
        <w:tabs>
          <w:tab w:val="right" w:leader="dot" w:pos="9641"/>
          <w:tab w:val="clear" w:pos="9639"/>
        </w:tabs>
      </w:pPr>
      <w:r>
        <w:t>Y.1</w:t>
      </w:r>
      <w:r>
        <w:tab/>
      </w:r>
      <w:r>
        <w:t>Introduction</w:t>
      </w:r>
      <w:r>
        <w:tab/>
      </w:r>
      <w:r>
        <w:fldChar w:fldCharType="begin"/>
      </w:r>
      <w:r>
        <w:instrText xml:space="preserve"> PAGEREF _Toc8399 \h </w:instrText>
      </w:r>
      <w:r>
        <w:fldChar w:fldCharType="separate"/>
      </w:r>
      <w:r>
        <w:t>11</w:t>
      </w:r>
      <w:r>
        <w:fldChar w:fldCharType="end"/>
      </w:r>
    </w:p>
    <w:p w14:paraId="74CCF580">
      <w:pPr>
        <w:pStyle w:val="20"/>
        <w:tabs>
          <w:tab w:val="right" w:leader="dot" w:pos="9641"/>
          <w:tab w:val="clear" w:pos="9639"/>
        </w:tabs>
      </w:pPr>
      <w:r>
        <w:t>Y.2</w:t>
      </w:r>
      <w:r>
        <w:tab/>
      </w:r>
      <w:r>
        <w:t>The TTCN Graphical form (TTCN.GR)</w:t>
      </w:r>
      <w:r>
        <w:tab/>
      </w:r>
      <w:r>
        <w:fldChar w:fldCharType="begin"/>
      </w:r>
      <w:r>
        <w:instrText xml:space="preserve"> PAGEREF _Toc4590 \h </w:instrText>
      </w:r>
      <w:r>
        <w:fldChar w:fldCharType="separate"/>
      </w:r>
      <w:r>
        <w:t>11</w:t>
      </w:r>
      <w:r>
        <w:fldChar w:fldCharType="end"/>
      </w:r>
    </w:p>
    <w:p w14:paraId="0EB4ED83">
      <w:pPr>
        <w:pStyle w:val="20"/>
        <w:tabs>
          <w:tab w:val="right" w:leader="dot" w:pos="9641"/>
          <w:tab w:val="clear" w:pos="9639"/>
        </w:tabs>
      </w:pPr>
      <w:r>
        <w:t>Y.3</w:t>
      </w:r>
      <w:r>
        <w:tab/>
      </w:r>
      <w:r>
        <w:t>The TTCN Machine Processable form (TTCN.MP)</w:t>
      </w:r>
      <w:r>
        <w:tab/>
      </w:r>
      <w:r>
        <w:fldChar w:fldCharType="begin"/>
      </w:r>
      <w:r>
        <w:instrText xml:space="preserve"> PAGEREF _Toc16311 \h </w:instrText>
      </w:r>
      <w:r>
        <w:fldChar w:fldCharType="separate"/>
      </w:r>
      <w:r>
        <w:t>11</w:t>
      </w:r>
      <w:r>
        <w:fldChar w:fldCharType="end"/>
      </w:r>
    </w:p>
    <w:p w14:paraId="00FB4619">
      <w:pPr>
        <w:pStyle w:val="53"/>
        <w:tabs>
          <w:tab w:val="right" w:leader="dot" w:pos="9641"/>
          <w:tab w:val="clear" w:pos="9639"/>
        </w:tabs>
      </w:pPr>
      <w:r>
        <w:t>Annex &lt;A&gt; (normative): &lt;Normative annex for a Technical Specification&gt;</w:t>
      </w:r>
      <w:r>
        <w:tab/>
      </w:r>
      <w:r>
        <w:fldChar w:fldCharType="begin"/>
      </w:r>
      <w:r>
        <w:instrText xml:space="preserve"> PAGEREF _Toc3803 \h </w:instrText>
      </w:r>
      <w:r>
        <w:fldChar w:fldCharType="separate"/>
      </w:r>
      <w:r>
        <w:t>12</w:t>
      </w:r>
      <w:r>
        <w:fldChar w:fldCharType="end"/>
      </w:r>
    </w:p>
    <w:p w14:paraId="53EB66FE">
      <w:pPr>
        <w:pStyle w:val="53"/>
        <w:tabs>
          <w:tab w:val="right" w:leader="dot" w:pos="9641"/>
          <w:tab w:val="clear" w:pos="9639"/>
        </w:tabs>
      </w:pPr>
      <w:r>
        <w:t>Annex &lt;B&gt; (informative): &lt;Informative annex for a Technical Specification&gt;</w:t>
      </w:r>
      <w:r>
        <w:tab/>
      </w:r>
      <w:r>
        <w:fldChar w:fldCharType="begin"/>
      </w:r>
      <w:r>
        <w:instrText xml:space="preserve"> PAGEREF _Toc17448 \h </w:instrText>
      </w:r>
      <w:r>
        <w:fldChar w:fldCharType="separate"/>
      </w:r>
      <w:r>
        <w:t>13</w:t>
      </w:r>
      <w:r>
        <w:fldChar w:fldCharType="end"/>
      </w:r>
    </w:p>
    <w:p w14:paraId="54DF7567">
      <w:pPr>
        <w:pStyle w:val="20"/>
        <w:tabs>
          <w:tab w:val="right" w:leader="dot" w:pos="9641"/>
          <w:tab w:val="clear" w:pos="9639"/>
        </w:tabs>
      </w:pPr>
      <w:r>
        <w:t>B.1</w:t>
      </w:r>
      <w:r>
        <w:tab/>
      </w:r>
      <w:r>
        <w:t>Heading levels in an annex</w:t>
      </w:r>
      <w:r>
        <w:tab/>
      </w:r>
      <w:r>
        <w:fldChar w:fldCharType="begin"/>
      </w:r>
      <w:r>
        <w:instrText xml:space="preserve"> PAGEREF _Toc30600 \h </w:instrText>
      </w:r>
      <w:r>
        <w:fldChar w:fldCharType="separate"/>
      </w:r>
      <w:r>
        <w:t>13</w:t>
      </w:r>
      <w:r>
        <w:fldChar w:fldCharType="end"/>
      </w:r>
    </w:p>
    <w:p w14:paraId="560DE0AB">
      <w:pPr>
        <w:pStyle w:val="53"/>
        <w:tabs>
          <w:tab w:val="right" w:leader="dot" w:pos="9641"/>
          <w:tab w:val="clear" w:pos="9639"/>
        </w:tabs>
      </w:pPr>
      <w:r>
        <w:t>Annex &lt;F&gt; (informative): Change history</w:t>
      </w:r>
      <w:r>
        <w:tab/>
      </w:r>
      <w:r>
        <w:fldChar w:fldCharType="begin"/>
      </w:r>
      <w:r>
        <w:instrText xml:space="preserve"> PAGEREF _Toc28991 \h </w:instrText>
      </w:r>
      <w:r>
        <w:fldChar w:fldCharType="separate"/>
      </w:r>
      <w:r>
        <w:t>15</w:t>
      </w:r>
      <w:r>
        <w:fldChar w:fldCharType="end"/>
      </w:r>
    </w:p>
    <w:p w14:paraId="21ABE23B">
      <w:pPr>
        <w:tabs>
          <w:tab w:val="right" w:leader="dot" w:pos="9641"/>
        </w:tabs>
      </w:pPr>
      <w:r>
        <w:fldChar w:fldCharType="end"/>
      </w:r>
    </w:p>
    <w:p w14:paraId="5A12BC5C">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1BD107D7">
      <w:pPr>
        <w:pStyle w:val="129"/>
      </w:pPr>
      <w:r>
        <w:t>Ensure all blue guidance text is removed before submitting the TS/TR to the TSG for approval.</w:t>
      </w:r>
    </w:p>
    <w:p w14:paraId="3D268498">
      <w:pPr>
        <w:pStyle w:val="3"/>
      </w:pPr>
      <w:bookmarkStart w:id="16" w:name="foreword"/>
      <w:bookmarkEnd w:id="16"/>
      <w:bookmarkStart w:id="17" w:name="_Toc24204"/>
      <w:bookmarkStart w:id="18" w:name="_Toc8888"/>
      <w:bookmarkStart w:id="19" w:name="_Toc30132"/>
      <w:bookmarkStart w:id="20" w:name="_Toc12049"/>
      <w:bookmarkStart w:id="21" w:name="_Toc191892932"/>
      <w:r>
        <w:t>Foreword</w:t>
      </w:r>
      <w:bookmarkEnd w:id="17"/>
      <w:bookmarkEnd w:id="18"/>
      <w:bookmarkEnd w:id="19"/>
      <w:bookmarkEnd w:id="20"/>
      <w:bookmarkEnd w:id="21"/>
    </w:p>
    <w:p w14:paraId="26D3C3F9">
      <w:pPr>
        <w:pStyle w:val="129"/>
      </w:pPr>
      <w:bookmarkStart w:id="22" w:name="introduction"/>
      <w:bookmarkEnd w:id="22"/>
      <w:bookmarkStart w:id="23" w:name="_Toc11235"/>
      <w:bookmarkStart w:id="24" w:name="_Toc9663"/>
      <w:bookmarkStart w:id="25" w:name="_Toc6442"/>
      <w:bookmarkStart w:id="26" w:name="_Toc191892933"/>
      <w:bookmarkStart w:id="27" w:name="_Toc1662"/>
      <w:r>
        <w:t xml:space="preserve">This clause is mandatory; do not alter the text in any way other than to choose between "Specification" and "Report". </w:t>
      </w:r>
    </w:p>
    <w:p w14:paraId="2511FBFA">
      <w:r>
        <w:t xml:space="preserve">This Technical </w:t>
      </w:r>
      <w:bookmarkStart w:id="28" w:name="spectype3"/>
      <w:r>
        <w:rPr>
          <w:highlight w:val="yellow"/>
        </w:rPr>
        <w:t>Report</w:t>
      </w:r>
      <w:bookmarkEnd w:id="2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2"/>
      </w:pPr>
      <w:r>
        <w:t>Version x.y.z</w:t>
      </w:r>
    </w:p>
    <w:p w14:paraId="580463B0">
      <w:pPr>
        <w:pStyle w:val="112"/>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8"/>
      </w:pPr>
      <w:r>
        <w:rPr>
          <w:b/>
        </w:rPr>
        <w:t>shall</w:t>
      </w:r>
      <w:r>
        <w:tab/>
      </w:r>
      <w:r>
        <w:t>indicates a mandatory requirement to do something</w:t>
      </w:r>
    </w:p>
    <w:p w14:paraId="3622ABA8">
      <w:pPr>
        <w:pStyle w:val="108"/>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8"/>
      </w:pPr>
      <w:r>
        <w:rPr>
          <w:b/>
        </w:rPr>
        <w:t>should</w:t>
      </w:r>
      <w:r>
        <w:tab/>
      </w:r>
      <w:r>
        <w:t>indicates a recommendation to do something</w:t>
      </w:r>
    </w:p>
    <w:p w14:paraId="6D04F475">
      <w:pPr>
        <w:pStyle w:val="108"/>
      </w:pPr>
      <w:r>
        <w:rPr>
          <w:b/>
        </w:rPr>
        <w:t>should not</w:t>
      </w:r>
      <w:r>
        <w:tab/>
      </w:r>
      <w:r>
        <w:t>indicates a recommendation not to do something</w:t>
      </w:r>
    </w:p>
    <w:p w14:paraId="72230B23">
      <w:pPr>
        <w:pStyle w:val="108"/>
      </w:pPr>
      <w:r>
        <w:rPr>
          <w:b/>
        </w:rPr>
        <w:t>may</w:t>
      </w:r>
      <w:r>
        <w:tab/>
      </w:r>
      <w:r>
        <w:t>indicates permission to do something</w:t>
      </w:r>
    </w:p>
    <w:p w14:paraId="456F2770">
      <w:pPr>
        <w:pStyle w:val="108"/>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8"/>
      </w:pPr>
      <w:r>
        <w:rPr>
          <w:b/>
        </w:rPr>
        <w:t>can</w:t>
      </w:r>
      <w:r>
        <w:tab/>
      </w:r>
      <w:r>
        <w:t>indicates that something is possible</w:t>
      </w:r>
    </w:p>
    <w:p w14:paraId="37427640">
      <w:pPr>
        <w:pStyle w:val="108"/>
      </w:pPr>
      <w:r>
        <w:rPr>
          <w:b/>
        </w:rPr>
        <w:t>cannot</w:t>
      </w:r>
      <w:r>
        <w:tab/>
      </w:r>
      <w:r>
        <w:t>indicates that something is impossible</w:t>
      </w:r>
    </w:p>
    <w:p w14:paraId="0BBF5610">
      <w:r>
        <w:t>The constructions "can" and "cannot" are not substitutes for "may" and "need not".</w:t>
      </w:r>
    </w:p>
    <w:p w14:paraId="46554B00">
      <w:pPr>
        <w:pStyle w:val="108"/>
      </w:pPr>
      <w:r>
        <w:rPr>
          <w:b/>
        </w:rPr>
        <w:t>will</w:t>
      </w:r>
      <w:r>
        <w:tab/>
      </w:r>
      <w:r>
        <w:t>indicates that something is certain or expected to happen as a result of action taken by an agency the behaviour of which is outside the scope of the present document</w:t>
      </w:r>
    </w:p>
    <w:p w14:paraId="512B18C3">
      <w:pPr>
        <w:pStyle w:val="108"/>
      </w:pPr>
      <w:r>
        <w:rPr>
          <w:b/>
        </w:rPr>
        <w:t>will not</w:t>
      </w:r>
      <w:r>
        <w:tab/>
      </w:r>
      <w:r>
        <w:t>indicates that something is certain or expected not to happen as a result of action taken by an agency the behaviour of which is outside the scope of the present document</w:t>
      </w:r>
    </w:p>
    <w:p w14:paraId="7D61E1E7">
      <w:pPr>
        <w:pStyle w:val="108"/>
      </w:pPr>
      <w:r>
        <w:rPr>
          <w:b/>
        </w:rPr>
        <w:t>might</w:t>
      </w:r>
      <w:r>
        <w:tab/>
      </w:r>
      <w:r>
        <w:t>indicates a likelihood that something will happen as a result of action taken by some agency the behaviour of which is outside the scope of the present document</w:t>
      </w:r>
    </w:p>
    <w:p w14:paraId="2F245ECB">
      <w:pPr>
        <w:pStyle w:val="108"/>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8"/>
      </w:pPr>
      <w:r>
        <w:rPr>
          <w:b/>
        </w:rPr>
        <w:t>is</w:t>
      </w:r>
      <w:r>
        <w:tab/>
      </w:r>
      <w:r>
        <w:t>(or any other verb in the indicative mood) indicates a statement of fact</w:t>
      </w:r>
    </w:p>
    <w:p w14:paraId="593B9524">
      <w:pPr>
        <w:pStyle w:val="108"/>
      </w:pPr>
      <w:r>
        <w:rPr>
          <w:b/>
        </w:rPr>
        <w:t>is not</w:t>
      </w:r>
      <w:r>
        <w:tab/>
      </w:r>
      <w:r>
        <w:t>(or any other negative verb in the indicative mood) indicates a statement of fact</w:t>
      </w:r>
    </w:p>
    <w:p w14:paraId="5DD56516">
      <w:r>
        <w:t>The constructions "is" and "is not" do not indicate requirements.</w:t>
      </w:r>
    </w:p>
    <w:p w14:paraId="247F09C2">
      <w:pPr>
        <w:pStyle w:val="3"/>
      </w:pPr>
      <w:r>
        <w:t>Introduction</w:t>
      </w:r>
      <w:bookmarkEnd w:id="23"/>
      <w:bookmarkEnd w:id="24"/>
      <w:bookmarkEnd w:id="25"/>
      <w:bookmarkEnd w:id="26"/>
      <w:bookmarkEnd w:id="27"/>
    </w:p>
    <w:p w14:paraId="38A6131F">
      <w:pPr>
        <w:pStyle w:val="129"/>
      </w:pPr>
      <w:r>
        <w:t>This clause is optional. If it exists, it shall be the second unnumbered clause.</w:t>
      </w:r>
    </w:p>
    <w:p w14:paraId="56385637">
      <w:pPr>
        <w:pStyle w:val="3"/>
      </w:pPr>
      <w:r>
        <w:br w:type="page"/>
      </w:r>
      <w:bookmarkStart w:id="29" w:name="scope"/>
      <w:bookmarkEnd w:id="29"/>
      <w:bookmarkStart w:id="30" w:name="_Toc191892934"/>
      <w:bookmarkStart w:id="31" w:name="_Toc20979"/>
      <w:bookmarkStart w:id="32" w:name="_Toc2760"/>
      <w:bookmarkStart w:id="33" w:name="_Toc2410"/>
      <w:bookmarkStart w:id="34" w:name="_Toc9167"/>
      <w:r>
        <w:t>1</w:t>
      </w:r>
      <w:r>
        <w:tab/>
      </w:r>
      <w:r>
        <w:t>Scope</w:t>
      </w:r>
      <w:bookmarkEnd w:id="30"/>
      <w:bookmarkEnd w:id="31"/>
      <w:bookmarkEnd w:id="32"/>
      <w:bookmarkEnd w:id="33"/>
      <w:bookmarkEnd w:id="34"/>
    </w:p>
    <w:p w14:paraId="4A506089">
      <w:pPr>
        <w:pStyle w:val="129"/>
      </w:pPr>
      <w:r>
        <w:t>This clause shall start on a new page.</w:t>
      </w:r>
    </w:p>
    <w:p w14:paraId="796DE820">
      <w:pPr>
        <w:rPr>
          <w:rFonts w:hint="eastAsia" w:eastAsia="宋体"/>
          <w:lang w:val="en-US" w:eastAsia="zh-CN"/>
        </w:rPr>
      </w:pPr>
      <w:r>
        <w:rPr>
          <w:rFonts w:hint="eastAsia" w:eastAsia="宋体"/>
          <w:lang w:val="en-US" w:eastAsia="zh-CN"/>
        </w:rPr>
        <w:t>[</w:t>
      </w:r>
      <w:r>
        <w:t xml:space="preserve">The present document develops recommendations for potential normative work on an ultra-low bit rate codec for </w:t>
      </w:r>
      <w:r>
        <w:rPr>
          <w:rFonts w:hint="eastAsia" w:eastAsia="宋体"/>
          <w:lang w:val="en-US" w:eastAsia="zh-CN"/>
        </w:rPr>
        <w:t xml:space="preserve">the use case of IMS </w:t>
      </w:r>
      <w:r>
        <w:t>voice</w:t>
      </w:r>
      <w:r>
        <w:rPr>
          <w:rFonts w:hint="eastAsia" w:eastAsia="宋体"/>
          <w:lang w:val="en-US" w:eastAsia="zh-CN"/>
        </w:rPr>
        <w:t xml:space="preserve"> services</w:t>
      </w:r>
      <w:r>
        <w:t xml:space="preserve"> over Geostationary Orbit (GEO) </w:t>
      </w:r>
      <w:r>
        <w:rPr>
          <w:rFonts w:ascii="Times New Roman" w:hAnsi="Times New Roman" w:eastAsia="Times New Roman"/>
          <w:sz w:val="20"/>
        </w:rPr>
        <w:t>access</w:t>
      </w:r>
      <w:r>
        <w:t>.</w:t>
      </w:r>
      <w:r>
        <w:rPr>
          <w:rFonts w:hint="eastAsia" w:eastAsia="宋体"/>
          <w:lang w:val="en-US" w:eastAsia="zh-CN"/>
        </w:rPr>
        <w:t>]</w:t>
      </w:r>
    </w:p>
    <w:p w14:paraId="08943879"/>
    <w:p w14:paraId="39471F1F">
      <w:pPr>
        <w:pStyle w:val="95"/>
      </w:pPr>
      <w:r>
        <w:t>Editor’s Note:</w:t>
      </w:r>
    </w:p>
    <w:p w14:paraId="7881C5B2">
      <w:pPr>
        <w:pStyle w:val="95"/>
        <w:rPr>
          <w:lang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375E3F10">
      <w:pPr>
        <w:pStyle w:val="95"/>
        <w:rPr>
          <w:rFonts w:hint="eastAsia"/>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2EFC649C">
      <w:pPr>
        <w:pStyle w:val="95"/>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7E01C3F2">
      <w:pPr>
        <w:pStyle w:val="95"/>
        <w:rPr>
          <w:lang w:val="en-US"/>
        </w:rPr>
      </w:pPr>
      <w:r>
        <w:t>The GEO satellite link imposes different channel characteristics, e.g., due to atmospheric attenuation.</w:t>
      </w:r>
    </w:p>
    <w:p w14:paraId="1251716C">
      <w:pPr>
        <w:pStyle w:val="95"/>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5978EAFD">
      <w:pPr>
        <w:pStyle w:val="95"/>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0EDBD2F1">
      <w:pPr>
        <w:pStyle w:val="95"/>
        <w:rPr>
          <w:b/>
          <w:bCs/>
        </w:rPr>
      </w:pPr>
      <w:r>
        <w:rPr>
          <w:b/>
          <w:bCs/>
        </w:rPr>
        <w:t>1.</w:t>
      </w:r>
      <w:r>
        <w:rPr>
          <w:b/>
          <w:bCs/>
        </w:rPr>
        <w:tab/>
      </w:r>
      <w:r>
        <w:rPr>
          <w:b/>
          <w:bCs/>
        </w:rPr>
        <w:t>General considerations</w:t>
      </w:r>
    </w:p>
    <w:p w14:paraId="223811AA">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B</w:t>
      </w:r>
      <w:r>
        <w:rPr>
          <w:rFonts w:hint="eastAsia" w:eastAsia="宋体"/>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hint="eastAsia" w:eastAsia="宋体"/>
          <w:lang w:eastAsia="zh-CN"/>
        </w:rPr>
        <w:t>.</w:t>
      </w:r>
      <w:r>
        <w:rPr>
          <w:rFonts w:hint="eastAsia"/>
        </w:rPr>
        <w:t>.</w:t>
      </w:r>
    </w:p>
    <w:p w14:paraId="5C0A5D61">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Quality:</w:t>
      </w:r>
      <w:r>
        <w:rPr>
          <w:rFonts w:eastAsia="宋体"/>
          <w:lang w:eastAsia="zh-CN"/>
        </w:rPr>
        <w:t xml:space="preserve"> Despite of the low bit rate, a good audio quality of the codec is of importance, to ensure a reasonable Qo</w:t>
      </w:r>
      <w:r>
        <w:rPr>
          <w:rFonts w:hint="eastAsia" w:eastAsia="宋体"/>
          <w:lang w:eastAsia="zh-CN"/>
        </w:rPr>
        <w:t>E</w:t>
      </w:r>
      <w:r>
        <w:rPr>
          <w:rFonts w:eastAsia="宋体"/>
          <w:lang w:eastAsia="zh-CN"/>
        </w:rPr>
        <w:t xml:space="preserve">. </w:t>
      </w:r>
      <w:r>
        <w:t>Detailed QoE requirements for such services are for study.</w:t>
      </w:r>
      <w:r>
        <w:rPr>
          <w:rFonts w:eastAsia="宋体"/>
          <w:lang w:eastAsia="zh-CN"/>
        </w:rPr>
        <w:t>.</w:t>
      </w:r>
    </w:p>
    <w:p w14:paraId="14AD3C0A">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Complexity and memory demands</w:t>
      </w:r>
      <w:r>
        <w:rPr>
          <w:rFonts w:hint="eastAsia" w:eastAsia="宋体"/>
          <w:b/>
          <w:bCs/>
          <w:lang w:eastAsia="zh-CN"/>
        </w:rPr>
        <w:t xml:space="preserve">: </w:t>
      </w:r>
      <w:r>
        <w:rPr>
          <w:rFonts w:eastAsia="宋体"/>
          <w:lang w:eastAsia="zh-CN"/>
        </w:rPr>
        <w:t>Modern low bitrate codecs exhibit a large scale of complexity and memory demands. The codec is expected to be deployable on the processing capabilities as can be found in today’s smartphones.</w:t>
      </w:r>
      <w:r>
        <w:rPr>
          <w:rFonts w:hint="eastAsia" w:eastAsia="宋体"/>
          <w:lang w:eastAsia="zh-CN"/>
        </w:rPr>
        <w:t xml:space="preserve"> Exact </w:t>
      </w:r>
      <w:r>
        <w:rPr>
          <w:rFonts w:hint="eastAsia"/>
          <w:lang w:eastAsia="zh-CN"/>
        </w:rPr>
        <w:t>c</w:t>
      </w:r>
      <w:r>
        <w:rPr>
          <w:rFonts w:eastAsia="Malgun Gothic"/>
          <w:lang w:eastAsia="zh-CN"/>
        </w:rPr>
        <w:t xml:space="preserve">omplexity </w:t>
      </w:r>
      <w:r>
        <w:t>requirements</w:t>
      </w:r>
      <w:r>
        <w:rPr>
          <w:rFonts w:hint="eastAsia" w:eastAsia="宋体"/>
          <w:lang w:eastAsia="zh-CN"/>
        </w:rPr>
        <w:t xml:space="preserve"> </w:t>
      </w:r>
      <w:r>
        <w:rPr>
          <w:lang w:val="en-US"/>
        </w:rPr>
        <w:t>are for study</w:t>
      </w:r>
      <w:r>
        <w:rPr>
          <w:rFonts w:hint="eastAsia" w:eastAsia="宋体"/>
          <w:lang w:eastAsia="zh-CN"/>
        </w:rPr>
        <w:t>.</w:t>
      </w:r>
    </w:p>
    <w:p w14:paraId="54E51164">
      <w:pPr>
        <w:pStyle w:val="95"/>
        <w:rPr>
          <w:rFonts w:eastAsia="宋体"/>
          <w:lang w:eastAsia="zh-CN"/>
        </w:rPr>
      </w:pPr>
      <w:r>
        <w:rPr>
          <w:rFonts w:eastAsia="宋体"/>
          <w:b/>
          <w:bCs/>
          <w:lang w:eastAsia="zh-CN"/>
        </w:rPr>
        <w:t>-</w:t>
      </w:r>
      <w:r>
        <w:rPr>
          <w:rFonts w:eastAsia="宋体"/>
          <w:b/>
          <w:bCs/>
          <w:lang w:eastAsia="zh-CN"/>
        </w:rPr>
        <w:tab/>
      </w:r>
      <w:r>
        <w:rPr>
          <w:b/>
          <w:bCs/>
        </w:rPr>
        <w:t>Robustness to network conditions</w:t>
      </w:r>
      <w:r>
        <w:t xml:space="preserve">: the codec is expected to operate in typical network conditions (delay, loss, jitter, etc.). Details are for further study. </w:t>
      </w:r>
    </w:p>
    <w:p w14:paraId="72D90749">
      <w:pPr>
        <w:pStyle w:val="95"/>
        <w:rPr>
          <w:b/>
          <w:bCs/>
        </w:rPr>
      </w:pPr>
      <w:r>
        <w:rPr>
          <w:b/>
          <w:bCs/>
        </w:rPr>
        <w:t>2.</w:t>
      </w:r>
      <w:r>
        <w:rPr>
          <w:b/>
          <w:bCs/>
        </w:rPr>
        <w:tab/>
      </w:r>
      <w:r>
        <w:rPr>
          <w:rFonts w:hint="eastAsia"/>
          <w:b/>
          <w:bCs/>
        </w:rPr>
        <w:t>Function</w:t>
      </w:r>
      <w:r>
        <w:rPr>
          <w:b/>
          <w:bCs/>
        </w:rPr>
        <w:t>al</w:t>
      </w:r>
      <w:r>
        <w:rPr>
          <w:rFonts w:hint="eastAsia"/>
          <w:b/>
          <w:bCs/>
        </w:rPr>
        <w:t xml:space="preserve"> requirements</w:t>
      </w:r>
    </w:p>
    <w:p w14:paraId="0AF9732F">
      <w:pPr>
        <w:pStyle w:val="95"/>
        <w:rPr>
          <w:rFonts w:eastAsia="宋体"/>
          <w:lang w:eastAsia="zh-CN"/>
        </w:rPr>
      </w:pPr>
      <w:r>
        <w:rPr>
          <w:rFonts w:eastAsia="宋体"/>
          <w:lang w:eastAsia="zh-CN"/>
        </w:rPr>
        <w:t>-</w:t>
      </w:r>
      <w:r>
        <w:rPr>
          <w:rFonts w:eastAsia="宋体"/>
          <w:lang w:eastAsia="zh-CN"/>
        </w:rPr>
        <w:tab/>
      </w:r>
      <w:r>
        <w:rPr>
          <w:rFonts w:eastAsia="宋体"/>
          <w:b/>
          <w:bCs/>
          <w:lang w:eastAsia="zh-CN"/>
        </w:rPr>
        <w:t xml:space="preserve">Speech </w:t>
      </w:r>
      <w:r>
        <w:rPr>
          <w:rFonts w:hint="eastAsia" w:eastAsia="宋体"/>
          <w:b/>
          <w:bCs/>
          <w:lang w:eastAsia="zh-CN"/>
        </w:rPr>
        <w:t>t</w:t>
      </w:r>
      <w:r>
        <w:rPr>
          <w:rFonts w:eastAsia="宋体"/>
          <w:b/>
          <w:bCs/>
          <w:lang w:eastAsia="zh-CN"/>
        </w:rPr>
        <w:t xml:space="preserve">ranscoding </w:t>
      </w:r>
      <w:r>
        <w:rPr>
          <w:rFonts w:hint="eastAsia" w:eastAsia="宋体"/>
          <w:b/>
          <w:bCs/>
          <w:lang w:eastAsia="zh-CN"/>
        </w:rPr>
        <w:t>f</w:t>
      </w:r>
      <w:r>
        <w:rPr>
          <w:rFonts w:eastAsia="宋体"/>
          <w:b/>
          <w:bCs/>
          <w:lang w:eastAsia="zh-CN"/>
        </w:rPr>
        <w:t>unctions</w:t>
      </w:r>
      <w:r>
        <w:rPr>
          <w:rFonts w:hint="eastAsia" w:eastAsia="宋体"/>
          <w:lang w:eastAsia="zh-CN"/>
        </w:rPr>
        <w:t xml:space="preserve">: To achieve integration with the terrestrial voice communication system (4G/5G IMS architecture), it is necessary to </w:t>
      </w:r>
      <w:r>
        <w:rPr>
          <w:rFonts w:eastAsia="宋体"/>
          <w:lang w:eastAsia="zh-CN"/>
        </w:rPr>
        <w:t>consider</w:t>
      </w:r>
      <w:r>
        <w:rPr>
          <w:rFonts w:hint="eastAsia" w:eastAsia="宋体"/>
          <w:lang w:eastAsia="zh-CN"/>
        </w:rPr>
        <w:t xml:space="preserve"> </w:t>
      </w:r>
      <w:r>
        <w:rPr>
          <w:rFonts w:eastAsia="宋体"/>
          <w:lang w:eastAsia="zh-CN"/>
        </w:rPr>
        <w:t>tandeming with</w:t>
      </w:r>
      <w:r>
        <w:rPr>
          <w:rFonts w:hint="eastAsia" w:eastAsia="宋体"/>
          <w:lang w:eastAsia="zh-CN"/>
        </w:rPr>
        <w:t xml:space="preserve"> existing</w:t>
      </w:r>
      <w:r>
        <w:rPr>
          <w:rFonts w:eastAsia="宋体"/>
          <w:lang w:eastAsia="zh-CN"/>
        </w:rPr>
        <w:t xml:space="preserve"> IMS voice</w:t>
      </w:r>
      <w:r>
        <w:rPr>
          <w:rFonts w:hint="eastAsia" w:eastAsia="宋体"/>
          <w:lang w:eastAsia="zh-CN"/>
        </w:rPr>
        <w:t xml:space="preserve"> codecs.</w:t>
      </w:r>
    </w:p>
    <w:p w14:paraId="1EC488B3">
      <w:pPr>
        <w:pStyle w:val="95"/>
        <w:ind w:left="1734" w:leftChars="300"/>
        <w:rPr>
          <w:rFonts w:eastAsia="宋体"/>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74BCFE76">
      <w:pPr>
        <w:pStyle w:val="95"/>
        <w:ind w:left="1734" w:leftChars="300"/>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117AE0FE"/>
    <w:p w14:paraId="321627F2">
      <w:pPr>
        <w:pStyle w:val="3"/>
      </w:pPr>
      <w:bookmarkStart w:id="35" w:name="references"/>
      <w:bookmarkEnd w:id="35"/>
      <w:bookmarkStart w:id="36" w:name="_Toc14813"/>
      <w:bookmarkStart w:id="37" w:name="_Toc1473"/>
      <w:bookmarkStart w:id="38" w:name="_Toc191892935"/>
      <w:bookmarkStart w:id="39" w:name="_Toc11541"/>
      <w:bookmarkStart w:id="40" w:name="_Toc23863"/>
      <w:r>
        <w:t>2</w:t>
      </w:r>
      <w:r>
        <w:tab/>
      </w:r>
      <w:r>
        <w:t>References</w:t>
      </w:r>
      <w:bookmarkEnd w:id="36"/>
      <w:bookmarkEnd w:id="37"/>
      <w:bookmarkEnd w:id="38"/>
      <w:bookmarkEnd w:id="39"/>
      <w:bookmarkEnd w:id="40"/>
    </w:p>
    <w:p w14:paraId="1707472F">
      <w:r>
        <w:t>The following documents contain provisions which, through reference in this text, constitute provisions of the present document.</w:t>
      </w:r>
    </w:p>
    <w:p w14:paraId="0D428881">
      <w:pPr>
        <w:pStyle w:val="112"/>
      </w:pPr>
      <w:r>
        <w:t>-</w:t>
      </w:r>
      <w:r>
        <w:tab/>
      </w:r>
      <w:r>
        <w:t>References are either specific (identified by date of publication, edition number, version number, etc.) or non</w:t>
      </w:r>
      <w:r>
        <w:noBreakHyphen/>
      </w:r>
      <w:r>
        <w:t>specific.</w:t>
      </w:r>
    </w:p>
    <w:p w14:paraId="4C7B79B4">
      <w:pPr>
        <w:pStyle w:val="112"/>
      </w:pPr>
      <w:r>
        <w:t>-</w:t>
      </w:r>
      <w:r>
        <w:tab/>
      </w:r>
      <w:r>
        <w:t>For a specific reference, subsequent revisions do not apply.</w:t>
      </w:r>
    </w:p>
    <w:p w14:paraId="37F8DB1D">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FAB083">
      <w:pPr>
        <w:pStyle w:val="108"/>
      </w:pPr>
      <w:r>
        <w:t>[1]</w:t>
      </w:r>
      <w:r>
        <w:tab/>
      </w:r>
      <w:r>
        <w:t>3GPP TR 21.905: "Vocabulary for 3GPP Specifications".</w:t>
      </w:r>
    </w:p>
    <w:p w14:paraId="0C528EA6">
      <w:pPr>
        <w:pStyle w:val="108"/>
      </w:pPr>
      <w:r>
        <w:t>[22261]</w:t>
      </w:r>
      <w:r>
        <w:tab/>
      </w:r>
      <w:r>
        <w:t>3GPP TS 22.261: "Service requirements for the 5G system".</w:t>
      </w:r>
    </w:p>
    <w:p w14:paraId="56372FD9">
      <w:pPr>
        <w:pStyle w:val="108"/>
      </w:pPr>
      <w:r>
        <w:t>[22887]</w:t>
      </w:r>
      <w:r>
        <w:tab/>
      </w:r>
      <w:r>
        <w:t>3GPP TR 22.887: "Feasibility Study on satellite access - Phase 4".</w:t>
      </w:r>
    </w:p>
    <w:p w14:paraId="1E3384DB">
      <w:pPr>
        <w:pStyle w:val="108"/>
      </w:pPr>
      <w:r>
        <w:t>[26071]</w:t>
      </w:r>
      <w:r>
        <w:tab/>
      </w:r>
      <w:r>
        <w:t>3GPP TS 26.071: "Mandatory speech CODEC speech processing functions; AMR speech Codec; General description".</w:t>
      </w:r>
    </w:p>
    <w:p w14:paraId="397C840D">
      <w:pPr>
        <w:pStyle w:val="108"/>
      </w:pPr>
      <w:r>
        <w:t>…</w:t>
      </w:r>
    </w:p>
    <w:p w14:paraId="78E2ACED">
      <w:pPr>
        <w:pStyle w:val="108"/>
      </w:pPr>
      <w:r>
        <w:t>[x]</w:t>
      </w:r>
      <w:r>
        <w:tab/>
      </w:r>
      <w:r>
        <w:t>&lt;doctype&gt; &lt;#&gt;[ ([up to and including]{yyyy[-mm]|V&lt;a[.b[.c]]&gt;}[onwards])]: "&lt;Title&gt;".</w:t>
      </w:r>
    </w:p>
    <w:p w14:paraId="2B1107DF">
      <w:pPr>
        <w:pStyle w:val="129"/>
      </w:pPr>
      <w:r>
        <w:t>It is preferred that the reference to TR 21.905 be the first in the list.</w:t>
      </w:r>
    </w:p>
    <w:p w14:paraId="4767AE95">
      <w:pPr>
        <w:pStyle w:val="3"/>
      </w:pPr>
      <w:bookmarkStart w:id="41" w:name="definitions"/>
      <w:bookmarkEnd w:id="41"/>
      <w:bookmarkStart w:id="42" w:name="_Toc3318"/>
      <w:bookmarkStart w:id="43" w:name="_Toc6141"/>
      <w:bookmarkStart w:id="44" w:name="_Toc1078"/>
      <w:bookmarkStart w:id="45" w:name="_Toc22329"/>
      <w:bookmarkStart w:id="46" w:name="_Toc191892936"/>
      <w:r>
        <w:t>3</w:t>
      </w:r>
      <w:r>
        <w:tab/>
      </w:r>
      <w:r>
        <w:t>Definitions of terms, symbols and abbreviations</w:t>
      </w:r>
      <w:bookmarkEnd w:id="42"/>
      <w:bookmarkEnd w:id="43"/>
      <w:bookmarkEnd w:id="44"/>
      <w:bookmarkEnd w:id="45"/>
      <w:bookmarkEnd w:id="46"/>
    </w:p>
    <w:p w14:paraId="6FA16949">
      <w:pPr>
        <w:pStyle w:val="129"/>
      </w:pPr>
      <w:r>
        <w:t>This clause and its three (sub) clauses are mandatory. The contents shall be shown as "void" if the TS/TR does not define any terms, symbols, or abbreviations.</w:t>
      </w:r>
    </w:p>
    <w:p w14:paraId="1E510996">
      <w:pPr>
        <w:pStyle w:val="4"/>
      </w:pPr>
      <w:bookmarkStart w:id="47" w:name="_Toc24104"/>
      <w:bookmarkStart w:id="48" w:name="_Toc3956"/>
      <w:bookmarkStart w:id="49" w:name="_Toc191892937"/>
      <w:bookmarkStart w:id="50" w:name="_Toc21969"/>
      <w:bookmarkStart w:id="51" w:name="_Toc31175"/>
      <w:r>
        <w:t>3.1</w:t>
      </w:r>
      <w:r>
        <w:tab/>
      </w:r>
      <w:r>
        <w:t>Terms</w:t>
      </w:r>
      <w:bookmarkEnd w:id="47"/>
      <w:bookmarkEnd w:id="48"/>
      <w:bookmarkEnd w:id="49"/>
      <w:bookmarkEnd w:id="50"/>
      <w:bookmarkEnd w:id="51"/>
    </w:p>
    <w:p w14:paraId="25E980E8">
      <w:r>
        <w:t>For the purposes of the present document, the terms given in TR 21.905 [1] and the following apply. A term defined in the present document takes precedence over the definition of the same term, if any, in TR 21.905 [1].</w:t>
      </w:r>
    </w:p>
    <w:p w14:paraId="0A030DB7">
      <w:pPr>
        <w:pStyle w:val="129"/>
      </w:pPr>
      <w:r>
        <w:t>Definition format (Normal)</w:t>
      </w:r>
    </w:p>
    <w:p w14:paraId="3231D942">
      <w:pPr>
        <w:pStyle w:val="129"/>
      </w:pPr>
      <w:r>
        <w:rPr>
          <w:b/>
        </w:rPr>
        <w:t>&lt;defined term&gt;:</w:t>
      </w:r>
      <w:r>
        <w:t xml:space="preserve"> &lt;definition&gt;.</w:t>
      </w:r>
    </w:p>
    <w:p w14:paraId="3D688029">
      <w:r>
        <w:rPr>
          <w:b/>
        </w:rPr>
        <w:t>example:</w:t>
      </w:r>
      <w:r>
        <w:t xml:space="preserve"> text used to clarify abstract rules by applying them literally.</w:t>
      </w:r>
    </w:p>
    <w:p w14:paraId="6D096DCC">
      <w:pPr>
        <w:pStyle w:val="4"/>
      </w:pPr>
      <w:bookmarkStart w:id="52" w:name="_Toc18899"/>
      <w:bookmarkStart w:id="53" w:name="_Toc191892938"/>
      <w:bookmarkStart w:id="54" w:name="_Toc14652"/>
      <w:bookmarkStart w:id="55" w:name="_Toc28080"/>
      <w:bookmarkStart w:id="56" w:name="_Toc11155"/>
      <w:r>
        <w:t>3.2</w:t>
      </w:r>
      <w:r>
        <w:tab/>
      </w:r>
      <w:r>
        <w:t>Symbols</w:t>
      </w:r>
      <w:bookmarkEnd w:id="52"/>
      <w:bookmarkEnd w:id="53"/>
      <w:bookmarkEnd w:id="54"/>
      <w:bookmarkEnd w:id="55"/>
      <w:bookmarkEnd w:id="56"/>
    </w:p>
    <w:p w14:paraId="1DC62133">
      <w:pPr>
        <w:keepNext/>
      </w:pPr>
      <w:r>
        <w:t>For the purposes of the present document, the following symbols apply:</w:t>
      </w:r>
    </w:p>
    <w:p w14:paraId="54F45F31">
      <w:pPr>
        <w:pStyle w:val="129"/>
      </w:pPr>
      <w:r>
        <w:t>Symbol format (EW)</w:t>
      </w:r>
    </w:p>
    <w:p w14:paraId="3DF4C772">
      <w:pPr>
        <w:pStyle w:val="111"/>
      </w:pPr>
      <w:r>
        <w:t>&lt;symbol&gt;</w:t>
      </w:r>
      <w:r>
        <w:tab/>
      </w:r>
      <w:r>
        <w:t>&lt;Explanation&gt;</w:t>
      </w:r>
    </w:p>
    <w:p w14:paraId="729448C9">
      <w:pPr>
        <w:pStyle w:val="111"/>
      </w:pPr>
    </w:p>
    <w:p w14:paraId="3DB94832">
      <w:pPr>
        <w:pStyle w:val="4"/>
      </w:pPr>
      <w:bookmarkStart w:id="57" w:name="_Toc2828"/>
      <w:bookmarkStart w:id="58" w:name="_Toc10277"/>
      <w:bookmarkStart w:id="59" w:name="_Toc191892939"/>
      <w:bookmarkStart w:id="60" w:name="_Toc31305"/>
      <w:bookmarkStart w:id="61" w:name="_Toc28159"/>
      <w:r>
        <w:t>3.3</w:t>
      </w:r>
      <w:r>
        <w:tab/>
      </w:r>
      <w:r>
        <w:t>Abbreviations</w:t>
      </w:r>
      <w:bookmarkEnd w:id="57"/>
      <w:bookmarkEnd w:id="58"/>
      <w:bookmarkEnd w:id="59"/>
      <w:bookmarkEnd w:id="60"/>
      <w:bookmarkEnd w:id="61"/>
    </w:p>
    <w:p w14:paraId="081385B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54B3A59">
      <w:pPr>
        <w:pStyle w:val="111"/>
      </w:pPr>
      <w:r>
        <w:t>GEO</w:t>
      </w:r>
      <w:r>
        <w:tab/>
      </w:r>
      <w:r>
        <w:t>G</w:t>
      </w:r>
      <w:r>
        <w:rPr>
          <w:rFonts w:hint="eastAsia" w:eastAsia="宋体"/>
          <w:lang w:val="en-US" w:eastAsia="zh-CN"/>
        </w:rPr>
        <w:t>e</w:t>
      </w:r>
      <w:r>
        <w:t xml:space="preserve">ostationary Orbit </w:t>
      </w:r>
    </w:p>
    <w:p w14:paraId="420A531B">
      <w:pPr>
        <w:pStyle w:val="111"/>
      </w:pPr>
    </w:p>
    <w:p w14:paraId="2123066E">
      <w:pPr>
        <w:pStyle w:val="3"/>
      </w:pPr>
      <w:bookmarkStart w:id="62" w:name="clause4"/>
      <w:bookmarkEnd w:id="62"/>
      <w:bookmarkStart w:id="63" w:name="_Toc4323"/>
      <w:bookmarkStart w:id="64" w:name="_Toc191892940"/>
      <w:bookmarkStart w:id="65" w:name="_Toc19589"/>
      <w:bookmarkStart w:id="66" w:name="_Toc28456"/>
      <w:bookmarkStart w:id="67" w:name="_Toc25658"/>
      <w:r>
        <w:t>4</w:t>
      </w:r>
      <w:r>
        <w:tab/>
      </w:r>
      <w:r>
        <w:t>Application scenarios</w:t>
      </w:r>
      <w:bookmarkEnd w:id="63"/>
      <w:bookmarkEnd w:id="64"/>
      <w:r>
        <w:t xml:space="preserve"> for ultra-low bit rate communication services</w:t>
      </w:r>
      <w:bookmarkEnd w:id="65"/>
      <w:bookmarkEnd w:id="66"/>
      <w:bookmarkEnd w:id="67"/>
    </w:p>
    <w:p w14:paraId="27B5B449">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0D22A04">
      <w:pPr>
        <w:pStyle w:val="95"/>
        <w:ind w:left="1616" w:leftChars="141" w:hanging="1334" w:hangingChars="667"/>
        <w:rPr>
          <w:rFonts w:eastAsia="宋体"/>
          <w:lang w:val="en-US" w:eastAsia="zh-CN"/>
        </w:rPr>
      </w:pPr>
      <w:r>
        <w:rPr>
          <w:lang w:val="en-US" w:eastAsia="zh-CN"/>
        </w:rPr>
        <w:t xml:space="preserve">1. </w:t>
      </w:r>
      <w:r>
        <w:t>Document the application scenarios for ultra-low bit rate communication services taking into account the use cases and potential requirements documented in TR 22.887 related to IMS Voice Call Using GEO Access</w:t>
      </w:r>
      <w:r>
        <w:rPr>
          <w:rFonts w:hint="eastAsia" w:eastAsia="宋体"/>
          <w:lang w:val="en-US" w:eastAsia="zh-CN"/>
        </w:rPr>
        <w:t>.</w:t>
      </w:r>
    </w:p>
    <w:p w14:paraId="19A29899">
      <w:pPr>
        <w:pStyle w:val="3"/>
        <w:rPr>
          <w:rFonts w:eastAsia="宋体"/>
          <w:lang w:val="en-US" w:eastAsia="zh-CN"/>
        </w:rPr>
      </w:pPr>
      <w:bookmarkStart w:id="68" w:name="_Toc191892941"/>
      <w:bookmarkStart w:id="69" w:name="_Toc24914"/>
      <w:bookmarkStart w:id="70" w:name="_Toc25693"/>
      <w:bookmarkStart w:id="71" w:name="_Toc27432"/>
      <w:bookmarkStart w:id="72" w:name="_Toc20198"/>
      <w:r>
        <w:t>5</w:t>
      </w:r>
      <w:r>
        <w:tab/>
      </w:r>
      <w:r>
        <w:rPr>
          <w:rFonts w:hint="eastAsia" w:eastAsia="宋体"/>
          <w:lang w:val="en-US" w:eastAsia="zh-CN"/>
        </w:rPr>
        <w:t>C</w:t>
      </w:r>
      <w:r>
        <w:t>hannel characteristics</w:t>
      </w:r>
      <w:bookmarkEnd w:id="68"/>
      <w:r>
        <w:rPr>
          <w:rFonts w:hint="eastAsia" w:eastAsia="宋体"/>
          <w:lang w:val="en-US" w:eastAsia="zh-CN"/>
        </w:rPr>
        <w:t xml:space="preserve"> and service-related dependencies</w:t>
      </w:r>
      <w:bookmarkEnd w:id="69"/>
      <w:bookmarkEnd w:id="70"/>
      <w:bookmarkEnd w:id="71"/>
      <w:bookmarkEnd w:id="72"/>
    </w:p>
    <w:p w14:paraId="0DC4E174">
      <w:pPr>
        <w:pStyle w:val="95"/>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5509E323">
      <w:pPr>
        <w:pStyle w:val="95"/>
        <w:ind w:hanging="1133"/>
      </w:pPr>
      <w:r>
        <w:rPr>
          <w:rFonts w:eastAsia="宋体"/>
          <w:lang w:val="en-US" w:eastAsia="zh-CN"/>
        </w:rPr>
        <w:t xml:space="preserve">2. </w:t>
      </w:r>
      <w:r>
        <w:t>Study GEO channel characteristics and derive service-related dependencies</w:t>
      </w:r>
      <w:r>
        <w:rPr>
          <w:lang w:val="en-US" w:eastAsia="zh-CN"/>
        </w:rPr>
        <w:t xml:space="preserve">, </w:t>
      </w:r>
      <w:r>
        <w:t>e.g. bitrates, mouth-</w:t>
      </w:r>
      <w:r>
        <w:rPr>
          <w:rFonts w:hint="eastAsia" w:eastAsia="宋体"/>
          <w:lang w:val="en-US" w:eastAsia="zh-CN"/>
        </w:rPr>
        <w:tab/>
      </w:r>
      <w:r>
        <w:rPr>
          <w:rFonts w:hint="eastAsia" w:eastAsia="宋体"/>
          <w:lang w:val="en-US" w:eastAsia="zh-CN"/>
        </w:rPr>
        <w:tab/>
      </w:r>
      <w:r>
        <w:t>to-ear delay or loss/delay/jitter profiles.</w:t>
      </w:r>
    </w:p>
    <w:p w14:paraId="775B9C8D">
      <w:pPr>
        <w:pStyle w:val="96"/>
        <w:ind w:left="1137" w:hanging="850"/>
      </w:pPr>
      <w:r>
        <w:rPr>
          <w:color w:val="FF0000"/>
        </w:rPr>
        <w:t xml:space="preserve">NOTE: </w:t>
      </w:r>
      <w:r>
        <w:rPr>
          <w:color w:val="FF0000"/>
        </w:rPr>
        <w:tab/>
      </w:r>
      <w:r>
        <w:rPr>
          <w:color w:val="FF0000"/>
        </w:rPr>
        <w:t>Any impact of ultra-low bitrate voice codec in NB-IoT services is outside of the scope of the study and is expected to be addressed by other working groups.</w:t>
      </w:r>
    </w:p>
    <w:p w14:paraId="1091C5DC">
      <w:pPr>
        <w:pStyle w:val="95"/>
      </w:pPr>
      <w:r>
        <w:rPr>
          <w:rFonts w:eastAsia="宋体"/>
          <w:lang w:val="en-US" w:eastAsia="zh-CN"/>
        </w:rPr>
        <w:t>8.</w:t>
      </w:r>
      <w:r>
        <w:rPr>
          <w:rFonts w:eastAsia="宋体"/>
          <w:lang w:val="en-US" w:eastAsia="zh-CN"/>
        </w:rPr>
        <w:tab/>
      </w:r>
      <w:r>
        <w:rPr>
          <w:rFonts w:eastAsia="宋体"/>
          <w:lang w:val="en-US" w:eastAsia="zh-CN"/>
        </w:rPr>
        <w:t xml:space="preserve"> </w:t>
      </w:r>
      <w:r>
        <w:t>Coordinate work with other 3GPP groups e.g. SA2, RAN, CT1, and others as needed.</w:t>
      </w:r>
    </w:p>
    <w:p w14:paraId="0DCB9609">
      <w:pPr>
        <w:pStyle w:val="3"/>
      </w:pPr>
      <w:bookmarkStart w:id="73" w:name="_Toc32761"/>
      <w:bookmarkStart w:id="74" w:name="_Toc191892942"/>
      <w:bookmarkStart w:id="75" w:name="_Toc27795"/>
      <w:bookmarkStart w:id="76" w:name="_Toc330"/>
      <w:bookmarkStart w:id="77" w:name="_Toc8861"/>
      <w:r>
        <w:t>6</w:t>
      </w:r>
      <w:r>
        <w:tab/>
      </w:r>
      <w:r>
        <w:t>Design constraints</w:t>
      </w:r>
      <w:bookmarkEnd w:id="73"/>
      <w:bookmarkEnd w:id="74"/>
      <w:bookmarkEnd w:id="75"/>
      <w:bookmarkEnd w:id="76"/>
      <w:bookmarkEnd w:id="77"/>
      <w:r>
        <w:t xml:space="preserve"> </w:t>
      </w:r>
    </w:p>
    <w:p w14:paraId="564787D2">
      <w:pPr>
        <w:pStyle w:val="95"/>
      </w:pPr>
      <w:r>
        <w:rPr>
          <w:rFonts w:eastAsia="Times New Roman"/>
          <w:lang w:val="en-GB" w:eastAsia="en-US"/>
        </w:rPr>
        <w:t xml:space="preserve">Editor’s Note: </w:t>
      </w:r>
    </w:p>
    <w:p w14:paraId="1132781B">
      <w:pPr>
        <w:pStyle w:val="95"/>
        <w:ind w:left="1418" w:hanging="1134"/>
        <w:rPr>
          <w:rFonts w:eastAsia="宋体"/>
          <w:lang w:val="en-GB" w:eastAsia="en-US"/>
        </w:rPr>
      </w:pPr>
      <w:r>
        <w:rPr>
          <w:lang w:val="en-GB" w:eastAsia="en-US"/>
        </w:rPr>
        <w:t xml:space="preserve">3. </w:t>
      </w:r>
      <w:r>
        <w:t>Identify the relevant design constraints for such a codec, in coordination with other WGs, including</w:t>
      </w:r>
      <w:r>
        <w:rPr>
          <w:rFonts w:eastAsia="宋体"/>
          <w:lang w:val="en-GB" w:eastAsia="en-US"/>
        </w:rPr>
        <w:t>:</w:t>
      </w:r>
    </w:p>
    <w:p w14:paraId="58365E1A">
      <w:pPr>
        <w:pStyle w:val="95"/>
      </w:pPr>
      <w:r>
        <w:t>-</w:t>
      </w:r>
      <w:r>
        <w:rPr>
          <w:lang w:val="en-GB" w:eastAsia="en-US"/>
        </w:rPr>
        <w:tab/>
      </w:r>
      <w:r>
        <w:t>B</w:t>
      </w:r>
      <w:r>
        <w:rPr>
          <w:rFonts w:hint="eastAsia"/>
        </w:rPr>
        <w:t>it rate</w:t>
      </w:r>
      <w:r>
        <w:t>s</w:t>
      </w:r>
    </w:p>
    <w:p w14:paraId="38C4F16C">
      <w:pPr>
        <w:pStyle w:val="95"/>
      </w:pPr>
      <w:r>
        <w:t>-</w:t>
      </w:r>
      <w:r>
        <w:tab/>
      </w:r>
      <w:r>
        <w:t>Sample rate and audio bandwidth</w:t>
      </w:r>
    </w:p>
    <w:p w14:paraId="766E9E3D">
      <w:pPr>
        <w:pStyle w:val="95"/>
      </w:pPr>
      <w:r>
        <w:t>-</w:t>
      </w:r>
      <w:r>
        <w:tab/>
      </w:r>
      <w:r>
        <w:t>Frame length</w:t>
      </w:r>
    </w:p>
    <w:p w14:paraId="0CB97A7B">
      <w:pPr>
        <w:pStyle w:val="95"/>
      </w:pPr>
      <w:r>
        <w:t>-</w:t>
      </w:r>
      <w:r>
        <w:tab/>
      </w:r>
      <w:r>
        <w:t>Complexity and memory demands</w:t>
      </w:r>
    </w:p>
    <w:p w14:paraId="429C7EF3">
      <w:pPr>
        <w:pStyle w:val="95"/>
      </w:pPr>
      <w:r>
        <w:t>-</w:t>
      </w:r>
      <w:r>
        <w:tab/>
      </w:r>
      <w:r>
        <w:t>Algorithmic delay</w:t>
      </w:r>
    </w:p>
    <w:p w14:paraId="08BF07F2">
      <w:pPr>
        <w:pStyle w:val="95"/>
      </w:pPr>
      <w:r>
        <w:t>-</w:t>
      </w:r>
      <w:r>
        <w:tab/>
      </w:r>
      <w:r>
        <w:t>Packet loss concealment (PLC)</w:t>
      </w:r>
    </w:p>
    <w:p w14:paraId="23A09653">
      <w:pPr>
        <w:pStyle w:val="95"/>
      </w:pPr>
      <w:r>
        <w:t>-</w:t>
      </w:r>
      <w:r>
        <w:tab/>
      </w:r>
      <w:r>
        <w:t>Potential use of noise suppression as part of the codec</w:t>
      </w:r>
    </w:p>
    <w:p w14:paraId="62B3A599">
      <w:pPr>
        <w:pStyle w:val="95"/>
      </w:pPr>
      <w:r>
        <w:t>-</w:t>
      </w:r>
      <w:r>
        <w:tab/>
      </w:r>
      <w:r>
        <w:t>Discontinuous transmission including voice activity detection and comfort noise</w:t>
      </w:r>
    </w:p>
    <w:p w14:paraId="20E4C84F">
      <w:pPr>
        <w:pStyle w:val="95"/>
      </w:pPr>
      <w:r>
        <w:t>-</w:t>
      </w:r>
      <w:r>
        <w:tab/>
      </w:r>
      <w:r>
        <w:t>Speech quality</w:t>
      </w:r>
    </w:p>
    <w:p w14:paraId="03E53D7E">
      <w:pPr>
        <w:pStyle w:val="95"/>
      </w:pPr>
      <w:r>
        <w:t>-</w:t>
      </w:r>
      <w:r>
        <w:tab/>
      </w:r>
      <w:r>
        <w:t>Robustness to non-speech input</w:t>
      </w:r>
    </w:p>
    <w:p w14:paraId="0C74C67F">
      <w:pPr>
        <w:pStyle w:val="95"/>
      </w:pPr>
      <w:r>
        <w:t xml:space="preserve">- </w:t>
      </w:r>
      <w:r>
        <w:tab/>
      </w:r>
      <w:r>
        <w:t>Identify or develop objective measures to verify the design constraints as necessary (e.g., to measure complexity and memory demands)</w:t>
      </w:r>
    </w:p>
    <w:p w14:paraId="61F4AD18">
      <w:pPr>
        <w:pStyle w:val="95"/>
      </w:pPr>
      <w:r>
        <w:t xml:space="preserve">6. Identify or develop objective measures to verify the design constraints as necessary (e.g., to measure complexity and </w:t>
      </w:r>
      <w:r>
        <w:rPr>
          <w:rFonts w:eastAsia="宋体"/>
          <w:lang w:val="en-GB" w:eastAsia="en-US"/>
        </w:rPr>
        <w:tab/>
      </w:r>
      <w:r>
        <w:t>memory demands)</w:t>
      </w:r>
    </w:p>
    <w:p w14:paraId="02A1693C">
      <w:pPr>
        <w:pStyle w:val="95"/>
      </w:pPr>
      <w:r>
        <w:t>8. Coordinate work with other 3GPP groups e.g. SA2, RAN, CT1, and others as needed.</w:t>
      </w:r>
    </w:p>
    <w:p w14:paraId="054ECB69">
      <w:pPr>
        <w:spacing w:after="0"/>
        <w:rPr>
          <w:rFonts w:ascii="Arial" w:hAnsi="Arial" w:cs="Arial"/>
          <w:sz w:val="22"/>
          <w:szCs w:val="22"/>
        </w:rPr>
      </w:pPr>
    </w:p>
    <w:p w14:paraId="3ADE3FDB">
      <w:pPr>
        <w:pStyle w:val="3"/>
      </w:pPr>
      <w:bookmarkStart w:id="78" w:name="_Toc20825"/>
      <w:bookmarkStart w:id="79" w:name="_Toc16261"/>
      <w:bookmarkStart w:id="80" w:name="_Toc18127"/>
      <w:bookmarkStart w:id="81" w:name="_Toc3893"/>
      <w:bookmarkStart w:id="82" w:name="_Toc191892943"/>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 xml:space="preserve">vidence </w:t>
      </w:r>
      <w:bookmarkEnd w:id="78"/>
      <w:bookmarkEnd w:id="79"/>
      <w:bookmarkEnd w:id="80"/>
      <w:bookmarkEnd w:id="81"/>
      <w:bookmarkEnd w:id="82"/>
    </w:p>
    <w:p w14:paraId="7B4494AE">
      <w:pPr>
        <w:pStyle w:val="87"/>
        <w:rPr>
          <w:rStyle w:val="170"/>
        </w:rPr>
      </w:pPr>
      <w:r>
        <w:rPr>
          <w:rStyle w:val="170"/>
        </w:rPr>
        <w:t>Editor’s Note:</w:t>
      </w:r>
      <w:r>
        <w:rPr>
          <w:rStyle w:val="170"/>
        </w:rPr>
        <w:tab/>
      </w:r>
      <w:r>
        <w:rPr>
          <w:rStyle w:val="170"/>
        </w:rPr>
        <w:t xml:space="preserve"> </w:t>
      </w:r>
    </w:p>
    <w:p w14:paraId="1108C9DB">
      <w:pPr>
        <w:pStyle w:val="87"/>
      </w:pPr>
      <w:r>
        <w:rPr>
          <w:rStyle w:val="170"/>
        </w:rPr>
        <w:t>4.</w:t>
      </w:r>
      <w:r>
        <w:rPr>
          <w:rStyle w:val="170"/>
        </w:rPr>
        <w:tab/>
      </w:r>
      <w:r>
        <w:rPr>
          <w:rStyle w:val="170"/>
        </w:rPr>
        <w:t xml:space="preserve"> Provide some evidence that the design criteria can be met, for example existing reference codecs.</w:t>
      </w:r>
      <w:r>
        <w:t xml:space="preserve"> </w:t>
      </w:r>
    </w:p>
    <w:p w14:paraId="3E171429">
      <w:pPr>
        <w:pStyle w:val="95"/>
      </w:pPr>
      <w:bookmarkStart w:id="83" w:name="_Toc191892944"/>
      <w:bookmarkStart w:id="84" w:name="_Toc32175"/>
    </w:p>
    <w:p w14:paraId="193486BD">
      <w:pPr>
        <w:pStyle w:val="3"/>
        <w:rPr>
          <w:rFonts w:eastAsia="宋体"/>
          <w:lang w:val="en-US" w:eastAsia="zh-CN"/>
        </w:rPr>
      </w:pPr>
      <w:bookmarkStart w:id="85" w:name="_Toc11412"/>
      <w:bookmarkStart w:id="86" w:name="_Toc13181"/>
      <w:bookmarkStart w:id="87" w:name="_Toc26719"/>
      <w:r>
        <w:t>8</w:t>
      </w:r>
      <w:r>
        <w:tab/>
      </w:r>
      <w:r>
        <w:t>Performance requirements</w:t>
      </w:r>
      <w:bookmarkEnd w:id="83"/>
      <w:bookmarkEnd w:id="84"/>
      <w:bookmarkEnd w:id="85"/>
      <w:bookmarkEnd w:id="86"/>
      <w:bookmarkEnd w:id="87"/>
    </w:p>
    <w:p w14:paraId="0F21D2A3">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F9A5FC1">
      <w:pPr>
        <w:pStyle w:val="95"/>
        <w:ind w:left="1616" w:leftChars="141" w:hanging="1334" w:hangingChars="667"/>
      </w:pPr>
      <w:r>
        <w:rPr>
          <w:lang w:val="en-US" w:eastAsia="zh-CN"/>
        </w:rPr>
        <w:t>5</w:t>
      </w:r>
      <w:r>
        <w:rPr>
          <w:rFonts w:hint="eastAsia"/>
          <w:lang w:val="en-US" w:eastAsia="zh-CN"/>
        </w:rPr>
        <w:t>a</w:t>
      </w:r>
      <w:r>
        <w:rPr>
          <w:lang w:val="en-US" w:eastAsia="zh-CN"/>
        </w:rPr>
        <w:t xml:space="preserve">. </w:t>
      </w:r>
      <w:r>
        <w:t>Define performance requirements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00582CDC">
      <w:pPr>
        <w:pStyle w:val="95"/>
      </w:pPr>
      <w:r>
        <w:t>-</w:t>
      </w:r>
      <w:r>
        <w:tab/>
      </w:r>
      <w:r>
        <w:t>Clean speech and noisy speech</w:t>
      </w:r>
    </w:p>
    <w:p w14:paraId="51BD9ACF">
      <w:pPr>
        <w:pStyle w:val="95"/>
      </w:pPr>
      <w:r>
        <w:t>-</w:t>
      </w:r>
      <w:r>
        <w:tab/>
      </w:r>
      <w:r>
        <w:t>Tandeming with existing IMS voice codecs</w:t>
      </w:r>
    </w:p>
    <w:p w14:paraId="71E8DB74">
      <w:pPr>
        <w:pStyle w:val="95"/>
      </w:pPr>
      <w:r>
        <w:t>-</w:t>
      </w:r>
      <w:r>
        <w:tab/>
      </w:r>
      <w:r>
        <w:t xml:space="preserve">Clean channel and </w:t>
      </w:r>
      <w:r>
        <w:rPr>
          <w:rFonts w:hint="eastAsia"/>
        </w:rPr>
        <w:t xml:space="preserve">GEO </w:t>
      </w:r>
      <w:r>
        <w:t>channel conditions</w:t>
      </w:r>
    </w:p>
    <w:p w14:paraId="0D37DAB8">
      <w:pPr>
        <w:pStyle w:val="95"/>
      </w:pPr>
      <w:r>
        <w:t>7. Identify relevant reference codecs for comparison and evaluation purposes.</w:t>
      </w:r>
    </w:p>
    <w:p w14:paraId="32CE75C6">
      <w:pPr>
        <w:pStyle w:val="95"/>
      </w:pPr>
      <w:r>
        <w:t>8. Coordinate work with other 3GPP groups e.g. SA2, RAN, CT1, and others as needed.</w:t>
      </w:r>
    </w:p>
    <w:p w14:paraId="70E477E5">
      <w:pPr>
        <w:pStyle w:val="3"/>
        <w:rPr>
          <w:lang w:val="en-US" w:eastAsia="zh-CN"/>
        </w:rPr>
      </w:pPr>
      <w:bookmarkStart w:id="88" w:name="_Toc15758"/>
      <w:bookmarkStart w:id="89" w:name="_Toc30376"/>
      <w:bookmarkStart w:id="90" w:name="_Toc28762"/>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88"/>
      <w:bookmarkEnd w:id="89"/>
      <w:bookmarkEnd w:id="90"/>
    </w:p>
    <w:p w14:paraId="07D87F4A">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797DE13">
      <w:pPr>
        <w:pStyle w:val="95"/>
        <w:ind w:left="1616" w:leftChars="141" w:hanging="1334" w:hangingChars="667"/>
      </w:pPr>
      <w:r>
        <w:rPr>
          <w:lang w:val="en-US" w:eastAsia="zh-CN"/>
        </w:rPr>
        <w:t>5</w:t>
      </w:r>
      <w:r>
        <w:rPr>
          <w:rFonts w:hint="eastAsia"/>
          <w:lang w:val="en-US" w:eastAsia="zh-CN"/>
        </w:rPr>
        <w:t>b</w:t>
      </w:r>
      <w:r>
        <w:rPr>
          <w:lang w:val="en-US" w:eastAsia="zh-CN"/>
        </w:rPr>
        <w:t xml:space="preserve">.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382F4E7A">
      <w:pPr>
        <w:pStyle w:val="95"/>
      </w:pPr>
      <w:r>
        <w:t>-</w:t>
      </w:r>
      <w:r>
        <w:tab/>
      </w:r>
      <w:r>
        <w:t>Clean speech and noisy speech</w:t>
      </w:r>
    </w:p>
    <w:p w14:paraId="09E2746B">
      <w:pPr>
        <w:pStyle w:val="95"/>
      </w:pPr>
      <w:r>
        <w:t>-</w:t>
      </w:r>
      <w:r>
        <w:tab/>
      </w:r>
      <w:r>
        <w:t>Tandeming with existing IMS voice codecs</w:t>
      </w:r>
    </w:p>
    <w:p w14:paraId="4F98D508">
      <w:pPr>
        <w:pStyle w:val="95"/>
      </w:pPr>
      <w:r>
        <w:t>-</w:t>
      </w:r>
      <w:r>
        <w:tab/>
      </w:r>
      <w:r>
        <w:t xml:space="preserve">Clean channel and </w:t>
      </w:r>
      <w:r>
        <w:rPr>
          <w:rFonts w:hint="eastAsia"/>
        </w:rPr>
        <w:t xml:space="preserve">GEO </w:t>
      </w:r>
      <w:r>
        <w:t>channel conditions</w:t>
      </w:r>
    </w:p>
    <w:p w14:paraId="3588F7DC">
      <w:pPr>
        <w:rPr>
          <w:rFonts w:ascii="Arial" w:hAnsi="Arial" w:cs="Arial"/>
          <w:szCs w:val="22"/>
          <w:lang w:val="en-GB" w:eastAsia="zh-CN"/>
        </w:rPr>
      </w:pPr>
    </w:p>
    <w:p w14:paraId="35A8FE4F">
      <w:pPr>
        <w:pStyle w:val="3"/>
        <w:rPr>
          <w:lang w:val="en-US" w:eastAsia="zh-CN"/>
        </w:rPr>
      </w:pPr>
      <w:bookmarkStart w:id="91" w:name="_Toc3828"/>
      <w:bookmarkStart w:id="92" w:name="_Toc8106"/>
      <w:bookmarkStart w:id="93" w:name="_Toc4578"/>
      <w:r>
        <w:rPr>
          <w:rFonts w:hint="eastAsia"/>
          <w:lang w:val="en-US" w:eastAsia="zh-CN"/>
        </w:rPr>
        <w:t>10</w:t>
      </w:r>
      <w:r>
        <w:rPr>
          <w:rFonts w:hint="eastAsia"/>
          <w:lang w:val="en-US" w:eastAsia="zh-CN"/>
        </w:rPr>
        <w:tab/>
      </w:r>
      <w:bookmarkEnd w:id="91"/>
      <w:bookmarkEnd w:id="92"/>
      <w:r>
        <w:rPr>
          <w:rFonts w:hint="eastAsia"/>
          <w:lang w:val="en-US" w:eastAsia="zh-CN"/>
        </w:rPr>
        <w:t>Considered</w:t>
      </w:r>
      <w:bookmarkEnd w:id="93"/>
      <w:r>
        <w:rPr>
          <w:rFonts w:hint="eastAsia"/>
          <w:lang w:val="en-US" w:eastAsia="zh-CN"/>
        </w:rPr>
        <w:t xml:space="preserve"> </w:t>
      </w:r>
      <w:bookmarkStart w:id="94" w:name="_Toc26491"/>
      <w:bookmarkStart w:id="95" w:name="_Toc32158"/>
      <w:bookmarkStart w:id="96" w:name="_Toc2382"/>
      <w:bookmarkStart w:id="97" w:name="_Toc26726"/>
      <w:r>
        <w:rPr>
          <w:rFonts w:hint="eastAsia"/>
          <w:lang w:val="en-US" w:eastAsia="zh-CN"/>
        </w:rPr>
        <w:t>work plan for potential normative work</w:t>
      </w:r>
      <w:bookmarkEnd w:id="94"/>
      <w:bookmarkEnd w:id="95"/>
      <w:bookmarkEnd w:id="96"/>
      <w:bookmarkEnd w:id="97"/>
    </w:p>
    <w:p w14:paraId="2F30ED19">
      <w:pPr>
        <w:pStyle w:val="95"/>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0304AE1B">
      <w:pPr>
        <w:pStyle w:val="95"/>
        <w:rPr>
          <w:lang w:val="en-US" w:eastAsia="zh-CN"/>
        </w:rPr>
      </w:pPr>
      <w:r>
        <w:rPr>
          <w:lang w:val="en-US" w:eastAsia="zh-CN"/>
        </w:rPr>
        <w:t xml:space="preserve">9. </w:t>
      </w:r>
      <w:r>
        <w:t>Define potential normative work item objectives and timeline.</w:t>
      </w:r>
    </w:p>
    <w:p w14:paraId="6597E300">
      <w:pPr>
        <w:numPr>
          <w:ilvl w:val="255"/>
          <w:numId w:val="0"/>
        </w:numPr>
        <w:rPr>
          <w:lang w:val="en-US" w:eastAsia="zh-CN"/>
        </w:rPr>
      </w:pPr>
    </w:p>
    <w:p w14:paraId="0EEC62C1">
      <w:pPr>
        <w:pStyle w:val="3"/>
        <w:rPr>
          <w:rFonts w:eastAsia="宋体"/>
          <w:lang w:val="en-US" w:eastAsia="zh-CN"/>
        </w:rPr>
      </w:pPr>
      <w:bookmarkStart w:id="98" w:name="_Toc11552"/>
      <w:bookmarkStart w:id="99" w:name="_Toc9024"/>
      <w:bookmarkStart w:id="100" w:name="_Toc15790"/>
      <w:bookmarkStart w:id="101" w:name="_Toc32604"/>
      <w:r>
        <w:rPr>
          <w:rFonts w:hint="eastAsia" w:eastAsia="宋体"/>
          <w:lang w:val="en-US" w:eastAsia="zh-CN"/>
        </w:rPr>
        <w:t>11</w:t>
      </w:r>
      <w:r>
        <w:tab/>
      </w:r>
      <w:r>
        <w:t>Conclusion</w:t>
      </w:r>
      <w:r>
        <w:rPr>
          <w:rFonts w:hint="eastAsia" w:eastAsia="宋体"/>
          <w:lang w:val="en-US" w:eastAsia="zh-CN"/>
        </w:rPr>
        <w:t>s and recommendation</w:t>
      </w:r>
      <w:bookmarkEnd w:id="98"/>
      <w:r>
        <w:rPr>
          <w:rFonts w:hint="eastAsia" w:eastAsia="宋体"/>
          <w:lang w:val="en-US" w:eastAsia="zh-CN"/>
        </w:rPr>
        <w:t>s</w:t>
      </w:r>
      <w:bookmarkEnd w:id="99"/>
      <w:bookmarkEnd w:id="100"/>
      <w:bookmarkEnd w:id="101"/>
    </w:p>
    <w:p w14:paraId="1D9531E0"/>
    <w:p w14:paraId="7FA714D8"/>
    <w:p w14:paraId="47D7A4B2">
      <w:pPr>
        <w:pStyle w:val="3"/>
      </w:pPr>
      <w:r>
        <w:br w:type="page"/>
      </w:r>
      <w:bookmarkStart w:id="102" w:name="_Toc18814"/>
      <w:bookmarkStart w:id="103" w:name="_Toc10519"/>
      <w:bookmarkStart w:id="104" w:name="_Toc9415"/>
      <w:bookmarkStart w:id="105" w:name="_Toc191892945"/>
      <w:bookmarkStart w:id="106" w:name="_Toc21141"/>
      <w:r>
        <w:t>Proforma copyright release text block</w:t>
      </w:r>
      <w:bookmarkEnd w:id="102"/>
      <w:bookmarkEnd w:id="103"/>
      <w:bookmarkEnd w:id="104"/>
      <w:bookmarkEnd w:id="105"/>
      <w:bookmarkEnd w:id="106"/>
    </w:p>
    <w:p w14:paraId="36D60ED1">
      <w:pPr>
        <w:pStyle w:val="129"/>
      </w:pPr>
      <w:r>
        <w:t>(e.g. for PICS and PIXIT Proformas)</w:t>
      </w:r>
    </w:p>
    <w:p w14:paraId="4D032CB6">
      <w:pPr>
        <w:pStyle w:val="129"/>
      </w:pPr>
      <w:r>
        <w:t>This text block shall immediately follow the heading of an element (i.e. clause or annex) containing a proforma or template which is intended to be copied by the user. Such an element shall always start on a new page.</w:t>
      </w:r>
    </w:p>
    <w:p w14:paraId="0DD71238">
      <w:pPr>
        <w:pStyle w:val="4"/>
      </w:pPr>
      <w:bookmarkStart w:id="107" w:name="_Toc25208"/>
      <w:bookmarkStart w:id="108" w:name="_Toc191892946"/>
      <w:bookmarkStart w:id="109" w:name="_Toc12031"/>
      <w:bookmarkStart w:id="110" w:name="_Toc17562"/>
      <w:bookmarkStart w:id="111" w:name="_Toc30701"/>
      <w:r>
        <w:t>X.1</w:t>
      </w:r>
      <w:r>
        <w:tab/>
      </w:r>
      <w:r>
        <w:t>The right to copy</w:t>
      </w:r>
      <w:bookmarkEnd w:id="107"/>
      <w:bookmarkEnd w:id="108"/>
      <w:bookmarkEnd w:id="109"/>
      <w:bookmarkEnd w:id="110"/>
      <w:bookmarkEnd w:id="111"/>
    </w:p>
    <w:p w14:paraId="0EE2A87E">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28669B74">
      <w:pPr>
        <w:pStyle w:val="3"/>
      </w:pPr>
      <w:r>
        <w:br w:type="page"/>
      </w:r>
      <w:bookmarkStart w:id="112" w:name="_Toc7166"/>
      <w:bookmarkStart w:id="113" w:name="_Toc16666"/>
      <w:bookmarkStart w:id="114" w:name="_Toc6187"/>
      <w:bookmarkStart w:id="115" w:name="_Toc191892947"/>
      <w:bookmarkStart w:id="116" w:name="_Toc20336"/>
      <w:r>
        <w:t>Abstract Test Suite (ATS) text block</w:t>
      </w:r>
      <w:bookmarkEnd w:id="112"/>
      <w:bookmarkEnd w:id="113"/>
      <w:bookmarkEnd w:id="114"/>
      <w:bookmarkEnd w:id="115"/>
      <w:bookmarkEnd w:id="116"/>
    </w:p>
    <w:p w14:paraId="03667508">
      <w:pPr>
        <w:pStyle w:val="129"/>
      </w:pPr>
      <w:r>
        <w:t>This text should be used for ATS using TTCN. The subdivision is recommended.</w:t>
      </w:r>
    </w:p>
    <w:p w14:paraId="0CA456C0">
      <w:pPr>
        <w:pStyle w:val="3"/>
      </w:pPr>
      <w:bookmarkStart w:id="117" w:name="_Toc10604"/>
      <w:bookmarkStart w:id="118" w:name="_Toc191892948"/>
      <w:bookmarkStart w:id="119" w:name="_Toc14709"/>
      <w:bookmarkStart w:id="120" w:name="_Toc21631"/>
      <w:bookmarkStart w:id="121" w:name="_Toc4443"/>
      <w:r>
        <w:t>Y</w:t>
      </w:r>
      <w:r>
        <w:tab/>
      </w:r>
      <w:r>
        <w:t>Abstract Test Suite (ATS)</w:t>
      </w:r>
      <w:bookmarkEnd w:id="117"/>
      <w:bookmarkEnd w:id="118"/>
      <w:bookmarkEnd w:id="119"/>
      <w:bookmarkEnd w:id="120"/>
      <w:bookmarkEnd w:id="121"/>
    </w:p>
    <w:p w14:paraId="17A0C8FD">
      <w:pPr>
        <w:pStyle w:val="4"/>
      </w:pPr>
      <w:bookmarkStart w:id="122" w:name="_Toc191892949"/>
      <w:bookmarkStart w:id="123" w:name="_Toc8399"/>
      <w:bookmarkStart w:id="124" w:name="_Toc22401"/>
      <w:bookmarkStart w:id="125" w:name="_Toc1328"/>
      <w:bookmarkStart w:id="126" w:name="_Toc5227"/>
      <w:r>
        <w:t>Y.1</w:t>
      </w:r>
      <w:r>
        <w:tab/>
      </w:r>
      <w:r>
        <w:t>Introduction</w:t>
      </w:r>
      <w:bookmarkEnd w:id="122"/>
      <w:bookmarkEnd w:id="123"/>
      <w:bookmarkEnd w:id="124"/>
      <w:bookmarkEnd w:id="125"/>
      <w:bookmarkEnd w:id="126"/>
    </w:p>
    <w:p w14:paraId="0E4B3F18">
      <w:r>
        <w:t>This ATS has been produced using the Tree and Tabular Combined Notation (TTCN) according to ISO/IEC 9646</w:t>
      </w:r>
      <w:r>
        <w:noBreakHyphen/>
      </w:r>
      <w:r>
        <w:t>3 [</w:t>
      </w:r>
      <w:r>
        <w:rPr>
          <w:highlight w:val="yellow"/>
        </w:rPr>
        <w:t>x</w:t>
      </w:r>
      <w:r>
        <w:t>].</w:t>
      </w:r>
    </w:p>
    <w:p w14:paraId="77C0437F">
      <w:r>
        <w:t>The ATS was developed on a separate TTCN software tool and therefore the TTCN tables are not completely referenced in the table of contents. The ATS itself contains a test suite overview part which provides additional information and references.</w:t>
      </w:r>
    </w:p>
    <w:p w14:paraId="25EA5FCA">
      <w:pPr>
        <w:pStyle w:val="3"/>
      </w:pPr>
      <w:bookmarkStart w:id="127" w:name="_Toc6766"/>
      <w:bookmarkStart w:id="128" w:name="_Toc28490"/>
      <w:bookmarkStart w:id="129" w:name="_Toc29090"/>
      <w:bookmarkStart w:id="130" w:name="_Toc191892950"/>
      <w:bookmarkStart w:id="131" w:name="_Toc4590"/>
      <w:r>
        <w:t>Y.2</w:t>
      </w:r>
      <w:r>
        <w:tab/>
      </w:r>
      <w:r>
        <w:t>The TTCN Graphical form (TTCN.GR)</w:t>
      </w:r>
      <w:bookmarkEnd w:id="127"/>
      <w:bookmarkEnd w:id="128"/>
      <w:bookmarkEnd w:id="129"/>
      <w:bookmarkEnd w:id="130"/>
      <w:bookmarkEnd w:id="131"/>
    </w:p>
    <w:p w14:paraId="2B699D94">
      <w:r>
        <w:t>The TTCN.GR representation of this ATS is contained in an Adobe Portable Document Format™ file (&lt;pdf_file_name&gt;.PDF contained in archive &lt;zip_file_name&gt;.ZIP) which accompanies the present document.</w:t>
      </w:r>
    </w:p>
    <w:p w14:paraId="0DCEFE67">
      <w:pPr>
        <w:pStyle w:val="3"/>
      </w:pPr>
      <w:bookmarkStart w:id="132" w:name="_Toc6264"/>
      <w:bookmarkStart w:id="133" w:name="_Toc14093"/>
      <w:bookmarkStart w:id="134" w:name="_Toc16311"/>
      <w:bookmarkStart w:id="135" w:name="_Toc750"/>
      <w:bookmarkStart w:id="136" w:name="_Toc191892951"/>
      <w:r>
        <w:t>Y.3</w:t>
      </w:r>
      <w:r>
        <w:tab/>
      </w:r>
      <w:r>
        <w:t>The TTCN Machine Processable form (TTCN.MP)</w:t>
      </w:r>
      <w:bookmarkEnd w:id="132"/>
      <w:bookmarkEnd w:id="133"/>
      <w:bookmarkEnd w:id="134"/>
      <w:bookmarkEnd w:id="135"/>
      <w:bookmarkEnd w:id="136"/>
    </w:p>
    <w:p w14:paraId="59025B68">
      <w:r>
        <w:t>The TTCN.MP representation corresponding to this ATS is contained in an ASCII file (&lt;mp_file_name&gt;.MP contained in archive &lt;zip_file_name&gt;.ZIP) which accompanies the present document.</w:t>
      </w:r>
    </w:p>
    <w:p w14:paraId="4A798224">
      <w:pPr>
        <w:pStyle w:val="11"/>
      </w:pPr>
      <w:bookmarkStart w:id="137" w:name="startOfAnnexes"/>
      <w:bookmarkEnd w:id="137"/>
      <w:r>
        <w:br w:type="page"/>
      </w:r>
      <w:bookmarkStart w:id="138" w:name="_Toc21366"/>
      <w:bookmarkStart w:id="139" w:name="_Toc191892952"/>
      <w:bookmarkStart w:id="140" w:name="_Toc13871"/>
      <w:bookmarkStart w:id="141" w:name="_Toc3803"/>
      <w:bookmarkStart w:id="142" w:name="_Toc4814"/>
      <w:r>
        <w:t>Annex &lt;A&gt; (normative):</w:t>
      </w:r>
      <w:r>
        <w:br w:type="textWrapping"/>
      </w:r>
      <w:r>
        <w:t>&lt;Normative annex for a Technical Specification&gt;</w:t>
      </w:r>
      <w:bookmarkEnd w:id="138"/>
      <w:bookmarkEnd w:id="139"/>
      <w:bookmarkEnd w:id="140"/>
      <w:bookmarkEnd w:id="141"/>
      <w:bookmarkEnd w:id="142"/>
    </w:p>
    <w:p w14:paraId="3282855B">
      <w:pPr>
        <w:pStyle w:val="129"/>
      </w:pPr>
      <w:r>
        <w:t>Start each annex on a new page.</w:t>
      </w:r>
    </w:p>
    <w:p w14:paraId="5442CB93">
      <w:pPr>
        <w:pStyle w:val="129"/>
      </w:pPr>
      <w:r>
        <w:t>Annexes are labelled A, B, C, etc. and designated either "normative" or "informative" depending on their content.</w:t>
      </w:r>
    </w:p>
    <w:p w14:paraId="2188A63D">
      <w:pPr>
        <w:pStyle w:val="129"/>
      </w:pPr>
      <w:r>
        <w:t>Normative annexes only to appear in Technical Specifications. Use style "Heading 8".</w:t>
      </w:r>
    </w:p>
    <w:p w14:paraId="125E31DA"/>
    <w:p w14:paraId="42AB3ACF">
      <w:pPr>
        <w:pStyle w:val="11"/>
      </w:pPr>
      <w:r>
        <w:br w:type="page"/>
      </w:r>
      <w:bookmarkStart w:id="143" w:name="_Toc9832"/>
      <w:bookmarkStart w:id="144" w:name="_Toc29143"/>
      <w:bookmarkStart w:id="145" w:name="_Toc26077"/>
      <w:bookmarkStart w:id="146" w:name="_Toc17448"/>
      <w:bookmarkStart w:id="147" w:name="_Toc191892953"/>
      <w:r>
        <w:t>Annex &lt;B&gt; (informative):</w:t>
      </w:r>
      <w:r>
        <w:br w:type="textWrapping"/>
      </w:r>
      <w:r>
        <w:t>&lt;Informative annex for a Technical Specification&gt;</w:t>
      </w:r>
      <w:bookmarkEnd w:id="143"/>
      <w:bookmarkEnd w:id="144"/>
      <w:bookmarkEnd w:id="145"/>
      <w:bookmarkEnd w:id="146"/>
      <w:bookmarkEnd w:id="147"/>
    </w:p>
    <w:p w14:paraId="3DFBDD08">
      <w:pPr>
        <w:pStyle w:val="129"/>
      </w:pPr>
      <w:r>
        <w:t>Informative annexes may appear in both Technical Specifications and Technical Reports. Use style "Heading 8" for use in TSs.</w:t>
      </w:r>
    </w:p>
    <w:p w14:paraId="025B60D7">
      <w:pPr>
        <w:pStyle w:val="129"/>
      </w:pPr>
      <w:r>
        <w:t>Informative annexes shall not contain requirements for the implementation of the Technical Specification.</w:t>
      </w:r>
    </w:p>
    <w:p w14:paraId="069EBEEC">
      <w:pPr>
        <w:pStyle w:val="3"/>
      </w:pPr>
      <w:bookmarkStart w:id="148" w:name="_Toc10881"/>
      <w:bookmarkStart w:id="149" w:name="_Toc7049"/>
      <w:bookmarkStart w:id="150" w:name="_Toc30600"/>
      <w:bookmarkStart w:id="151" w:name="_Toc191892954"/>
      <w:bookmarkStart w:id="152" w:name="_Toc2931"/>
      <w:r>
        <w:t>B.1</w:t>
      </w:r>
      <w:r>
        <w:tab/>
      </w:r>
      <w:r>
        <w:t>Heading levels in an annex</w:t>
      </w:r>
      <w:bookmarkEnd w:id="148"/>
      <w:bookmarkEnd w:id="149"/>
      <w:bookmarkEnd w:id="150"/>
      <w:bookmarkEnd w:id="151"/>
      <w:bookmarkEnd w:id="152"/>
    </w:p>
    <w:p w14:paraId="130F1AAA">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457E9555">
      <w:pPr>
        <w:pStyle w:val="12"/>
        <w:outlineLvl w:val="9"/>
      </w:pPr>
      <w:r>
        <w:br w:type="page"/>
      </w:r>
    </w:p>
    <w:p w14:paraId="2433C791">
      <w:pPr>
        <w:pStyle w:val="11"/>
      </w:pPr>
      <w:r>
        <w:br w:type="page"/>
      </w:r>
      <w:bookmarkStart w:id="153" w:name="_Toc19797"/>
      <w:bookmarkStart w:id="154" w:name="_Toc191892955"/>
      <w:bookmarkStart w:id="155" w:name="_Toc2558"/>
      <w:bookmarkStart w:id="156" w:name="_Toc28991"/>
      <w:bookmarkStart w:id="157" w:name="_Toc12540"/>
      <w:r>
        <w:t>Annex &lt;F&gt; (informative):</w:t>
      </w:r>
      <w:r>
        <w:br w:type="textWrapping"/>
      </w:r>
      <w:r>
        <w:t>Change history</w:t>
      </w:r>
      <w:bookmarkEnd w:id="153"/>
      <w:bookmarkEnd w:id="154"/>
      <w:bookmarkEnd w:id="155"/>
      <w:bookmarkEnd w:id="156"/>
      <w:bookmarkEnd w:id="157"/>
    </w:p>
    <w:p w14:paraId="717BD433">
      <w:pPr>
        <w:pStyle w:val="129"/>
      </w:pPr>
      <w:r>
        <w:t>Use style "Heading 8" in TSs and "Heading 9" in TRs. Do not use "informative" in the title in TRs.</w:t>
      </w:r>
    </w:p>
    <w:p w14:paraId="36889027">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4C034A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300F0A1A">
            <w:pPr>
              <w:pStyle w:val="105"/>
              <w:rPr>
                <w:sz w:val="16"/>
              </w:rPr>
            </w:pPr>
            <w:bookmarkStart w:id="158" w:name="historyclause"/>
            <w:bookmarkEnd w:id="158"/>
            <w:r>
              <w:t>Change history</w:t>
            </w:r>
          </w:p>
        </w:tc>
      </w:tr>
      <w:tr w14:paraId="7A8C90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54B46A3">
            <w:pPr>
              <w:pStyle w:val="105"/>
              <w:rPr>
                <w:sz w:val="16"/>
                <w:szCs w:val="16"/>
              </w:rPr>
            </w:pPr>
            <w:r>
              <w:rPr>
                <w:sz w:val="16"/>
                <w:szCs w:val="16"/>
              </w:rPr>
              <w:t>Date</w:t>
            </w:r>
          </w:p>
        </w:tc>
        <w:tc>
          <w:tcPr>
            <w:tcW w:w="901" w:type="dxa"/>
            <w:shd w:val="pct10" w:color="auto" w:fill="FFFFFF"/>
          </w:tcPr>
          <w:p w14:paraId="23E1AB8A">
            <w:pPr>
              <w:pStyle w:val="105"/>
              <w:rPr>
                <w:sz w:val="16"/>
                <w:szCs w:val="16"/>
              </w:rPr>
            </w:pPr>
            <w:r>
              <w:rPr>
                <w:sz w:val="16"/>
                <w:szCs w:val="16"/>
              </w:rPr>
              <w:t>Meeting</w:t>
            </w:r>
          </w:p>
        </w:tc>
        <w:tc>
          <w:tcPr>
            <w:tcW w:w="1134" w:type="dxa"/>
            <w:shd w:val="pct10" w:color="auto" w:fill="FFFFFF"/>
          </w:tcPr>
          <w:p w14:paraId="237E9C2F">
            <w:pPr>
              <w:pStyle w:val="105"/>
              <w:rPr>
                <w:sz w:val="16"/>
                <w:szCs w:val="16"/>
              </w:rPr>
            </w:pPr>
            <w:r>
              <w:rPr>
                <w:sz w:val="16"/>
                <w:szCs w:val="16"/>
              </w:rPr>
              <w:t>TDoc</w:t>
            </w:r>
          </w:p>
        </w:tc>
        <w:tc>
          <w:tcPr>
            <w:tcW w:w="567" w:type="dxa"/>
            <w:shd w:val="pct10" w:color="auto" w:fill="FFFFFF"/>
          </w:tcPr>
          <w:p w14:paraId="4B3A82C0">
            <w:pPr>
              <w:pStyle w:val="105"/>
              <w:rPr>
                <w:sz w:val="16"/>
                <w:szCs w:val="16"/>
              </w:rPr>
            </w:pPr>
            <w:r>
              <w:rPr>
                <w:sz w:val="16"/>
                <w:szCs w:val="16"/>
              </w:rPr>
              <w:t>CR</w:t>
            </w:r>
          </w:p>
        </w:tc>
        <w:tc>
          <w:tcPr>
            <w:tcW w:w="426" w:type="dxa"/>
            <w:shd w:val="pct10" w:color="auto" w:fill="FFFFFF"/>
          </w:tcPr>
          <w:p w14:paraId="1EB6EB20">
            <w:pPr>
              <w:pStyle w:val="105"/>
              <w:rPr>
                <w:sz w:val="16"/>
                <w:szCs w:val="16"/>
              </w:rPr>
            </w:pPr>
            <w:r>
              <w:rPr>
                <w:sz w:val="16"/>
                <w:szCs w:val="16"/>
              </w:rPr>
              <w:t>Rev</w:t>
            </w:r>
          </w:p>
        </w:tc>
        <w:tc>
          <w:tcPr>
            <w:tcW w:w="425" w:type="dxa"/>
            <w:shd w:val="pct10" w:color="auto" w:fill="FFFFFF"/>
          </w:tcPr>
          <w:p w14:paraId="6A66E943">
            <w:pPr>
              <w:pStyle w:val="105"/>
              <w:rPr>
                <w:sz w:val="16"/>
                <w:szCs w:val="16"/>
              </w:rPr>
            </w:pPr>
            <w:r>
              <w:rPr>
                <w:sz w:val="16"/>
                <w:szCs w:val="16"/>
              </w:rPr>
              <w:t>Cat</w:t>
            </w:r>
          </w:p>
        </w:tc>
        <w:tc>
          <w:tcPr>
            <w:tcW w:w="4678" w:type="dxa"/>
            <w:shd w:val="pct10" w:color="auto" w:fill="FFFFFF"/>
          </w:tcPr>
          <w:p w14:paraId="090FA9DA">
            <w:pPr>
              <w:pStyle w:val="105"/>
              <w:rPr>
                <w:sz w:val="16"/>
                <w:szCs w:val="16"/>
              </w:rPr>
            </w:pPr>
            <w:r>
              <w:rPr>
                <w:sz w:val="16"/>
                <w:szCs w:val="16"/>
              </w:rPr>
              <w:t>Subject/Comment</w:t>
            </w:r>
          </w:p>
        </w:tc>
        <w:tc>
          <w:tcPr>
            <w:tcW w:w="708" w:type="dxa"/>
            <w:shd w:val="pct10" w:color="auto" w:fill="FFFFFF"/>
          </w:tcPr>
          <w:p w14:paraId="38F3C2FF">
            <w:pPr>
              <w:pStyle w:val="105"/>
              <w:rPr>
                <w:sz w:val="16"/>
                <w:szCs w:val="16"/>
              </w:rPr>
            </w:pPr>
            <w:r>
              <w:rPr>
                <w:sz w:val="16"/>
                <w:szCs w:val="16"/>
              </w:rPr>
              <w:t>New version</w:t>
            </w:r>
          </w:p>
        </w:tc>
      </w:tr>
      <w:tr w14:paraId="57C1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8971E7">
            <w:pPr>
              <w:pStyle w:val="106"/>
              <w:rPr>
                <w:sz w:val="16"/>
                <w:szCs w:val="16"/>
              </w:rPr>
            </w:pPr>
            <w:r>
              <w:rPr>
                <w:sz w:val="16"/>
                <w:szCs w:val="16"/>
              </w:rPr>
              <w:t>2025-04</w:t>
            </w:r>
          </w:p>
        </w:tc>
        <w:tc>
          <w:tcPr>
            <w:tcW w:w="901" w:type="dxa"/>
            <w:shd w:val="solid" w:color="FFFFFF" w:fill="auto"/>
          </w:tcPr>
          <w:p w14:paraId="1CE39C23">
            <w:pPr>
              <w:pStyle w:val="106"/>
              <w:rPr>
                <w:sz w:val="16"/>
                <w:szCs w:val="16"/>
              </w:rPr>
            </w:pPr>
            <w:r>
              <w:rPr>
                <w:sz w:val="16"/>
                <w:szCs w:val="16"/>
              </w:rPr>
              <w:t>SA4#131-bis-e</w:t>
            </w:r>
          </w:p>
        </w:tc>
        <w:tc>
          <w:tcPr>
            <w:tcW w:w="1134" w:type="dxa"/>
            <w:shd w:val="solid" w:color="FFFFFF" w:fill="auto"/>
          </w:tcPr>
          <w:p w14:paraId="62E9AFDF">
            <w:pPr>
              <w:pStyle w:val="106"/>
              <w:rPr>
                <w:sz w:val="16"/>
                <w:szCs w:val="16"/>
              </w:rPr>
            </w:pPr>
            <w:r>
              <w:rPr>
                <w:rFonts w:hint="eastAsia"/>
                <w:sz w:val="16"/>
                <w:szCs w:val="16"/>
                <w:highlight w:val="yellow"/>
              </w:rPr>
              <w:t>S4-250451</w:t>
            </w:r>
            <w:bookmarkStart w:id="159" w:name="_GoBack"/>
            <w:bookmarkEnd w:id="159"/>
          </w:p>
        </w:tc>
        <w:tc>
          <w:tcPr>
            <w:tcW w:w="567" w:type="dxa"/>
            <w:shd w:val="solid" w:color="FFFFFF" w:fill="auto"/>
          </w:tcPr>
          <w:p w14:paraId="3A0CF0F4">
            <w:pPr>
              <w:pStyle w:val="106"/>
              <w:rPr>
                <w:sz w:val="16"/>
                <w:szCs w:val="16"/>
              </w:rPr>
            </w:pPr>
          </w:p>
        </w:tc>
        <w:tc>
          <w:tcPr>
            <w:tcW w:w="426" w:type="dxa"/>
            <w:shd w:val="solid" w:color="FFFFFF" w:fill="auto"/>
          </w:tcPr>
          <w:p w14:paraId="1D848C8C">
            <w:pPr>
              <w:pStyle w:val="106"/>
              <w:rPr>
                <w:sz w:val="16"/>
                <w:szCs w:val="16"/>
              </w:rPr>
            </w:pPr>
          </w:p>
        </w:tc>
        <w:tc>
          <w:tcPr>
            <w:tcW w:w="425" w:type="dxa"/>
            <w:shd w:val="solid" w:color="FFFFFF" w:fill="auto"/>
          </w:tcPr>
          <w:p w14:paraId="01108A6A">
            <w:pPr>
              <w:pStyle w:val="106"/>
              <w:rPr>
                <w:sz w:val="16"/>
                <w:szCs w:val="16"/>
              </w:rPr>
            </w:pPr>
          </w:p>
        </w:tc>
        <w:tc>
          <w:tcPr>
            <w:tcW w:w="4678" w:type="dxa"/>
            <w:shd w:val="solid" w:color="FFFFFF" w:fill="auto"/>
          </w:tcPr>
          <w:p w14:paraId="729AB6C8">
            <w:pPr>
              <w:pStyle w:val="104"/>
              <w:rPr>
                <w:sz w:val="16"/>
                <w:szCs w:val="16"/>
              </w:rPr>
            </w:pPr>
            <w:r>
              <w:rPr>
                <w:sz w:val="16"/>
                <w:szCs w:val="16"/>
              </w:rPr>
              <w:t>Initial version submitted for SA4#131-bis-e</w:t>
            </w:r>
          </w:p>
        </w:tc>
        <w:tc>
          <w:tcPr>
            <w:tcW w:w="708" w:type="dxa"/>
            <w:shd w:val="solid" w:color="FFFFFF" w:fill="auto"/>
          </w:tcPr>
          <w:p w14:paraId="3463124A">
            <w:pPr>
              <w:pStyle w:val="106"/>
              <w:rPr>
                <w:sz w:val="16"/>
                <w:szCs w:val="16"/>
              </w:rPr>
            </w:pPr>
            <w:r>
              <w:rPr>
                <w:sz w:val="16"/>
                <w:szCs w:val="16"/>
              </w:rPr>
              <w:t>0.0.1</w:t>
            </w:r>
          </w:p>
        </w:tc>
      </w:tr>
      <w:tr w14:paraId="6CC4F8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0F9553">
            <w:pPr>
              <w:pStyle w:val="106"/>
              <w:rPr>
                <w:sz w:val="16"/>
                <w:szCs w:val="16"/>
              </w:rPr>
            </w:pPr>
            <w:r>
              <w:rPr>
                <w:sz w:val="16"/>
                <w:szCs w:val="16"/>
              </w:rPr>
              <w:t>2025-04</w:t>
            </w:r>
          </w:p>
        </w:tc>
        <w:tc>
          <w:tcPr>
            <w:tcW w:w="901" w:type="dxa"/>
            <w:shd w:val="solid" w:color="FFFFFF" w:fill="auto"/>
          </w:tcPr>
          <w:p w14:paraId="090A56FD">
            <w:pPr>
              <w:pStyle w:val="106"/>
              <w:rPr>
                <w:sz w:val="16"/>
                <w:szCs w:val="16"/>
              </w:rPr>
            </w:pPr>
            <w:r>
              <w:rPr>
                <w:sz w:val="16"/>
                <w:szCs w:val="16"/>
              </w:rPr>
              <w:t>SA4#131-bis-e</w:t>
            </w:r>
          </w:p>
        </w:tc>
        <w:tc>
          <w:tcPr>
            <w:tcW w:w="1134" w:type="dxa"/>
            <w:shd w:val="solid" w:color="FFFFFF" w:fill="auto"/>
          </w:tcPr>
          <w:p w14:paraId="6CCF919D">
            <w:pPr>
              <w:pStyle w:val="106"/>
              <w:rPr>
                <w:rFonts w:hint="eastAsia"/>
                <w:sz w:val="16"/>
                <w:szCs w:val="16"/>
                <w:highlight w:val="yellow"/>
              </w:rPr>
            </w:pPr>
            <w:r>
              <w:rPr>
                <w:rFonts w:hint="eastAsia"/>
                <w:sz w:val="16"/>
                <w:szCs w:val="16"/>
                <w:highlight w:val="yellow"/>
              </w:rPr>
              <w:t>S4-250700</w:t>
            </w:r>
          </w:p>
        </w:tc>
        <w:tc>
          <w:tcPr>
            <w:tcW w:w="567" w:type="dxa"/>
            <w:shd w:val="solid" w:color="FFFFFF" w:fill="auto"/>
          </w:tcPr>
          <w:p w14:paraId="27EB8E61">
            <w:pPr>
              <w:pStyle w:val="106"/>
              <w:rPr>
                <w:sz w:val="16"/>
                <w:szCs w:val="16"/>
              </w:rPr>
            </w:pPr>
          </w:p>
        </w:tc>
        <w:tc>
          <w:tcPr>
            <w:tcW w:w="426" w:type="dxa"/>
            <w:shd w:val="solid" w:color="FFFFFF" w:fill="auto"/>
          </w:tcPr>
          <w:p w14:paraId="280523DA">
            <w:pPr>
              <w:pStyle w:val="106"/>
              <w:rPr>
                <w:sz w:val="16"/>
                <w:szCs w:val="16"/>
              </w:rPr>
            </w:pPr>
          </w:p>
        </w:tc>
        <w:tc>
          <w:tcPr>
            <w:tcW w:w="425" w:type="dxa"/>
            <w:shd w:val="solid" w:color="FFFFFF" w:fill="auto"/>
          </w:tcPr>
          <w:p w14:paraId="7FDA24AC">
            <w:pPr>
              <w:pStyle w:val="106"/>
              <w:rPr>
                <w:sz w:val="16"/>
                <w:szCs w:val="16"/>
              </w:rPr>
            </w:pPr>
          </w:p>
        </w:tc>
        <w:tc>
          <w:tcPr>
            <w:tcW w:w="4678" w:type="dxa"/>
            <w:shd w:val="solid" w:color="FFFFFF" w:fill="auto"/>
          </w:tcPr>
          <w:p w14:paraId="198CBBD5">
            <w:pPr>
              <w:pStyle w:val="104"/>
              <w:rPr>
                <w:rFonts w:hint="default" w:eastAsia="宋体"/>
                <w:sz w:val="16"/>
                <w:szCs w:val="16"/>
                <w:lang w:val="en-US" w:eastAsia="zh-CN"/>
              </w:rPr>
            </w:pPr>
            <w:r>
              <w:rPr>
                <w:rFonts w:hint="eastAsia" w:eastAsia="宋体"/>
                <w:sz w:val="16"/>
                <w:szCs w:val="16"/>
                <w:lang w:val="en-US" w:eastAsia="zh-CN"/>
              </w:rPr>
              <w:t>Agreed version in SA4#131-bis-e</w:t>
            </w:r>
          </w:p>
        </w:tc>
        <w:tc>
          <w:tcPr>
            <w:tcW w:w="708" w:type="dxa"/>
            <w:shd w:val="solid" w:color="FFFFFF" w:fill="auto"/>
          </w:tcPr>
          <w:p w14:paraId="484961BD">
            <w:pPr>
              <w:pStyle w:val="106"/>
              <w:rPr>
                <w:rFonts w:hint="default" w:eastAsia="宋体"/>
                <w:sz w:val="16"/>
                <w:szCs w:val="16"/>
                <w:lang w:val="en-US" w:eastAsia="zh-CN"/>
              </w:rPr>
            </w:pPr>
            <w:r>
              <w:rPr>
                <w:rFonts w:hint="eastAsia" w:eastAsia="宋体"/>
                <w:sz w:val="16"/>
                <w:szCs w:val="16"/>
                <w:lang w:val="en-US" w:eastAsia="zh-CN"/>
              </w:rPr>
              <w:t>0.0.2</w:t>
            </w:r>
          </w:p>
        </w:tc>
      </w:tr>
    </w:tbl>
    <w:p w14:paraId="34995C5D">
      <w:pPr>
        <w:pStyle w:val="129"/>
      </w:pPr>
      <w:r>
        <w:t xml:space="preserve"> </w:t>
      </w:r>
    </w:p>
    <w:p w14:paraId="7A7924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 w:name="sans-serif">
    <w:altName w:val="LaTeX"/>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EF0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3F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V0.0.2 (2025-04)</w:t>
    </w:r>
    <w:r>
      <w:rPr>
        <w:rFonts w:ascii="Arial" w:hAnsi="Arial" w:cs="Arial"/>
        <w:b/>
        <w:sz w:val="18"/>
        <w:szCs w:val="18"/>
      </w:rPr>
      <w:fldChar w:fldCharType="end"/>
    </w:r>
  </w:p>
  <w:p w14:paraId="286479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1899F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7B79C8F">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65EA3"/>
    <w:rsid w:val="00774DA4"/>
    <w:rsid w:val="00781F0F"/>
    <w:rsid w:val="007B600E"/>
    <w:rsid w:val="007E214D"/>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05202CEB"/>
    <w:rsid w:val="16D65465"/>
    <w:rsid w:val="3B411178"/>
    <w:rsid w:val="3D0C5FF9"/>
    <w:rsid w:val="46045ABD"/>
    <w:rsid w:val="4AB443C7"/>
    <w:rsid w:val="4F6E2E8E"/>
    <w:rsid w:val="5E05330D"/>
    <w:rsid w:val="63B70C9A"/>
    <w:rsid w:val="66A23E2D"/>
    <w:rsid w:val="67F04F57"/>
    <w:rsid w:val="702706A0"/>
    <w:rsid w:val="70C222BA"/>
    <w:rsid w:val="735C7A0B"/>
    <w:rsid w:val="79CF3B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1"/>
    <w:hidden/>
    <w:unhideWhenUsed/>
    <w:qFormat/>
    <w:uiPriority w:val="99"/>
    <w:rPr>
      <w:rFonts w:ascii="Times New Roman" w:hAnsi="Times New Roman" w:eastAsia="Times New Roman" w:cs="Times New Roman"/>
      <w:lang w:val="en-GB" w:eastAsia="en-US" w:bidi="ar-SA"/>
    </w:rPr>
  </w:style>
  <w:style w:type="paragraph" w:customStyle="1" w:styleId="17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B9946678-BCE9-436B-B3D5-C8C1BC0D931E}">
  <ds:schemaRefs/>
</ds:datastoreItem>
</file>

<file path=customXml/itemProps3.xml><?xml version="1.0" encoding="utf-8"?>
<ds:datastoreItem xmlns:ds="http://schemas.openxmlformats.org/officeDocument/2006/customXml" ds:itemID="{DB8A0367-F4CA-4EC2-A65D-18734EDFAB7F}">
  <ds:schemaRefs/>
</ds:datastoreItem>
</file>

<file path=customXml/itemProps4.xml><?xml version="1.0" encoding="utf-8"?>
<ds:datastoreItem xmlns:ds="http://schemas.openxmlformats.org/officeDocument/2006/customXml" ds:itemID="{9E07E351-DC0D-4F3C-82D8-A87B16E3E0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2875</Words>
  <Characters>15243</Characters>
  <Lines>127</Lines>
  <Paragraphs>36</Paragraphs>
  <TotalTime>2</TotalTime>
  <ScaleCrop>false</ScaleCrop>
  <LinksUpToDate>false</LinksUpToDate>
  <CharactersWithSpaces>18082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2025-03-24T13:56:00Z</dcterms:created>
  <dc:creator>MCC Support</dc:creator>
  <cp:keywords>&lt;keyword[, keyword, ]&gt;</cp:keywords>
  <cp:lastModifiedBy>xujiayi</cp:lastModifiedBy>
  <cp:lastPrinted>2019-02-25T23:05:00Z</cp:lastPrinted>
  <dcterms:modified xsi:type="dcterms:W3CDTF">2025-04-17T09:14:06Z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F6CDF62F4AE648FC8DB08C5FB96BBBB0_13</vt:lpwstr>
  </property>
</Properties>
</file>