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for SS-RSRP 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8.5pt" o:ole="">
            <v:imagedata r:id="rId13" o:title=""/>
          </v:shape>
          <o:OLEObject Type="Embed" ProgID="Equation.3" ShapeID="_x0000_i1025" DrawAspect="Content" ObjectID="_1742329531"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6pt;height:11pt" o:ole="">
            <v:imagedata r:id="rId18" o:title=""/>
          </v:shape>
          <o:OLEObject Type="Embed" ProgID="Equation.3" ShapeID="_x0000_i1026" DrawAspect="Content" ObjectID="_1742329532"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2pt;height:22pt" o:ole="">
                  <v:imagedata r:id="rId18" o:title=""/>
                </v:shape>
                <o:OLEObject Type="Embed" ProgID="Equation.3" ShapeID="_x0000_i1027" DrawAspect="Content" ObjectID="_1742329533"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5"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Default="00462087" w:rsidP="001E7463">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Default="00462087" w:rsidP="001E7463">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Default="00462087" w:rsidP="001E7463">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Default="00462087" w:rsidP="001E7463">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5"/>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E7463">
            <w:pPr>
              <w:keepNext/>
              <w:keepLines/>
              <w:spacing w:after="0"/>
              <w:jc w:val="center"/>
              <w:rPr>
                <w:lang w:eastAsia="zh-CN"/>
              </w:rPr>
            </w:pPr>
            <w:r>
              <w:rPr>
                <w:rFonts w:ascii="Arial" w:hAnsi="Arial"/>
                <w:b/>
                <w:sz w:val="18"/>
                <w:lang w:eastAsia="ko-KR"/>
              </w:rPr>
              <w:t>Interruption length (slots)</w:t>
            </w:r>
          </w:p>
        </w:tc>
      </w:tr>
      <w:tr w:rsidR="00462087"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E7463">
            <w:pPr>
              <w:keepNext/>
              <w:keepLines/>
              <w:spacing w:after="0"/>
              <w:jc w:val="center"/>
              <w:rPr>
                <w:lang w:eastAsia="ko-KR"/>
              </w:rPr>
            </w:pPr>
            <w:r>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E7463">
            <w:pPr>
              <w:keepNext/>
              <w:keepLines/>
              <w:spacing w:after="0"/>
              <w:jc w:val="center"/>
              <w:rPr>
                <w:lang w:eastAsia="ko-KR"/>
              </w:rPr>
            </w:pPr>
            <w:r>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E7463">
            <w:pPr>
              <w:keepNext/>
              <w:keepLines/>
              <w:spacing w:after="0"/>
              <w:jc w:val="center"/>
              <w:rPr>
                <w:lang w:eastAsia="ko-KR"/>
              </w:rPr>
            </w:pPr>
            <w:r>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E7463">
            <w:pPr>
              <w:keepNext/>
              <w:keepLines/>
              <w:spacing w:after="0"/>
              <w:jc w:val="center"/>
              <w:rPr>
                <w:lang w:eastAsia="ko-KR"/>
              </w:rPr>
            </w:pPr>
            <w:r>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E7463">
            <w:pPr>
              <w:keepNext/>
              <w:keepLines/>
              <w:spacing w:after="0"/>
              <w:jc w:val="center"/>
              <w:rPr>
                <w:lang w:eastAsia="ko-KR"/>
              </w:rPr>
            </w:pPr>
            <w:r>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E7463">
            <w:pPr>
              <w:keepNext/>
              <w:keepLines/>
              <w:spacing w:after="0"/>
              <w:jc w:val="center"/>
              <w:rPr>
                <w:lang w:eastAsia="ko-KR"/>
              </w:rPr>
            </w:pPr>
            <w:r>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Default="00462087" w:rsidP="001E7463">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E7463">
            <w:pPr>
              <w:keepNext/>
              <w:keepLines/>
              <w:spacing w:after="0"/>
              <w:jc w:val="center"/>
              <w:rPr>
                <w:lang w:eastAsia="ko-KR"/>
              </w:rPr>
            </w:pPr>
            <w:r>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E7463">
            <w:pPr>
              <w:keepNext/>
              <w:keepLines/>
              <w:spacing w:after="0"/>
              <w:jc w:val="center"/>
              <w:rPr>
                <w:lang w:eastAsia="ko-KR"/>
              </w:rPr>
            </w:pPr>
            <w:r>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Default="00462087" w:rsidP="001E7463">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4E578D55" w14:textId="77777777" w:rsidR="00462087" w:rsidRDefault="00462087"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Default="00F16070" w:rsidP="001E746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Default="00F16070" w:rsidP="001E746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Default="00F16070" w:rsidP="001E746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Default="00F16070" w:rsidP="001E746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0"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Default="00AF3C7D" w:rsidP="001E7463">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Default="00AF3C7D" w:rsidP="001E7463">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0"/>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42C89C0C" w14:textId="647CB242" w:rsidR="005A78CD" w:rsidRDefault="005A78CD" w:rsidP="005A78CD">
      <w:pPr>
        <w:rPr>
          <w:lang w:val="en-US" w:eastAsia="zh-CN"/>
        </w:rPr>
      </w:pPr>
      <w:bookmarkStart w:id="139"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39"/>
      <w:r w:rsidRPr="008C6DE4">
        <w:rPr>
          <w:rFonts w:eastAsiaTheme="minorEastAsia"/>
        </w:rPr>
        <w:t>requirement</w:t>
      </w:r>
    </w:p>
    <w:bookmarkEnd w:id="132"/>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pt;height:22pt" o:ole="">
            <v:imagedata r:id="rId22" o:title=""/>
          </v:shape>
          <o:OLEObject Type="Embed" ProgID="Equation.3" ShapeID="_x0000_i1028" DrawAspect="Content" ObjectID="_1742329534"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pt;height:22pt" o:ole="">
            <v:imagedata r:id="rId22" o:title=""/>
          </v:shape>
          <o:OLEObject Type="Embed" ProgID="Equation.3" ShapeID="_x0000_i1029" DrawAspect="Content" ObjectID="_1742329535"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pt;height:22pt" o:ole="">
            <v:imagedata r:id="rId22" o:title=""/>
          </v:shape>
          <o:OLEObject Type="Embed" ProgID="Equation.3" ShapeID="_x0000_i1030" DrawAspect="Content" ObjectID="_1742329536"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pt;height:22pt" o:ole="">
            <v:imagedata r:id="rId22" o:title=""/>
          </v:shape>
          <o:OLEObject Type="Embed" ProgID="Equation.3" ShapeID="_x0000_i1031" DrawAspect="Content" ObjectID="_1742329537"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0" w:name="_Hlk14858925"/>
      <w:r w:rsidRPr="008C6DE4">
        <w:rPr>
          <w:rFonts w:cs="v5.0.0"/>
        </w:rPr>
        <w:t>Q</w:t>
      </w:r>
      <w:r w:rsidRPr="008C6DE4">
        <w:rPr>
          <w:rFonts w:cs="v5.0.0"/>
          <w:vertAlign w:val="subscript"/>
        </w:rPr>
        <w:t>out_LR</w:t>
      </w:r>
      <w:bookmarkEnd w:id="14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pt;height:22pt" o:ole="">
            <v:imagedata r:id="rId22" o:title=""/>
          </v:shape>
          <o:OLEObject Type="Embed" ProgID="Equation.3" ShapeID="_x0000_i1032" DrawAspect="Content" ObjectID="_1742329538"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pt;height:21.5pt" o:ole="">
            <v:imagedata r:id="rId28" o:title=""/>
          </v:shape>
          <o:OLEObject Type="Embed" ProgID="Equation.3" ShapeID="_x0000_i1033" DrawAspect="Content" ObjectID="_1742329539"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pt;height:21.5pt" o:ole="">
            <v:imagedata r:id="rId28" o:title=""/>
          </v:shape>
          <o:OLEObject Type="Embed" ProgID="Equation.3" ShapeID="_x0000_i1034" DrawAspect="Content" ObjectID="_1742329540"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pt;height:22pt" o:ole="">
            <v:imagedata r:id="rId22" o:title=""/>
          </v:shape>
          <o:OLEObject Type="Embed" ProgID="Equation.3" ShapeID="_x0000_i1035" DrawAspect="Content" ObjectID="_1742329541"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pt;height:22pt" o:ole="">
            <v:imagedata r:id="rId22" o:title=""/>
          </v:shape>
          <o:OLEObject Type="Embed" ProgID="Equation.3" ShapeID="_x0000_i1036" DrawAspect="Content" ObjectID="_1742329542"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pt;height:22pt" o:ole="">
            <v:imagedata r:id="rId22" o:title=""/>
          </v:shape>
          <o:OLEObject Type="Embed" ProgID="Equation.3" ShapeID="_x0000_i1037" DrawAspect="Content" ObjectID="_1742329543"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1" w:name="_Hlk9028608"/>
      <w:r w:rsidRPr="008C6DE4">
        <w:t>BFD</w:t>
      </w:r>
      <w:bookmarkEnd w:id="14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pt;height:20pt" o:ole="">
            <v:imagedata r:id="rId22" o:title=""/>
          </v:shape>
          <o:OLEObject Type="Embed" ProgID="Equation.3" ShapeID="_x0000_i1038" DrawAspect="Content" ObjectID="_1742329544"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pt;height:22pt" o:ole="">
            <v:imagedata r:id="rId22" o:title=""/>
          </v:shape>
          <o:OLEObject Type="Embed" ProgID="Equation.3" ShapeID="_x0000_i1039" DrawAspect="Content" ObjectID="_1742329545"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pt;height:22pt" o:ole="">
            <v:imagedata r:id="rId22" o:title=""/>
          </v:shape>
          <o:OLEObject Type="Embed" ProgID="Equation.3" ShapeID="_x0000_i1040" DrawAspect="Content" ObjectID="_1742329546"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pt;height:22pt" o:ole="">
            <v:imagedata r:id="rId22" o:title=""/>
          </v:shape>
          <o:OLEObject Type="Embed" ProgID="Equation.3" ShapeID="_x0000_i1041" DrawAspect="Content" ObjectID="_1742329547"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pt;height:22pt" o:ole="">
            <v:imagedata r:id="rId22" o:title=""/>
          </v:shape>
          <o:OLEObject Type="Embed" ProgID="Equation.3" ShapeID="_x0000_i1042" DrawAspect="Content" ObjectID="_1742329548"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3" w:name="_Toc535475992"/>
      <w:r w:rsidRPr="008C6DE4">
        <w:rPr>
          <w:lang w:val="en-US" w:eastAsia="zh-CN"/>
        </w:rPr>
        <w:t>8.6.1</w:t>
      </w:r>
      <w:r w:rsidRPr="008C6DE4">
        <w:rPr>
          <w:lang w:val="en-US" w:eastAsia="zh-CN"/>
        </w:rPr>
        <w:tab/>
        <w:t>Introduction</w:t>
      </w:r>
      <w:bookmarkEnd w:id="143"/>
    </w:p>
    <w:p w14:paraId="77DFFB3F" w14:textId="3FFB4314" w:rsidR="00140E53" w:rsidRPr="008C6DE4" w:rsidRDefault="00140E53" w:rsidP="00140E53">
      <w:pPr>
        <w:rPr>
          <w:lang w:eastAsia="zh-CN"/>
        </w:rPr>
      </w:pPr>
      <w:bookmarkStart w:id="14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4"/>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5" w:name="_Toc535475994"/>
      <w:r w:rsidRPr="008C6DE4">
        <w:rPr>
          <w:lang w:val="en-US" w:eastAsia="zh-CN"/>
        </w:rPr>
        <w:t>8.6.3</w:t>
      </w:r>
      <w:r w:rsidRPr="008C6DE4">
        <w:rPr>
          <w:lang w:val="en-US" w:eastAsia="zh-CN"/>
        </w:rPr>
        <w:tab/>
        <w:t>RRC based BWP switch delay</w:t>
      </w:r>
      <w:bookmarkEnd w:id="145"/>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46"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6"/>
    </w:p>
    <w:p w14:paraId="21161538" w14:textId="34CDFDA1" w:rsidR="00CD22EB" w:rsidRPr="008C6DE4" w:rsidRDefault="003A4F63" w:rsidP="003227B7">
      <w:pPr>
        <w:pStyle w:val="Heading3"/>
        <w:rPr>
          <w:lang w:eastAsia="ko-KR"/>
        </w:rPr>
      </w:pPr>
      <w:bookmarkStart w:id="147" w:name="_Toc5952665"/>
      <w:r w:rsidRPr="008C6DE4">
        <w:rPr>
          <w:lang w:eastAsia="ko-KR"/>
        </w:rPr>
        <w:t>8.8</w:t>
      </w:r>
      <w:r w:rsidR="00CD22EB" w:rsidRPr="008C6DE4">
        <w:rPr>
          <w:lang w:eastAsia="ko-KR"/>
        </w:rPr>
        <w:t>.1</w:t>
      </w:r>
      <w:r w:rsidR="00CD22EB" w:rsidRPr="008C6DE4">
        <w:rPr>
          <w:lang w:eastAsia="ko-KR"/>
        </w:rPr>
        <w:tab/>
        <w:t>Introduction</w:t>
      </w:r>
      <w:bookmarkEnd w:id="147"/>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8"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8"/>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49"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49"/>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0" w:name="_Toc535475995"/>
      <w:bookmarkStart w:id="151"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2" w:name="_Hlk18514597"/>
      <w:r w:rsidRPr="008C6DE4">
        <w:rPr>
          <w:lang w:eastAsia="ko-KR"/>
        </w:rPr>
        <w:t>PCell in FR1.</w:t>
      </w:r>
      <w:bookmarkEnd w:id="152"/>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0"/>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3" w:name="_Hlk18067072"/>
      <w:r w:rsidRPr="008C6DE4">
        <w:rPr>
          <w:lang w:eastAsia="zh-CN"/>
        </w:rPr>
        <w:t>The SSB associated with the TCI state remain detectable during the TCI switching period</w:t>
      </w:r>
      <w:bookmarkEnd w:id="153"/>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1"/>
    </w:p>
    <w:p w14:paraId="31BECACC" w14:textId="77777777" w:rsidR="00D4281A" w:rsidRPr="008C6DE4" w:rsidRDefault="00D4281A" w:rsidP="00D4281A">
      <w:pPr>
        <w:pStyle w:val="Heading2"/>
      </w:pPr>
      <w:bookmarkStart w:id="154" w:name="_Toc5952669"/>
      <w:bookmarkStart w:id="155" w:name="_Toc5952670"/>
      <w:bookmarkStart w:id="156" w:name="_Toc523909282"/>
      <w:bookmarkStart w:id="157" w:name="_Toc5952722"/>
      <w:r w:rsidRPr="008C6DE4">
        <w:t>9.1</w:t>
      </w:r>
      <w:r w:rsidRPr="008C6DE4">
        <w:tab/>
        <w:t>General measurement requirement</w:t>
      </w:r>
      <w:bookmarkEnd w:id="154"/>
    </w:p>
    <w:p w14:paraId="7F76BD9C" w14:textId="77777777" w:rsidR="00D4281A" w:rsidRPr="008C6DE4" w:rsidRDefault="00D4281A" w:rsidP="00D4281A">
      <w:pPr>
        <w:pStyle w:val="Heading3"/>
      </w:pPr>
      <w:r w:rsidRPr="008C6DE4">
        <w:t>9.1.1</w:t>
      </w:r>
      <w:r w:rsidRPr="008C6DE4">
        <w:tab/>
        <w:t>Introduction</w:t>
      </w:r>
      <w:bookmarkEnd w:id="155"/>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8"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5pt" o:ole="">
            <v:imagedata r:id="rId41" o:title=""/>
          </v:shape>
          <o:OLEObject Type="Embed" ProgID="Visio.Drawing.11" ShapeID="_x0000_i1043" DrawAspect="Content" ObjectID="_1742329549"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5pt" o:ole="">
            <v:imagedata r:id="rId43" o:title=""/>
          </v:shape>
          <o:OLEObject Type="Embed" ProgID="Visio.Drawing.11" ShapeID="_x0000_i1044" DrawAspect="Content" ObjectID="_1742329550"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3.5pt" o:ole="">
            <v:imagedata r:id="rId45" o:title=""/>
          </v:shape>
          <o:OLEObject Type="Embed" ProgID="Visio.Drawing.11" ShapeID="_x0000_i1045" DrawAspect="Content" ObjectID="_1742329551"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3.5pt" o:ole="">
            <v:imagedata r:id="rId47" o:title=""/>
          </v:shape>
          <o:OLEObject Type="Embed" ProgID="Visio.Drawing.11" ShapeID="_x0000_i1046" DrawAspect="Content" ObjectID="_1742329552"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3pt;height:16pt" o:ole="">
            <v:imagedata r:id="rId13" o:title=""/>
          </v:shape>
          <o:OLEObject Type="Embed" ProgID="Equation.3" ShapeID="_x0000_i1047" DrawAspect="Content" ObjectID="_1742329553"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59" w:name="_Toc535476000"/>
      <w:r w:rsidRPr="008C6DE4">
        <w:rPr>
          <w:lang w:eastAsia="zh-CN"/>
        </w:rPr>
        <w:t>9.1.2.1</w:t>
      </w:r>
      <w:r w:rsidRPr="008C6DE4">
        <w:rPr>
          <w:lang w:eastAsia="zh-CN"/>
        </w:rPr>
        <w:tab/>
        <w:t>EN-DC: Measurement Gap Sharing</w:t>
      </w:r>
      <w:bookmarkEnd w:id="159"/>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0" w:name="_Toc5952673"/>
      <w:r w:rsidRPr="008C6DE4">
        <w:rPr>
          <w:lang w:eastAsia="zh-CN"/>
        </w:rPr>
        <w:t>9.1.2.1a</w:t>
      </w:r>
      <w:r w:rsidRPr="008C6DE4">
        <w:rPr>
          <w:lang w:eastAsia="zh-CN"/>
        </w:rPr>
        <w:tab/>
        <w:t>SA: Measurement Gap Sharing</w:t>
      </w:r>
      <w:bookmarkEnd w:id="160"/>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1" w:name="_Toc5952676"/>
      <w:r w:rsidRPr="008C6DE4">
        <w:t>9.1.3</w:t>
      </w:r>
      <w:r w:rsidRPr="008C6DE4">
        <w:tab/>
        <w:t>UE Measurement capability</w:t>
      </w:r>
      <w:bookmarkEnd w:id="161"/>
    </w:p>
    <w:p w14:paraId="38555EA9" w14:textId="77777777" w:rsidR="00D4281A" w:rsidRPr="008C6DE4" w:rsidRDefault="00D4281A" w:rsidP="00D4281A">
      <w:pPr>
        <w:pStyle w:val="Heading4"/>
      </w:pPr>
      <w:bookmarkStart w:id="162" w:name="_Toc535476003"/>
      <w:r w:rsidRPr="008C6DE4">
        <w:t>9.1.3.1</w:t>
      </w:r>
      <w:r w:rsidRPr="008C6DE4">
        <w:tab/>
      </w:r>
      <w:bookmarkStart w:id="163" w:name="_Hlk5018844"/>
      <w:r w:rsidRPr="008C6DE4">
        <w:t>EN-DC: Monitoring of multiple layers using gaps</w:t>
      </w:r>
      <w:bookmarkEnd w:id="162"/>
    </w:p>
    <w:bookmarkEnd w:id="163"/>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4" w:name="_Toc535476004"/>
      <w:r w:rsidRPr="008C6DE4">
        <w:t>9.1.3.2</w:t>
      </w:r>
      <w:r w:rsidRPr="008C6DE4">
        <w:tab/>
        <w:t>EN-DC: Maximum allowed layers for multiple monitoring</w:t>
      </w:r>
      <w:bookmarkEnd w:id="164"/>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5" w:name="_Toc5952685"/>
      <w:bookmarkEnd w:id="158"/>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6" w:name="_Toc5952683"/>
      <w:r w:rsidRPr="008C6DE4">
        <w:t>9.1.4.1</w:t>
      </w:r>
      <w:r w:rsidRPr="008C6DE4">
        <w:tab/>
        <w:t>Introduction</w:t>
      </w:r>
      <w:bookmarkEnd w:id="16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7" w:name="_Toc535476008"/>
      <w:r w:rsidRPr="008C6DE4">
        <w:t>9.1.4.2</w:t>
      </w:r>
      <w:r w:rsidRPr="008C6DE4">
        <w:tab/>
        <w:t>Requirements</w:t>
      </w:r>
      <w:bookmarkEnd w:id="167"/>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8"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8"/>
    <w:p w14:paraId="2EC01CF6" w14:textId="77777777" w:rsidR="00D4281A" w:rsidRPr="008C6DE4" w:rsidRDefault="00D4281A" w:rsidP="002B5A7D">
      <w:pPr>
        <w:pStyle w:val="B10"/>
      </w:pPr>
      <w:r w:rsidRPr="008C6DE4">
        <w:t>-</w:t>
      </w:r>
      <w:r w:rsidRPr="008C6DE4">
        <w:tab/>
        <w:t xml:space="preserve">For UE configured with SA operation mode: </w:t>
      </w:r>
      <w:bookmarkStart w:id="169" w:name="_Hlk4600354"/>
      <w:r w:rsidRPr="008C6DE4">
        <w:rPr>
          <w:position w:val="-14"/>
        </w:rPr>
        <w:object w:dxaOrig="2220" w:dyaOrig="380" w14:anchorId="53E2478B">
          <v:shape id="_x0000_i1048" type="#_x0000_t75" style="width:114pt;height:16pt" o:ole="">
            <v:imagedata r:id="rId50" o:title=""/>
          </v:shape>
          <o:OLEObject Type="Embed" ProgID="Equation.3" ShapeID="_x0000_i1048" DrawAspect="Content" ObjectID="_1742329554"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pt;height:16pt" o:ole="">
            <v:imagedata r:id="rId52" o:title=""/>
          </v:shape>
          <o:OLEObject Type="Embed" ProgID="Equation.3" ShapeID="_x0000_i1049" DrawAspect="Content" ObjectID="_1742329555"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pt;height:16pt" o:ole="">
            <v:imagedata r:id="rId54" o:title=""/>
          </v:shape>
          <o:OLEObject Type="Embed" ProgID="Equation.3" ShapeID="_x0000_i1050" DrawAspect="Content" ObjectID="_1742329556"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69"/>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0" w:name="_Toc5952693"/>
      <w:bookmarkEnd w:id="16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1" w:name="_Toc5952686"/>
      <w:r w:rsidRPr="008C6DE4">
        <w:t>9.1.5.1</w:t>
      </w:r>
      <w:r w:rsidRPr="008C6DE4">
        <w:tab/>
        <w:t>Monitoring of multiple layers outside gaps</w:t>
      </w:r>
      <w:bookmarkEnd w:id="171"/>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2" w:name="_Toc5952688"/>
      <w:r w:rsidRPr="008C6DE4">
        <w:t>9.1.5.1.2</w:t>
      </w:r>
      <w:r w:rsidRPr="008C6DE4">
        <w:tab/>
        <w:t>SA mode: carrier-specific scaling factor for SSB-based measurements performed outside gaps</w:t>
      </w:r>
      <w:bookmarkEnd w:id="172"/>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3" w:name="_Toc5952689"/>
      <w:r w:rsidRPr="008C6DE4">
        <w:t>9.1.5.1.3</w:t>
      </w:r>
      <w:r w:rsidRPr="008C6DE4">
        <w:tab/>
        <w:t>NR-DC mode: carrier-specific scaling factor for SSB-based measurements performed outside gaps</w:t>
      </w:r>
      <w:bookmarkEnd w:id="173"/>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4" w:name="_Toc5952690"/>
      <w:r w:rsidRPr="008C6DE4">
        <w:t>9.1.5.2</w:t>
      </w:r>
      <w:r w:rsidRPr="008C6DE4">
        <w:tab/>
        <w:t>Monitoring of multiple layers within gaps</w:t>
      </w:r>
      <w:bookmarkEnd w:id="174"/>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5BE104E5" w14:textId="6285B715" w:rsidR="006D3CAC" w:rsidRPr="00CC6EC5" w:rsidRDefault="006D3CAC" w:rsidP="00F94E6F">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5" w:name="_Hlk63274181"/>
      <w:r w:rsidRPr="00F94E6F">
        <w:rPr>
          <w:lang w:val="en-US" w:eastAsia="zh-CN"/>
        </w:rPr>
        <w:t>the measurement object merging conditions [in clause 9.1.3.2</w:t>
      </w:r>
      <w:bookmarkEnd w:id="175"/>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6" w:name="_Toc5952692"/>
      <w:r w:rsidRPr="008C6DE4">
        <w:t>9.1.5.2.2</w:t>
      </w:r>
      <w:r w:rsidRPr="008C6DE4">
        <w:tab/>
        <w:t>SA mode: carrier-specific scaling factor for SSB-based measurements performed within gaps</w:t>
      </w:r>
      <w:bookmarkEnd w:id="176"/>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18EC36C6" w14:textId="38FDFA1C"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7"/>
    </w:p>
    <w:p w14:paraId="29337E9F" w14:textId="7D0B1123" w:rsidR="00D4281A" w:rsidRDefault="00D4281A" w:rsidP="00D4281A">
      <w:pPr>
        <w:rPr>
          <w:lang w:val="en-US"/>
        </w:rPr>
      </w:pPr>
      <w:bookmarkStart w:id="17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2C9D713D" w14:textId="2F0DFF03"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8"/>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0733FAFC" w14:textId="70303AEF" w:rsidR="006D3CAC" w:rsidRPr="008C6DE4" w:rsidRDefault="006D3CAC" w:rsidP="00D4281A">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0"/>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79"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79"/>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0" w:name="_Toc5952703"/>
      <w:r w:rsidRPr="008C6DE4">
        <w:t>9.3.2</w:t>
      </w:r>
      <w:r w:rsidR="00565C8A" w:rsidRPr="008C6DE4">
        <w:tab/>
        <w:t>Requirements applicability</w:t>
      </w:r>
      <w:bookmarkEnd w:id="180"/>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1" w:name="_Toc5952704"/>
      <w:r w:rsidRPr="008C6DE4">
        <w:t>9.3.2.1</w:t>
      </w:r>
      <w:r w:rsidR="00565C8A" w:rsidRPr="008C6DE4">
        <w:tab/>
        <w:t>Void</w:t>
      </w:r>
      <w:bookmarkEnd w:id="181"/>
    </w:p>
    <w:p w14:paraId="3A8E1AE1" w14:textId="0E8F9BB5" w:rsidR="00565C8A" w:rsidRPr="008C6DE4" w:rsidRDefault="0048284E" w:rsidP="0048284E">
      <w:pPr>
        <w:pStyle w:val="Heading4"/>
      </w:pPr>
      <w:bookmarkStart w:id="182" w:name="_Toc5952705"/>
      <w:r w:rsidRPr="008C6DE4">
        <w:t>9.3.2.2</w:t>
      </w:r>
      <w:r w:rsidR="00565C8A" w:rsidRPr="008C6DE4">
        <w:tab/>
        <w:t>Void</w:t>
      </w:r>
      <w:bookmarkEnd w:id="182"/>
    </w:p>
    <w:p w14:paraId="78AA0B5E" w14:textId="6536DB24" w:rsidR="00565C8A" w:rsidRPr="008C6DE4" w:rsidRDefault="0048284E" w:rsidP="0048284E">
      <w:pPr>
        <w:pStyle w:val="Heading3"/>
      </w:pPr>
      <w:bookmarkStart w:id="183" w:name="_Toc5952706"/>
      <w:r w:rsidRPr="008C6DE4">
        <w:t>9.3.3</w:t>
      </w:r>
      <w:r w:rsidR="00565C8A" w:rsidRPr="008C6DE4">
        <w:tab/>
        <w:t>Number of cells and number of SSB</w:t>
      </w:r>
      <w:bookmarkEnd w:id="183"/>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4" w:name="_Toc5952707"/>
      <w:bookmarkStart w:id="185" w:name="_Hlk2700093"/>
      <w:bookmarkStart w:id="186" w:name="_Toc5952714"/>
      <w:r w:rsidRPr="008C6DE4">
        <w:t>9.3.4</w:t>
      </w:r>
      <w:r w:rsidR="00565C8A" w:rsidRPr="008C6DE4">
        <w:tab/>
      </w:r>
      <w:bookmarkEnd w:id="184"/>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5"/>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7" w:name="_Toc5952708"/>
      <w:r w:rsidRPr="008C6DE4">
        <w:t>9.3.4.1</w:t>
      </w:r>
      <w:r w:rsidR="00565C8A" w:rsidRPr="008C6DE4">
        <w:tab/>
        <w:t>Void</w:t>
      </w:r>
      <w:bookmarkEnd w:id="187"/>
    </w:p>
    <w:p w14:paraId="297F029C" w14:textId="79864326" w:rsidR="00565C8A" w:rsidRPr="008C6DE4" w:rsidRDefault="0048284E" w:rsidP="0048284E">
      <w:pPr>
        <w:pStyle w:val="Heading4"/>
      </w:pPr>
      <w:bookmarkStart w:id="188" w:name="_Toc5952709"/>
      <w:r w:rsidRPr="008C6DE4">
        <w:t>9.3.4.2</w:t>
      </w:r>
      <w:r w:rsidR="00565C8A" w:rsidRPr="008C6DE4">
        <w:tab/>
        <w:t>Void</w:t>
      </w:r>
      <w:bookmarkEnd w:id="188"/>
    </w:p>
    <w:p w14:paraId="7A567DBE" w14:textId="70F60C8E" w:rsidR="00C62EFA" w:rsidRPr="008C6DE4" w:rsidRDefault="00C62EFA" w:rsidP="00C62EFA">
      <w:pPr>
        <w:pStyle w:val="Heading3"/>
      </w:pPr>
      <w:bookmarkStart w:id="189" w:name="_Toc5952710"/>
      <w:r w:rsidRPr="008C6DE4">
        <w:t>9.3.5</w:t>
      </w:r>
      <w:r w:rsidRPr="008C6DE4">
        <w:tab/>
        <w:t>Inter</w:t>
      </w:r>
      <w:r>
        <w:t>-</w:t>
      </w:r>
      <w:r w:rsidRPr="008C6DE4">
        <w:t>frequency measurements</w:t>
      </w:r>
      <w:bookmarkEnd w:id="189"/>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0" w:name="_Toc5952711"/>
      <w:r w:rsidRPr="008C6DE4">
        <w:t>9.3.5.1</w:t>
      </w:r>
      <w:r w:rsidR="00565C8A" w:rsidRPr="008C6DE4">
        <w:tab/>
        <w:t>Void</w:t>
      </w:r>
      <w:bookmarkEnd w:id="190"/>
    </w:p>
    <w:p w14:paraId="4D13BC3E" w14:textId="09CCB328" w:rsidR="00565C8A" w:rsidRPr="008C6DE4" w:rsidRDefault="0048284E" w:rsidP="0048284E">
      <w:pPr>
        <w:pStyle w:val="Heading4"/>
      </w:pPr>
      <w:bookmarkStart w:id="191" w:name="_Toc5952712"/>
      <w:r w:rsidRPr="008C6DE4">
        <w:t>9.3.5.2</w:t>
      </w:r>
      <w:r w:rsidR="00565C8A" w:rsidRPr="008C6DE4">
        <w:tab/>
        <w:t>Void</w:t>
      </w:r>
      <w:bookmarkEnd w:id="191"/>
    </w:p>
    <w:p w14:paraId="09296799" w14:textId="4617661D" w:rsidR="00565C8A" w:rsidRPr="008C6DE4" w:rsidRDefault="0048284E" w:rsidP="0048284E">
      <w:pPr>
        <w:pStyle w:val="Heading4"/>
      </w:pPr>
      <w:bookmarkStart w:id="192" w:name="_Toc5952713"/>
      <w:r w:rsidRPr="008C6DE4">
        <w:t>9.3.5.3</w:t>
      </w:r>
      <w:r w:rsidR="00565C8A" w:rsidRPr="008C6DE4">
        <w:tab/>
        <w:t>Void</w:t>
      </w:r>
      <w:bookmarkEnd w:id="192"/>
    </w:p>
    <w:bookmarkEnd w:id="186"/>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3"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3"/>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4" w:name="_Toc520237532"/>
      <w:bookmarkEnd w:id="156"/>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5" w:name="_Hlk4417687"/>
      <w:r w:rsidRPr="008C6DE4">
        <w:t>9.4.2.2</w:t>
      </w:r>
      <w:r w:rsidR="00352573" w:rsidRPr="008C6DE4">
        <w:tab/>
        <w:t>Requirements when no DRX is used</w:t>
      </w:r>
    </w:p>
    <w:bookmarkEnd w:id="195"/>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6" w:name="_Hlk4972111"/>
      <w:r w:rsidRPr="008C6DE4">
        <w:t>9.4.4.1.2.2-1</w:t>
      </w:r>
      <w:bookmarkEnd w:id="196"/>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7" w:name="_Hlk4972077"/>
            <w:bookmarkStart w:id="198" w:name="_Hlk2326838"/>
            <w:r w:rsidRPr="008C6DE4">
              <w:rPr>
                <w:lang w:val="sv-SE"/>
              </w:rPr>
              <w:t>N</w:t>
            </w:r>
            <w:r w:rsidRPr="008C6DE4">
              <w:rPr>
                <w:vertAlign w:val="subscript"/>
                <w:lang w:val="sv-SE"/>
              </w:rPr>
              <w:t>ACK/NACK, MIB, FDD</w:t>
            </w:r>
            <w:bookmarkEnd w:id="197"/>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8"/>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99" w:name="_Hlk4972055"/>
            <w:r w:rsidRPr="008C6DE4">
              <w:rPr>
                <w:lang w:val="sv-SE"/>
              </w:rPr>
              <w:t>N</w:t>
            </w:r>
            <w:r w:rsidRPr="008C6DE4">
              <w:rPr>
                <w:vertAlign w:val="subscript"/>
                <w:lang w:val="sv-SE"/>
              </w:rPr>
              <w:t>ACK/NACK, MIB+ECGI, FDD</w:t>
            </w:r>
            <w:bookmarkEnd w:id="199"/>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0"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0"/>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1"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1"/>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4"/>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2" w:name="_Toc520237533"/>
      <w:r w:rsidRPr="008C6DE4">
        <w:rPr>
          <w:lang w:val="en-US"/>
        </w:rPr>
        <w:t>9.6.2</w:t>
      </w:r>
      <w:r w:rsidR="00D4281A" w:rsidRPr="008C6DE4">
        <w:rPr>
          <w:lang w:val="en-US"/>
        </w:rPr>
        <w:tab/>
        <w:t>SFTD Measurements</w:t>
      </w:r>
      <w:bookmarkEnd w:id="202"/>
    </w:p>
    <w:p w14:paraId="0015A1D8" w14:textId="1BAB6187" w:rsidR="00D4281A" w:rsidRPr="008C6DE4" w:rsidRDefault="0048284E" w:rsidP="0048284E">
      <w:pPr>
        <w:pStyle w:val="Heading4"/>
      </w:pPr>
      <w:bookmarkStart w:id="203" w:name="_Toc520237534"/>
      <w:r w:rsidRPr="008C6DE4">
        <w:t>9.6.2.1</w:t>
      </w:r>
      <w:r w:rsidR="00D4281A" w:rsidRPr="008C6DE4">
        <w:tab/>
        <w:t>Introduction</w:t>
      </w:r>
      <w:bookmarkEnd w:id="203"/>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4" w:name="_Toc5952726"/>
      <w:bookmarkEnd w:id="157"/>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5" w:name="_Toc5952723"/>
      <w:r w:rsidRPr="008C6DE4">
        <w:rPr>
          <w:lang w:val="en-US"/>
        </w:rPr>
        <w:t>1</w:t>
      </w:r>
      <w:r w:rsidR="0048284E" w:rsidRPr="008C6DE4">
        <w:rPr>
          <w:lang w:val="en-US"/>
        </w:rPr>
        <w:t>0.1.1</w:t>
      </w:r>
      <w:r w:rsidRPr="008C6DE4">
        <w:rPr>
          <w:lang w:val="en-US"/>
        </w:rPr>
        <w:tab/>
        <w:t>Introduction</w:t>
      </w:r>
      <w:bookmarkEnd w:id="205"/>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6"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6"/>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7"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7"/>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8"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8"/>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9" w:name="_Toc5952725"/>
      <w:r w:rsidRPr="008C6DE4">
        <w:rPr>
          <w:rFonts w:ascii="Arial" w:hAnsi="Arial"/>
          <w:sz w:val="24"/>
          <w:lang w:val="en-US"/>
        </w:rPr>
        <w:t>10.1.21.1</w:t>
      </w:r>
      <w:r w:rsidRPr="008C6DE4">
        <w:rPr>
          <w:rFonts w:ascii="Arial" w:hAnsi="Arial"/>
          <w:sz w:val="24"/>
          <w:lang w:val="en-US"/>
        </w:rPr>
        <w:tab/>
        <w:t>SFTD acuracy requirements for NE-DC</w:t>
      </w:r>
      <w:bookmarkEnd w:id="209"/>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4"/>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0" w:name="_Toc5952727"/>
      <w:r w:rsidRPr="008C6DE4">
        <w:rPr>
          <w:lang w:val="en-US" w:eastAsia="ko-KR"/>
        </w:rPr>
        <w:t>10.2.1</w:t>
      </w:r>
      <w:r w:rsidRPr="008C6DE4">
        <w:rPr>
          <w:lang w:val="en-US" w:eastAsia="ko-KR"/>
        </w:rPr>
        <w:tab/>
        <w:t>Introduction</w:t>
      </w:r>
      <w:bookmarkEnd w:id="210"/>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1"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1"/>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29"/>
      <w:r w:rsidRPr="008C6DE4">
        <w:rPr>
          <w:lang w:val="en-US" w:eastAsia="ko-KR"/>
        </w:rPr>
        <w:t>10.2.3</w:t>
      </w:r>
      <w:r w:rsidRPr="008C6DE4">
        <w:rPr>
          <w:lang w:val="en-US" w:eastAsia="ko-KR"/>
        </w:rPr>
        <w:tab/>
        <w:t>E-UTRAN RSRQ measurements</w:t>
      </w:r>
      <w:bookmarkEnd w:id="212"/>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0"/>
      <w:r w:rsidRPr="008C6DE4">
        <w:rPr>
          <w:lang w:val="en-US" w:eastAsia="ko-KR"/>
        </w:rPr>
        <w:t>10.2.4</w:t>
      </w:r>
      <w:r w:rsidRPr="008C6DE4">
        <w:rPr>
          <w:lang w:val="en-US" w:eastAsia="ko-KR"/>
        </w:rPr>
        <w:tab/>
        <w:t>E-UTRAN RSTD measurements</w:t>
      </w:r>
      <w:bookmarkEnd w:id="213"/>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1"/>
      <w:r w:rsidRPr="008C6DE4">
        <w:rPr>
          <w:lang w:val="en-US" w:eastAsia="ko-KR"/>
        </w:rPr>
        <w:t>10.2.5</w:t>
      </w:r>
      <w:r w:rsidRPr="008C6DE4">
        <w:rPr>
          <w:lang w:val="en-US" w:eastAsia="ko-KR"/>
        </w:rPr>
        <w:tab/>
        <w:t>E-UTRAN RS-SINR measurements</w:t>
      </w:r>
      <w:bookmarkEnd w:id="214"/>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5" w:name="_Toc5952732"/>
      <w:r w:rsidRPr="008C6DE4">
        <w:t>11</w:t>
      </w:r>
      <w:r w:rsidRPr="008C6DE4">
        <w:tab/>
      </w:r>
      <w:bookmarkEnd w:id="215"/>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BF179" w14:textId="77777777" w:rsidR="009E40CE" w:rsidRDefault="009E40CE">
      <w:r>
        <w:separator/>
      </w:r>
    </w:p>
  </w:endnote>
  <w:endnote w:type="continuationSeparator" w:id="0">
    <w:p w14:paraId="507FE079" w14:textId="77777777" w:rsidR="009E40CE" w:rsidRDefault="009E40CE">
      <w:r>
        <w:continuationSeparator/>
      </w:r>
    </w:p>
  </w:endnote>
  <w:endnote w:type="continuationNotice" w:id="1">
    <w:p w14:paraId="4C782724" w14:textId="77777777" w:rsidR="009E40CE" w:rsidRDefault="009E4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C17EC" w14:textId="77777777" w:rsidR="009E40CE" w:rsidRDefault="009E40CE">
      <w:r>
        <w:separator/>
      </w:r>
    </w:p>
  </w:footnote>
  <w:footnote w:type="continuationSeparator" w:id="0">
    <w:p w14:paraId="2A55775D" w14:textId="77777777" w:rsidR="009E40CE" w:rsidRDefault="009E40CE">
      <w:r>
        <w:continuationSeparator/>
      </w:r>
    </w:p>
  </w:footnote>
  <w:footnote w:type="continuationNotice" w:id="1">
    <w:p w14:paraId="0AD3D503" w14:textId="77777777" w:rsidR="009E40CE" w:rsidRDefault="009E40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797F0060"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324247">
      <w:rPr>
        <w:rFonts w:ascii="Arial" w:hAnsi="Arial" w:cs="Arial"/>
        <w:b/>
        <w:sz w:val="18"/>
        <w:szCs w:val="18"/>
        <w:lang w:val="sv-FI"/>
      </w:rPr>
      <w:t>2</w:t>
    </w:r>
    <w:r w:rsidR="00756FA3">
      <w:rPr>
        <w:rFonts w:ascii="Arial" w:hAnsi="Arial" w:cs="Arial"/>
        <w:b/>
        <w:sz w:val="18"/>
        <w:szCs w:val="18"/>
        <w:lang w:val="sv-FI"/>
      </w:rPr>
      <w:t>1</w:t>
    </w:r>
    <w:r w:rsidRPr="00E36567">
      <w:rPr>
        <w:rFonts w:ascii="Arial" w:hAnsi="Arial" w:cs="Arial"/>
        <w:b/>
        <w:sz w:val="18"/>
        <w:szCs w:val="18"/>
        <w:lang w:val="sv-FI"/>
      </w:rPr>
      <w:t>.0 (202</w:t>
    </w:r>
    <w:r w:rsidR="00756FA3">
      <w:rPr>
        <w:rFonts w:ascii="Arial" w:hAnsi="Arial" w:cs="Arial"/>
        <w:b/>
        <w:sz w:val="18"/>
        <w:szCs w:val="18"/>
        <w:lang w:val="sv-FI"/>
      </w:rPr>
      <w:t>3</w:t>
    </w:r>
    <w:r w:rsidRPr="00E36567">
      <w:rPr>
        <w:rFonts w:ascii="Arial" w:hAnsi="Arial" w:cs="Arial"/>
        <w:b/>
        <w:sz w:val="18"/>
        <w:szCs w:val="18"/>
        <w:lang w:val="sv-FI"/>
      </w:rPr>
      <w:t>-</w:t>
    </w:r>
    <w:r w:rsidR="00756FA3">
      <w:rPr>
        <w:rFonts w:ascii="Arial" w:hAnsi="Arial" w:cs="Arial"/>
        <w:b/>
        <w:sz w:val="18"/>
        <w:szCs w:val="18"/>
        <w:lang w:val="sv-FI"/>
      </w:rPr>
      <w:t>03</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087"/>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0426"/>
    <w:rsid w:val="005C11F4"/>
    <w:rsid w:val="005C2DD7"/>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4251"/>
    <w:rsid w:val="006E57FE"/>
    <w:rsid w:val="006E5C86"/>
    <w:rsid w:val="006E5EED"/>
    <w:rsid w:val="006F04D7"/>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60715"/>
    <w:rsid w:val="00860BD4"/>
    <w:rsid w:val="00862D22"/>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5006"/>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1435"/>
    <w:rsid w:val="00BD2B80"/>
    <w:rsid w:val="00BD2D8B"/>
    <w:rsid w:val="00BD3223"/>
    <w:rsid w:val="00BD4100"/>
    <w:rsid w:val="00BD4E16"/>
    <w:rsid w:val="00BD519E"/>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34E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070"/>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79094</Words>
  <Characters>450838</Characters>
  <Application>Microsoft Office Word</Application>
  <DocSecurity>0</DocSecurity>
  <Lines>3756</Lines>
  <Paragraphs>1057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528875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67</cp:revision>
  <dcterms:created xsi:type="dcterms:W3CDTF">2021-03-22T10:04:00Z</dcterms:created>
  <dcterms:modified xsi:type="dcterms:W3CDTF">2023-04-06T21:39:00Z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