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1DF6ABD5" w:rsidR="004F0988" w:rsidRPr="00CE4A0C" w:rsidRDefault="004F0988" w:rsidP="00A84EF8">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9E275F">
              <w:rPr>
                <w:sz w:val="64"/>
              </w:rPr>
              <w:t>812</w:t>
            </w:r>
            <w:r w:rsidR="00C055D7" w:rsidRPr="00CE4A0C">
              <w:rPr>
                <w:sz w:val="64"/>
              </w:rPr>
              <w:t xml:space="preserve"> </w:t>
            </w:r>
            <w:r w:rsidRPr="00CE4A0C">
              <w:t>V</w:t>
            </w:r>
            <w:bookmarkStart w:id="3" w:name="specVersion"/>
            <w:r w:rsidR="00FE22FA" w:rsidRPr="00CE4A0C">
              <w:t>0</w:t>
            </w:r>
            <w:r w:rsidRPr="00CE4A0C">
              <w:t>.</w:t>
            </w:r>
            <w:r w:rsidR="00A84EF8">
              <w:t>2</w:t>
            </w:r>
            <w:r w:rsidRPr="00CE4A0C">
              <w:t>.</w:t>
            </w:r>
            <w:bookmarkEnd w:id="3"/>
            <w:r w:rsidR="00D11B70">
              <w:t>0</w:t>
            </w:r>
            <w:r w:rsidR="00FB742B" w:rsidRPr="00CE4A0C">
              <w:t xml:space="preserve"> </w:t>
            </w:r>
            <w:r w:rsidRPr="00CE4A0C">
              <w:rPr>
                <w:sz w:val="32"/>
              </w:rPr>
              <w:t>(</w:t>
            </w:r>
            <w:bookmarkStart w:id="4" w:name="issueDate"/>
            <w:r w:rsidR="00FE22FA" w:rsidRPr="00CE4A0C">
              <w:rPr>
                <w:sz w:val="32"/>
              </w:rPr>
              <w:t>2022</w:t>
            </w:r>
            <w:r w:rsidRPr="00CE4A0C">
              <w:rPr>
                <w:sz w:val="32"/>
              </w:rPr>
              <w:t>-</w:t>
            </w:r>
            <w:bookmarkEnd w:id="4"/>
            <w:r w:rsidR="00A84EF8">
              <w:rPr>
                <w:sz w:val="32"/>
              </w:rPr>
              <w:t>11</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00B5B2B3" w:rsidR="004F0988" w:rsidRPr="00CE4A0C" w:rsidRDefault="004F0988" w:rsidP="00133525">
            <w:pPr>
              <w:pStyle w:val="ZT"/>
              <w:framePr w:wrap="auto" w:hAnchor="text" w:yAlign="inline"/>
            </w:pPr>
            <w:r w:rsidRPr="00CE4A0C">
              <w:t xml:space="preserve">Technical Specification Group </w:t>
            </w:r>
            <w:bookmarkStart w:id="6" w:name="specTitle"/>
            <w:r w:rsidR="00047DD4" w:rsidRPr="00CE4A0C">
              <w:t>S</w:t>
            </w:r>
            <w:r w:rsidR="009B24F8">
              <w:t xml:space="preserve">ervices and System </w:t>
            </w:r>
            <w:r w:rsidR="00047DD4" w:rsidRPr="00CE4A0C">
              <w:t>A</w:t>
            </w:r>
            <w:r w:rsidR="009B24F8">
              <w:t>spects</w:t>
            </w:r>
            <w:r w:rsidRPr="00CE4A0C">
              <w:t>;</w:t>
            </w:r>
          </w:p>
          <w:bookmarkEnd w:id="6"/>
          <w:p w14:paraId="2142BE66" w14:textId="0A43C965" w:rsidR="009B24F8" w:rsidRDefault="007A768A" w:rsidP="00F47B99">
            <w:pPr>
              <w:pStyle w:val="ZT"/>
              <w:framePr w:wrap="auto" w:hAnchor="text" w:yAlign="inline"/>
            </w:pPr>
            <w:r w:rsidRPr="007A768A">
              <w:t xml:space="preserve">Study on </w:t>
            </w:r>
            <w:r w:rsidR="00F47B99" w:rsidRPr="00F47B99">
              <w:t xml:space="preserve">QoE </w:t>
            </w:r>
            <w:r w:rsidR="00F47B99">
              <w:rPr>
                <w:rFonts w:hint="eastAsia"/>
                <w:lang w:eastAsia="zh-CN"/>
              </w:rPr>
              <w:t>M</w:t>
            </w:r>
            <w:r w:rsidR="00F47B99" w:rsidRPr="00F47B99">
              <w:t xml:space="preserve">etrics for AR/MR </w:t>
            </w:r>
            <w:r w:rsidR="00F47B99">
              <w:t>S</w:t>
            </w:r>
            <w:r w:rsidR="00F47B99" w:rsidRPr="00F47B99">
              <w:t>ervices</w:t>
            </w:r>
            <w:r w:rsidR="009B24F8">
              <w:t>;</w:t>
            </w:r>
          </w:p>
          <w:p w14:paraId="04CAC1E0" w14:textId="323A069D" w:rsidR="004F0988" w:rsidRPr="00133525" w:rsidRDefault="004F0988" w:rsidP="00F47B99">
            <w:pPr>
              <w:pStyle w:val="ZT"/>
              <w:framePr w:wrap="auto" w:hAnchor="text" w:yAlign="inline"/>
              <w:rPr>
                <w:i/>
                <w:sz w:val="28"/>
              </w:rPr>
            </w:pPr>
            <w:r w:rsidRPr="00CE4A0C">
              <w:t>(</w:t>
            </w:r>
            <w:r w:rsidRPr="00CE4A0C">
              <w:rPr>
                <w:rStyle w:val="ZGSM"/>
              </w:rPr>
              <w:t xml:space="preserve">Release </w:t>
            </w:r>
            <w:bookmarkStart w:id="7" w:name="specRelease"/>
            <w:r w:rsidRPr="00CE4A0C">
              <w:rPr>
                <w:rStyle w:val="ZGSM"/>
              </w:rPr>
              <w:t>1</w:t>
            </w:r>
            <w:r w:rsidR="00D82E6F" w:rsidRPr="00CE4A0C">
              <w:rPr>
                <w:rStyle w:val="ZGSM"/>
              </w:rPr>
              <w:t>8</w:t>
            </w:r>
            <w:bookmarkEnd w:id="7"/>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lang w:val="en-US" w:eastAsia="zh-CN"/>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lang w:val="en-US" w:eastAsia="zh-CN"/>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FDAF32A" w:rsidR="00E16509" w:rsidRPr="00133525" w:rsidRDefault="00E16509" w:rsidP="00133525">
            <w:pPr>
              <w:pStyle w:val="FP"/>
              <w:jc w:val="center"/>
              <w:rPr>
                <w:noProof/>
                <w:sz w:val="18"/>
              </w:rPr>
            </w:pPr>
            <w:r w:rsidRPr="00A24CA8">
              <w:rPr>
                <w:noProof/>
                <w:sz w:val="18"/>
              </w:rPr>
              <w:t xml:space="preserve">© </w:t>
            </w:r>
            <w:r w:rsidR="00F47B99" w:rsidRPr="00A24CA8">
              <w:rPr>
                <w:noProof/>
                <w:sz w:val="18"/>
              </w:rPr>
              <w:t>2022</w:t>
            </w:r>
            <w:r w:rsidRPr="00A24CA8">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t>Contents</w:t>
      </w:r>
    </w:p>
    <w:p w14:paraId="6060EFD2" w14:textId="0933B5A4" w:rsidR="00030510" w:rsidRDefault="004D3578">
      <w:pPr>
        <w:pStyle w:val="TOC1"/>
        <w:rPr>
          <w:rFonts w:asciiTheme="minorHAnsi"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30510">
        <w:rPr>
          <w:noProof/>
        </w:rPr>
        <w:t>Foreword</w:t>
      </w:r>
      <w:r w:rsidR="00030510">
        <w:rPr>
          <w:noProof/>
        </w:rPr>
        <w:tab/>
      </w:r>
      <w:r w:rsidR="00030510">
        <w:rPr>
          <w:noProof/>
        </w:rPr>
        <w:fldChar w:fldCharType="begin" w:fldLock="1"/>
      </w:r>
      <w:r w:rsidR="00030510">
        <w:rPr>
          <w:noProof/>
        </w:rPr>
        <w:instrText xml:space="preserve"> PAGEREF _Toc123914814 \h </w:instrText>
      </w:r>
      <w:r w:rsidR="00030510">
        <w:rPr>
          <w:noProof/>
        </w:rPr>
      </w:r>
      <w:r w:rsidR="00030510">
        <w:rPr>
          <w:noProof/>
        </w:rPr>
        <w:fldChar w:fldCharType="separate"/>
      </w:r>
      <w:r w:rsidR="00030510">
        <w:rPr>
          <w:noProof/>
        </w:rPr>
        <w:t>4</w:t>
      </w:r>
      <w:r w:rsidR="00030510">
        <w:rPr>
          <w:noProof/>
        </w:rPr>
        <w:fldChar w:fldCharType="end"/>
      </w:r>
    </w:p>
    <w:p w14:paraId="01DD2A4D" w14:textId="4924CBFA" w:rsidR="00030510" w:rsidRDefault="00030510">
      <w:pPr>
        <w:pStyle w:val="TOC1"/>
        <w:rPr>
          <w:rFonts w:asciiTheme="minorHAnsi"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_Toc123914815 \h </w:instrText>
      </w:r>
      <w:r>
        <w:rPr>
          <w:noProof/>
        </w:rPr>
      </w:r>
      <w:r>
        <w:rPr>
          <w:noProof/>
        </w:rPr>
        <w:fldChar w:fldCharType="separate"/>
      </w:r>
      <w:r>
        <w:rPr>
          <w:noProof/>
        </w:rPr>
        <w:t>5</w:t>
      </w:r>
      <w:r>
        <w:rPr>
          <w:noProof/>
        </w:rPr>
        <w:fldChar w:fldCharType="end"/>
      </w:r>
    </w:p>
    <w:p w14:paraId="1CAC8BBD" w14:textId="62476F0F" w:rsidR="00030510" w:rsidRDefault="00030510">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_Toc123914816 \h </w:instrText>
      </w:r>
      <w:r>
        <w:rPr>
          <w:noProof/>
        </w:rPr>
      </w:r>
      <w:r>
        <w:rPr>
          <w:noProof/>
        </w:rPr>
        <w:fldChar w:fldCharType="separate"/>
      </w:r>
      <w:r>
        <w:rPr>
          <w:noProof/>
        </w:rPr>
        <w:t>6</w:t>
      </w:r>
      <w:r>
        <w:rPr>
          <w:noProof/>
        </w:rPr>
        <w:fldChar w:fldCharType="end"/>
      </w:r>
    </w:p>
    <w:p w14:paraId="22799B3F" w14:textId="68EF2952" w:rsidR="00030510" w:rsidRDefault="00030510">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_Toc123914817 \h </w:instrText>
      </w:r>
      <w:r>
        <w:rPr>
          <w:noProof/>
        </w:rPr>
      </w:r>
      <w:r>
        <w:rPr>
          <w:noProof/>
        </w:rPr>
        <w:fldChar w:fldCharType="separate"/>
      </w:r>
      <w:r>
        <w:rPr>
          <w:noProof/>
        </w:rPr>
        <w:t>6</w:t>
      </w:r>
      <w:r>
        <w:rPr>
          <w:noProof/>
        </w:rPr>
        <w:fldChar w:fldCharType="end"/>
      </w:r>
    </w:p>
    <w:p w14:paraId="2E45723D" w14:textId="1554D8F7" w:rsidR="00030510" w:rsidRDefault="00030510">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_Toc123914818 \h </w:instrText>
      </w:r>
      <w:r>
        <w:rPr>
          <w:noProof/>
        </w:rPr>
      </w:r>
      <w:r>
        <w:rPr>
          <w:noProof/>
        </w:rPr>
        <w:fldChar w:fldCharType="separate"/>
      </w:r>
      <w:r>
        <w:rPr>
          <w:noProof/>
        </w:rPr>
        <w:t>7</w:t>
      </w:r>
      <w:r>
        <w:rPr>
          <w:noProof/>
        </w:rPr>
        <w:fldChar w:fldCharType="end"/>
      </w:r>
    </w:p>
    <w:p w14:paraId="393C6A66" w14:textId="05CA24F7" w:rsidR="00030510" w:rsidRDefault="00030510">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_Toc123914819 \h </w:instrText>
      </w:r>
      <w:r>
        <w:rPr>
          <w:noProof/>
        </w:rPr>
      </w:r>
      <w:r>
        <w:rPr>
          <w:noProof/>
        </w:rPr>
        <w:fldChar w:fldCharType="separate"/>
      </w:r>
      <w:r>
        <w:rPr>
          <w:noProof/>
        </w:rPr>
        <w:t>7</w:t>
      </w:r>
      <w:r>
        <w:rPr>
          <w:noProof/>
        </w:rPr>
        <w:fldChar w:fldCharType="end"/>
      </w:r>
    </w:p>
    <w:p w14:paraId="5DCA9588" w14:textId="54A41E8D" w:rsidR="00030510" w:rsidRDefault="00030510">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_Toc123914820 \h </w:instrText>
      </w:r>
      <w:r>
        <w:rPr>
          <w:noProof/>
        </w:rPr>
      </w:r>
      <w:r>
        <w:rPr>
          <w:noProof/>
        </w:rPr>
        <w:fldChar w:fldCharType="separate"/>
      </w:r>
      <w:r>
        <w:rPr>
          <w:noProof/>
        </w:rPr>
        <w:t>7</w:t>
      </w:r>
      <w:r>
        <w:rPr>
          <w:noProof/>
        </w:rPr>
        <w:fldChar w:fldCharType="end"/>
      </w:r>
    </w:p>
    <w:p w14:paraId="3FD77160" w14:textId="3BC4E200" w:rsidR="00030510" w:rsidRDefault="00030510">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_Toc123914821 \h </w:instrText>
      </w:r>
      <w:r>
        <w:rPr>
          <w:noProof/>
        </w:rPr>
      </w:r>
      <w:r>
        <w:rPr>
          <w:noProof/>
        </w:rPr>
        <w:fldChar w:fldCharType="separate"/>
      </w:r>
      <w:r>
        <w:rPr>
          <w:noProof/>
        </w:rPr>
        <w:t>7</w:t>
      </w:r>
      <w:r>
        <w:rPr>
          <w:noProof/>
        </w:rPr>
        <w:fldChar w:fldCharType="end"/>
      </w:r>
    </w:p>
    <w:p w14:paraId="47254A17" w14:textId="5FC9580E" w:rsidR="00030510" w:rsidRDefault="00030510">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Current state of AR/MR QoE metrics outside 3GPP</w:t>
      </w:r>
      <w:r>
        <w:rPr>
          <w:noProof/>
        </w:rPr>
        <w:tab/>
      </w:r>
      <w:r>
        <w:rPr>
          <w:noProof/>
        </w:rPr>
        <w:fldChar w:fldCharType="begin" w:fldLock="1"/>
      </w:r>
      <w:r>
        <w:rPr>
          <w:noProof/>
        </w:rPr>
        <w:instrText xml:space="preserve"> PAGEREF _Toc123914822 \h </w:instrText>
      </w:r>
      <w:r>
        <w:rPr>
          <w:noProof/>
        </w:rPr>
      </w:r>
      <w:r>
        <w:rPr>
          <w:noProof/>
        </w:rPr>
        <w:fldChar w:fldCharType="separate"/>
      </w:r>
      <w:r>
        <w:rPr>
          <w:noProof/>
        </w:rPr>
        <w:t>7</w:t>
      </w:r>
      <w:r>
        <w:rPr>
          <w:noProof/>
        </w:rPr>
        <w:fldChar w:fldCharType="end"/>
      </w:r>
    </w:p>
    <w:p w14:paraId="7C982281" w14:textId="4A82E61B" w:rsidR="00030510" w:rsidRDefault="00030510">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AR/MR QoE related work in ITU-T</w:t>
      </w:r>
      <w:r>
        <w:rPr>
          <w:noProof/>
        </w:rPr>
        <w:tab/>
      </w:r>
      <w:r>
        <w:rPr>
          <w:noProof/>
        </w:rPr>
        <w:fldChar w:fldCharType="begin" w:fldLock="1"/>
      </w:r>
      <w:r>
        <w:rPr>
          <w:noProof/>
        </w:rPr>
        <w:instrText xml:space="preserve"> PAGEREF _Toc123914823 \h </w:instrText>
      </w:r>
      <w:r>
        <w:rPr>
          <w:noProof/>
        </w:rPr>
      </w:r>
      <w:r>
        <w:rPr>
          <w:noProof/>
        </w:rPr>
        <w:fldChar w:fldCharType="separate"/>
      </w:r>
      <w:r>
        <w:rPr>
          <w:noProof/>
        </w:rPr>
        <w:t>7</w:t>
      </w:r>
      <w:r>
        <w:rPr>
          <w:noProof/>
        </w:rPr>
        <w:fldChar w:fldCharType="end"/>
      </w:r>
    </w:p>
    <w:p w14:paraId="73709A02" w14:textId="0DE5D7E0" w:rsidR="00030510" w:rsidRDefault="00030510">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AR/MR QoE related work in IEEE</w:t>
      </w:r>
      <w:r>
        <w:rPr>
          <w:noProof/>
        </w:rPr>
        <w:tab/>
      </w:r>
      <w:r>
        <w:rPr>
          <w:noProof/>
        </w:rPr>
        <w:fldChar w:fldCharType="begin" w:fldLock="1"/>
      </w:r>
      <w:r>
        <w:rPr>
          <w:noProof/>
        </w:rPr>
        <w:instrText xml:space="preserve"> PAGEREF _Toc123914824 \h </w:instrText>
      </w:r>
      <w:r>
        <w:rPr>
          <w:noProof/>
        </w:rPr>
      </w:r>
      <w:r>
        <w:rPr>
          <w:noProof/>
        </w:rPr>
        <w:fldChar w:fldCharType="separate"/>
      </w:r>
      <w:r>
        <w:rPr>
          <w:noProof/>
        </w:rPr>
        <w:t>10</w:t>
      </w:r>
      <w:r>
        <w:rPr>
          <w:noProof/>
        </w:rPr>
        <w:fldChar w:fldCharType="end"/>
      </w:r>
    </w:p>
    <w:p w14:paraId="41D13557" w14:textId="4B6F8A48" w:rsidR="00030510" w:rsidRDefault="00030510">
      <w:pPr>
        <w:pStyle w:val="TOC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Pr>
          <w:noProof/>
        </w:rPr>
        <w:t>AR/MR QoE related work in MPEG</w:t>
      </w:r>
      <w:r>
        <w:rPr>
          <w:noProof/>
        </w:rPr>
        <w:tab/>
      </w:r>
      <w:r>
        <w:rPr>
          <w:noProof/>
        </w:rPr>
        <w:fldChar w:fldCharType="begin" w:fldLock="1"/>
      </w:r>
      <w:r>
        <w:rPr>
          <w:noProof/>
        </w:rPr>
        <w:instrText xml:space="preserve"> PAGEREF _Toc123914825 \h </w:instrText>
      </w:r>
      <w:r>
        <w:rPr>
          <w:noProof/>
        </w:rPr>
      </w:r>
      <w:r>
        <w:rPr>
          <w:noProof/>
        </w:rPr>
        <w:fldChar w:fldCharType="separate"/>
      </w:r>
      <w:r>
        <w:rPr>
          <w:noProof/>
        </w:rPr>
        <w:t>10</w:t>
      </w:r>
      <w:r>
        <w:rPr>
          <w:noProof/>
        </w:rPr>
        <w:fldChar w:fldCharType="end"/>
      </w:r>
    </w:p>
    <w:p w14:paraId="11F812C4" w14:textId="561E8638" w:rsidR="00030510" w:rsidRDefault="00030510">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Identification of AR/MR QoE Metrics for 3GPP</w:t>
      </w:r>
      <w:r>
        <w:rPr>
          <w:noProof/>
        </w:rPr>
        <w:tab/>
      </w:r>
      <w:r>
        <w:rPr>
          <w:noProof/>
        </w:rPr>
        <w:fldChar w:fldCharType="begin" w:fldLock="1"/>
      </w:r>
      <w:r>
        <w:rPr>
          <w:noProof/>
        </w:rPr>
        <w:instrText xml:space="preserve"> PAGEREF _Toc123914826 \h </w:instrText>
      </w:r>
      <w:r>
        <w:rPr>
          <w:noProof/>
        </w:rPr>
      </w:r>
      <w:r>
        <w:rPr>
          <w:noProof/>
        </w:rPr>
        <w:fldChar w:fldCharType="separate"/>
      </w:r>
      <w:r>
        <w:rPr>
          <w:noProof/>
        </w:rPr>
        <w:t>11</w:t>
      </w:r>
      <w:r>
        <w:rPr>
          <w:noProof/>
        </w:rPr>
        <w:fldChar w:fldCharType="end"/>
      </w:r>
    </w:p>
    <w:p w14:paraId="74F4999B" w14:textId="199E7B40" w:rsidR="00030510" w:rsidRDefault="00030510">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QoE Metrics Subjective Assessment</w:t>
      </w:r>
      <w:r>
        <w:rPr>
          <w:noProof/>
        </w:rPr>
        <w:tab/>
      </w:r>
      <w:r>
        <w:rPr>
          <w:noProof/>
        </w:rPr>
        <w:fldChar w:fldCharType="begin" w:fldLock="1"/>
      </w:r>
      <w:r>
        <w:rPr>
          <w:noProof/>
        </w:rPr>
        <w:instrText xml:space="preserve"> PAGEREF _Toc123914827 \h </w:instrText>
      </w:r>
      <w:r>
        <w:rPr>
          <w:noProof/>
        </w:rPr>
      </w:r>
      <w:r>
        <w:rPr>
          <w:noProof/>
        </w:rPr>
        <w:fldChar w:fldCharType="separate"/>
      </w:r>
      <w:r>
        <w:rPr>
          <w:noProof/>
        </w:rPr>
        <w:t>11</w:t>
      </w:r>
      <w:r>
        <w:rPr>
          <w:noProof/>
        </w:rPr>
        <w:fldChar w:fldCharType="end"/>
      </w:r>
    </w:p>
    <w:p w14:paraId="66B5B62F" w14:textId="0615C949" w:rsidR="00030510" w:rsidRDefault="00030510">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Other QoE metrics and collaborations with other 3GPP groups</w:t>
      </w:r>
      <w:r>
        <w:rPr>
          <w:noProof/>
        </w:rPr>
        <w:tab/>
      </w:r>
      <w:r>
        <w:rPr>
          <w:noProof/>
        </w:rPr>
        <w:fldChar w:fldCharType="begin" w:fldLock="1"/>
      </w:r>
      <w:r>
        <w:rPr>
          <w:noProof/>
        </w:rPr>
        <w:instrText xml:space="preserve"> PAGEREF _Toc123914828 \h </w:instrText>
      </w:r>
      <w:r>
        <w:rPr>
          <w:noProof/>
        </w:rPr>
      </w:r>
      <w:r>
        <w:rPr>
          <w:noProof/>
        </w:rPr>
        <w:fldChar w:fldCharType="separate"/>
      </w:r>
      <w:r>
        <w:rPr>
          <w:noProof/>
        </w:rPr>
        <w:t>11</w:t>
      </w:r>
      <w:r>
        <w:rPr>
          <w:noProof/>
        </w:rPr>
        <w:fldChar w:fldCharType="end"/>
      </w:r>
    </w:p>
    <w:p w14:paraId="641B120C" w14:textId="790DD75A" w:rsidR="00030510" w:rsidRDefault="00030510">
      <w:pPr>
        <w:pStyle w:val="TOC1"/>
        <w:rPr>
          <w:rFonts w:asciiTheme="minorHAnsi" w:hAnsiTheme="minorHAnsi" w:cstheme="minorBidi"/>
          <w:noProof/>
          <w:szCs w:val="22"/>
          <w:lang w:eastAsia="en-GB"/>
        </w:rPr>
      </w:pPr>
      <w:r>
        <w:rPr>
          <w:noProof/>
        </w:rPr>
        <w:t>8</w:t>
      </w:r>
      <w:r>
        <w:rPr>
          <w:rFonts w:asciiTheme="minorHAnsi" w:hAnsiTheme="minorHAnsi" w:cstheme="minorBidi"/>
          <w:noProof/>
          <w:szCs w:val="22"/>
          <w:lang w:eastAsia="en-GB"/>
        </w:rPr>
        <w:tab/>
      </w:r>
      <w:r>
        <w:rPr>
          <w:noProof/>
        </w:rPr>
        <w:t>Conclusions and Recommendations</w:t>
      </w:r>
      <w:r>
        <w:rPr>
          <w:noProof/>
        </w:rPr>
        <w:tab/>
      </w:r>
      <w:r>
        <w:rPr>
          <w:noProof/>
        </w:rPr>
        <w:fldChar w:fldCharType="begin" w:fldLock="1"/>
      </w:r>
      <w:r>
        <w:rPr>
          <w:noProof/>
        </w:rPr>
        <w:instrText xml:space="preserve"> PAGEREF _Toc123914829 \h </w:instrText>
      </w:r>
      <w:r>
        <w:rPr>
          <w:noProof/>
        </w:rPr>
      </w:r>
      <w:r>
        <w:rPr>
          <w:noProof/>
        </w:rPr>
        <w:fldChar w:fldCharType="separate"/>
      </w:r>
      <w:r>
        <w:rPr>
          <w:noProof/>
        </w:rPr>
        <w:t>11</w:t>
      </w:r>
      <w:r>
        <w:rPr>
          <w:noProof/>
        </w:rPr>
        <w:fldChar w:fldCharType="end"/>
      </w:r>
    </w:p>
    <w:p w14:paraId="7D90428D" w14:textId="4F70159C" w:rsidR="00030510" w:rsidRDefault="00030510" w:rsidP="00030510">
      <w:pPr>
        <w:pStyle w:val="TOC8"/>
        <w:rPr>
          <w:rFonts w:asciiTheme="minorHAnsi" w:hAnsiTheme="minorHAnsi" w:cstheme="minorBidi"/>
          <w:b w:val="0"/>
          <w:noProof/>
          <w:szCs w:val="22"/>
          <w:lang w:eastAsia="en-GB"/>
        </w:rPr>
      </w:pPr>
      <w:r>
        <w:rPr>
          <w:noProof/>
        </w:rPr>
        <w:t>Annex &lt;A&gt; (informative): &lt;Normative annex for a Technical Specification&gt;</w:t>
      </w:r>
      <w:r>
        <w:rPr>
          <w:noProof/>
        </w:rPr>
        <w:tab/>
      </w:r>
      <w:r>
        <w:rPr>
          <w:noProof/>
        </w:rPr>
        <w:fldChar w:fldCharType="begin" w:fldLock="1"/>
      </w:r>
      <w:r>
        <w:rPr>
          <w:noProof/>
        </w:rPr>
        <w:instrText xml:space="preserve"> PAGEREF _Toc123914830 \h </w:instrText>
      </w:r>
      <w:r>
        <w:rPr>
          <w:noProof/>
        </w:rPr>
      </w:r>
      <w:r>
        <w:rPr>
          <w:noProof/>
        </w:rPr>
        <w:fldChar w:fldCharType="separate"/>
      </w:r>
      <w:r>
        <w:rPr>
          <w:noProof/>
        </w:rPr>
        <w:t>12</w:t>
      </w:r>
      <w:r>
        <w:rPr>
          <w:noProof/>
        </w:rPr>
        <w:fldChar w:fldCharType="end"/>
      </w:r>
    </w:p>
    <w:p w14:paraId="22562684" w14:textId="019D7D1D" w:rsidR="00030510" w:rsidRDefault="00030510" w:rsidP="00030510">
      <w:pPr>
        <w:pStyle w:val="TOC8"/>
        <w:rPr>
          <w:rFonts w:asciiTheme="minorHAnsi"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_Toc123914831 \h </w:instrText>
      </w:r>
      <w:r>
        <w:rPr>
          <w:noProof/>
        </w:rPr>
      </w:r>
      <w:r>
        <w:rPr>
          <w:noProof/>
        </w:rPr>
        <w:fldChar w:fldCharType="separate"/>
      </w:r>
      <w:r>
        <w:rPr>
          <w:noProof/>
        </w:rPr>
        <w:t>13</w:t>
      </w:r>
      <w:r>
        <w:rPr>
          <w:noProof/>
        </w:rPr>
        <w:fldChar w:fldCharType="end"/>
      </w:r>
    </w:p>
    <w:p w14:paraId="0B9E3498" w14:textId="5E106334"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4" w:name="foreword"/>
      <w:bookmarkStart w:id="15" w:name="_Toc119408418"/>
      <w:bookmarkStart w:id="16" w:name="_Toc123914814"/>
      <w:bookmarkEnd w:id="14"/>
      <w:r w:rsidRPr="004D3578">
        <w:t>Foreword</w:t>
      </w:r>
      <w:bookmarkEnd w:id="15"/>
      <w:bookmarkEnd w:id="16"/>
    </w:p>
    <w:p w14:paraId="2511FBFA" w14:textId="4736DAD6" w:rsidR="00080512" w:rsidRPr="004D3578" w:rsidRDefault="00080512">
      <w:r w:rsidRPr="003D3DE1">
        <w:t xml:space="preserve">This Technical </w:t>
      </w:r>
      <w:bookmarkStart w:id="17" w:name="spectype3"/>
      <w:r w:rsidR="00602AEA" w:rsidRPr="003D3DE1">
        <w:t>Report</w:t>
      </w:r>
      <w:bookmarkEnd w:id="17"/>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19408419"/>
      <w:bookmarkStart w:id="20" w:name="_Toc123914815"/>
      <w:bookmarkEnd w:id="18"/>
      <w:r w:rsidRPr="004D3578">
        <w:t>Introduction</w:t>
      </w:r>
      <w:bookmarkEnd w:id="19"/>
      <w:bookmarkEnd w:id="20"/>
    </w:p>
    <w:p w14:paraId="67D5CE3D" w14:textId="4FFD58D7" w:rsidR="009A752C" w:rsidRDefault="009A752C" w:rsidP="00ED2B12">
      <w:r w:rsidRPr="009A752C">
        <w:t>In Rel-18, simple QoE Metrics for AR media will be specified in MeCar WI, which focus on which VR QoE metrics can be reused and enhanced for AR media. This study intends to complement MeCar WI by studying additional and new information related to QoE metrics which are different from VR QoE metrics.</w:t>
      </w:r>
      <w:r>
        <w:t xml:space="preserve"> </w:t>
      </w:r>
      <w:r w:rsidR="009A1F59" w:rsidRPr="009A1F59">
        <w:t xml:space="preserve">QoE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QoE factors, as well as in order to identify how QoE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QoE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r w:rsidR="00B10090">
        <w:rPr>
          <w:lang w:eastAsia="zh-CN"/>
        </w:rPr>
        <w:t>QoE metrics.</w:t>
      </w:r>
    </w:p>
    <w:p w14:paraId="548A512E" w14:textId="77777777" w:rsidR="00080512" w:rsidRPr="004D3578" w:rsidRDefault="00080512">
      <w:pPr>
        <w:pStyle w:val="Heading1"/>
      </w:pPr>
      <w:r w:rsidRPr="004D3578">
        <w:br w:type="page"/>
      </w:r>
      <w:bookmarkStart w:id="21" w:name="scope"/>
      <w:bookmarkStart w:id="22" w:name="_Toc119408420"/>
      <w:bookmarkStart w:id="23" w:name="_Toc123914816"/>
      <w:bookmarkEnd w:id="21"/>
      <w:r w:rsidRPr="004D3578">
        <w:t>1</w:t>
      </w:r>
      <w:r w:rsidRPr="004D3578">
        <w:tab/>
        <w:t>Scope</w:t>
      </w:r>
      <w:bookmarkEnd w:id="22"/>
      <w:bookmarkEnd w:id="23"/>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QoE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MeCAR</w:t>
      </w:r>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Collect relevant external information on QoE Metrics for AR and XR services, for example taking into account information in ITU-T, MPEG or other groups de</w:t>
      </w:r>
      <w:r w:rsidR="006F454E">
        <w:t>aling with quality measurements,</w:t>
      </w:r>
      <w:r w:rsidR="00D918B2">
        <w:t xml:space="preserve"> include device related QoE metrics, network transmission related QoE metrics, content handling related QoE metrics</w:t>
      </w:r>
      <w:r w:rsidR="00D918B2">
        <w:rPr>
          <w:rFonts w:hint="eastAsia"/>
          <w:lang w:eastAsia="zh-CN"/>
        </w:rPr>
        <w:t>,</w:t>
      </w:r>
      <w:r w:rsidR="00D918B2">
        <w:rPr>
          <w:lang w:eastAsia="zh-CN"/>
        </w:rPr>
        <w:t xml:space="preserve"> and other immersiveness</w:t>
      </w:r>
      <w:r w:rsidR="00D918B2">
        <w:rPr>
          <w:rFonts w:hint="eastAsia"/>
          <w:lang w:eastAsia="zh-CN"/>
        </w:rPr>
        <w:t>/</w:t>
      </w:r>
      <w:r w:rsidR="00D918B2" w:rsidRPr="00D918B2">
        <w:rPr>
          <w:lang w:eastAsia="zh-CN"/>
        </w:rPr>
        <w:t>presence</w:t>
      </w:r>
      <w:r w:rsidR="00D918B2">
        <w:rPr>
          <w:lang w:eastAsia="zh-CN"/>
        </w:rPr>
        <w:t xml:space="preserve"> related QoE</w:t>
      </w:r>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QoE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QoE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QoE metrics</w:t>
      </w:r>
      <w:r w:rsidR="00EC7781">
        <w:t xml:space="preserve"> in the </w:t>
      </w:r>
      <w:r w:rsidR="00EC7781" w:rsidRPr="00EC7781">
        <w:t>device architecture based on MeCAR</w:t>
      </w:r>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Provide recommendation on normative work for new XR QoE metrics based on the findings in this study.</w:t>
      </w:r>
    </w:p>
    <w:p w14:paraId="794720D9" w14:textId="77777777" w:rsidR="00080512" w:rsidRPr="004D3578" w:rsidRDefault="00080512">
      <w:pPr>
        <w:pStyle w:val="Heading1"/>
      </w:pPr>
      <w:bookmarkStart w:id="24" w:name="references"/>
      <w:bookmarkStart w:id="25" w:name="_Toc119408421"/>
      <w:bookmarkStart w:id="26" w:name="_Toc123914817"/>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Default="00A22783" w:rsidP="00A22783">
      <w:pPr>
        <w:pStyle w:val="EX"/>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003E9EDA" w14:textId="77777777" w:rsidR="00F070F5" w:rsidRDefault="00F070F5" w:rsidP="00F070F5">
      <w:pPr>
        <w:pStyle w:val="EX"/>
      </w:pPr>
      <w:r>
        <w:t>[6]</w:t>
      </w:r>
      <w:r>
        <w:tab/>
        <w:t>ITU-T G.1036, “Quality of experience (QoE) influencing factors for augmented reality (AR) services”.</w:t>
      </w:r>
    </w:p>
    <w:p w14:paraId="7D60D155" w14:textId="77777777" w:rsidR="00F070F5" w:rsidRDefault="00F070F5" w:rsidP="00F070F5">
      <w:pPr>
        <w:pStyle w:val="EX"/>
      </w:pPr>
      <w:r>
        <w:t>[7]</w:t>
      </w:r>
      <w:r>
        <w:tab/>
        <w:t>ITU-T P.1320, “QoE assessment of extended reality (XR) meetings”.</w:t>
      </w:r>
    </w:p>
    <w:p w14:paraId="5B9803B5" w14:textId="1CD1E9E8" w:rsidR="00F070F5" w:rsidRDefault="00F070F5" w:rsidP="00A22783">
      <w:pPr>
        <w:pStyle w:val="EX"/>
      </w:pPr>
      <w:r>
        <w:t>[8]</w:t>
      </w:r>
      <w:r>
        <w:tab/>
        <w:t>Technical Report ITU-T GSTR-5GQoE, QoE requirements for real-time multimedia services over 5G networks.</w:t>
      </w:r>
    </w:p>
    <w:p w14:paraId="0E200EFF" w14:textId="4AB3BA1D" w:rsidR="00B40E16" w:rsidRDefault="00B40E16" w:rsidP="00A22783">
      <w:pPr>
        <w:pStyle w:val="EX"/>
      </w:pPr>
      <w:r>
        <w:t>[9]</w:t>
      </w:r>
      <w:r>
        <w:tab/>
      </w:r>
      <w:r w:rsidRPr="00B40E16">
        <w:t>ITU-T H.430.1 Recommendation ITU-T H.430.3 (2018), Service scenario of immersive live experience (ILE).</w:t>
      </w:r>
    </w:p>
    <w:p w14:paraId="716F440A" w14:textId="2D48719C" w:rsidR="00B4131C" w:rsidRDefault="00B4131C" w:rsidP="00B4131C">
      <w:pPr>
        <w:pStyle w:val="EX"/>
      </w:pPr>
      <w:r>
        <w:t>[10]</w:t>
      </w:r>
      <w:r>
        <w:tab/>
        <w:t>ITU-T RGM-Q8-DOC10-R2 (2022-06)</w:t>
      </w:r>
      <w:r>
        <w:tab/>
        <w:t>H.IIS-reqts: “Requirements of Interactive Immersive Services”</w:t>
      </w:r>
      <w:r>
        <w:tab/>
      </w:r>
    </w:p>
    <w:p w14:paraId="5492308A" w14:textId="04381BD5" w:rsidR="00B4131C" w:rsidRDefault="00B4131C" w:rsidP="00B4131C">
      <w:pPr>
        <w:pStyle w:val="EX"/>
      </w:pPr>
      <w:r>
        <w:t>[11]</w:t>
      </w:r>
      <w:r>
        <w:tab/>
        <w:t>IEEE P3333.1.1/D2, May 2022 - IEEE Draft Standard for Quality of Experience (QoE) and Visual-Comfort Assessments of Three-Dimensional (3D) Contents Based on Psychophysical Studies</w:t>
      </w:r>
    </w:p>
    <w:p w14:paraId="075CF02F" w14:textId="6F223279" w:rsidR="00B4131C" w:rsidRDefault="00B4131C" w:rsidP="00B4131C">
      <w:pPr>
        <w:pStyle w:val="EX"/>
      </w:pPr>
      <w:r>
        <w:t>[12]</w:t>
      </w:r>
      <w:r>
        <w:tab/>
        <w:t>IEEE P3333.1.2/D3, Apr 2022 - IEEE Draft Standard for the Perceptual Quality Assessment of Three Dimensional (3D), Ultra High Definition (UHD) and High Dynamic Range (HDR) Contents</w:t>
      </w:r>
    </w:p>
    <w:p w14:paraId="1376EA95" w14:textId="7FD37DEF" w:rsidR="00B4131C" w:rsidRDefault="00B4131C" w:rsidP="00B4131C">
      <w:pPr>
        <w:pStyle w:val="EX"/>
      </w:pPr>
      <w:r>
        <w:t>[13]</w:t>
      </w:r>
      <w:r>
        <w:tab/>
        <w:t>IEEE Std 3333.1.3-2022 “IEEE Standard for the Deep Learning-Based Assessment of Visual Experience Based on Human Factors”</w:t>
      </w:r>
    </w:p>
    <w:p w14:paraId="54120FBF" w14:textId="7BCA4B72" w:rsidR="00B4131C" w:rsidRDefault="00B4131C" w:rsidP="00B4131C">
      <w:pPr>
        <w:pStyle w:val="EX"/>
      </w:pPr>
      <w:r>
        <w:t>[14]</w:t>
      </w:r>
      <w:r>
        <w:tab/>
        <w:t>ISO/IEC 23090-6:2021 Information technology — Coded representation of immersive media — Part 6: Immersive media metrics</w:t>
      </w:r>
    </w:p>
    <w:p w14:paraId="1D70BA49" w14:textId="6AD754FD" w:rsidR="00B4131C" w:rsidRPr="00F070F5" w:rsidRDefault="00B4131C" w:rsidP="00B4131C">
      <w:pPr>
        <w:pStyle w:val="EX"/>
      </w:pPr>
      <w:r>
        <w:t>[15]</w:t>
      </w:r>
      <w:r>
        <w:tab/>
        <w:t>ISO/IEC JTC 1/SC 29/WG 03 N0405</w:t>
      </w:r>
      <w:r>
        <w:tab/>
        <w:t>Technologies under Consideration for ISO/IEC 23090-6</w:t>
      </w:r>
      <w:r>
        <w:tab/>
        <w:t>WG 03, MPEG Systems</w:t>
      </w:r>
    </w:p>
    <w:p w14:paraId="24ACB616" w14:textId="77777777" w:rsidR="00080512" w:rsidRPr="004D3578" w:rsidRDefault="00080512">
      <w:pPr>
        <w:pStyle w:val="Heading1"/>
      </w:pPr>
      <w:bookmarkStart w:id="27" w:name="definitions"/>
      <w:bookmarkStart w:id="28" w:name="_Toc119408422"/>
      <w:bookmarkStart w:id="29" w:name="_Toc123914818"/>
      <w:bookmarkEnd w:id="27"/>
      <w:r w:rsidRPr="004D3578">
        <w:t>3</w:t>
      </w:r>
      <w:r w:rsidRPr="004D3578">
        <w:tab/>
        <w:t>Definitions</w:t>
      </w:r>
      <w:r w:rsidR="00602AEA">
        <w:t xml:space="preserve"> of terms, symbols and abbreviations</w:t>
      </w:r>
      <w:bookmarkEnd w:id="28"/>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119408423"/>
      <w:bookmarkStart w:id="31" w:name="_Toc123914819"/>
      <w:r w:rsidRPr="004D3578">
        <w:t>3.1</w:t>
      </w:r>
      <w:r w:rsidRPr="004D3578">
        <w:tab/>
      </w:r>
      <w:r w:rsidR="002B6339">
        <w:t>Terms</w:t>
      </w:r>
      <w:bookmarkEnd w:id="30"/>
      <w:bookmarkEnd w:id="3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 w:name="_Toc119408424"/>
      <w:bookmarkStart w:id="33" w:name="_Toc123914820"/>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19408425"/>
      <w:bookmarkStart w:id="35" w:name="_Toc123914821"/>
      <w:r w:rsidRPr="004D3578">
        <w:t>3.3</w:t>
      </w:r>
      <w:r w:rsidRPr="004D3578">
        <w:tab/>
        <w:t>Abbreviations</w:t>
      </w:r>
      <w:bookmarkEnd w:id="34"/>
      <w:bookmarkEnd w:id="3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Heading1"/>
      </w:pPr>
      <w:bookmarkStart w:id="36" w:name="clause4"/>
      <w:bookmarkStart w:id="37" w:name="_Toc119408426"/>
      <w:bookmarkStart w:id="38" w:name="_Toc123914822"/>
      <w:bookmarkEnd w:id="36"/>
      <w:r w:rsidRPr="004D3578">
        <w:t>4</w:t>
      </w:r>
      <w:r w:rsidRPr="004D3578">
        <w:tab/>
      </w:r>
      <w:r w:rsidR="008821C2" w:rsidRPr="008821C2">
        <w:t>Current state of AR/MR QoE metrics outside 3GPP</w:t>
      </w:r>
      <w:bookmarkEnd w:id="37"/>
      <w:bookmarkEnd w:id="38"/>
    </w:p>
    <w:p w14:paraId="30DD8715" w14:textId="77777777" w:rsidR="00F070F5" w:rsidRPr="004D3578" w:rsidRDefault="00F070F5" w:rsidP="00F070F5">
      <w:pPr>
        <w:pStyle w:val="Heading2"/>
      </w:pPr>
      <w:bookmarkStart w:id="39" w:name="_Toc119408427"/>
      <w:bookmarkStart w:id="40" w:name="_Toc123914823"/>
      <w:r>
        <w:t>4</w:t>
      </w:r>
      <w:r w:rsidRPr="004D3578">
        <w:t>.1</w:t>
      </w:r>
      <w:r w:rsidRPr="004D3578">
        <w:tab/>
      </w:r>
      <w:r w:rsidRPr="001D4652">
        <w:t>AR/MR QoE related work in ITU-T</w:t>
      </w:r>
      <w:bookmarkEnd w:id="39"/>
      <w:bookmarkEnd w:id="40"/>
    </w:p>
    <w:p w14:paraId="3D93FD95" w14:textId="37620AEE" w:rsidR="00F070F5" w:rsidRDefault="00F070F5" w:rsidP="00F070F5">
      <w:r>
        <w:t>In ITU-T, there are many study groups focusing on the quality of experience (QoE) for XR services</w:t>
      </w:r>
      <w:r w:rsidR="00A84EF8">
        <w:t xml:space="preserve">, </w:t>
      </w:r>
      <w:r w:rsidR="00A84EF8" w:rsidRPr="00A84EF8">
        <w:t>e.g. Study Group 12 (SG12), Study Group 16 (SG16)</w:t>
      </w:r>
      <w:r>
        <w:t xml:space="preserve">. Typically, Study Group 12 (SG12) majoring in the </w:t>
      </w:r>
      <w:r w:rsidRPr="00CA1B47">
        <w:t>P​erformance, QoS &amp; QoE​</w:t>
      </w:r>
      <w:r>
        <w:t xml:space="preserve"> is quite relevant to the study of AR/MR QoE in SA4. </w:t>
      </w:r>
    </w:p>
    <w:p w14:paraId="71740582" w14:textId="77777777" w:rsidR="00F070F5" w:rsidRDefault="00F070F5" w:rsidP="00F070F5">
      <w:pPr>
        <w:rPr>
          <w:lang w:eastAsia="zh-CN"/>
        </w:rPr>
      </w:pPr>
      <w:r>
        <w:t xml:space="preserve">In SG12, </w:t>
      </w:r>
      <w:r>
        <w:rPr>
          <w:rFonts w:hint="eastAsia"/>
          <w:lang w:eastAsia="zh-CN"/>
        </w:rPr>
        <w:t>th</w:t>
      </w:r>
      <w:r>
        <w:rPr>
          <w:lang w:eastAsia="zh-CN"/>
        </w:rPr>
        <w:t>ere are several ongoing or completed work about the AR/MR QoE.</w:t>
      </w:r>
    </w:p>
    <w:p w14:paraId="0B0437E7" w14:textId="77777777" w:rsidR="00F070F5" w:rsidRDefault="00F070F5" w:rsidP="00F070F5">
      <w:pPr>
        <w:pStyle w:val="B1"/>
        <w:ind w:left="0" w:firstLine="0"/>
      </w:pPr>
      <w:r>
        <w:t>1) ITU-T G.1036 “</w:t>
      </w:r>
      <w:r w:rsidRPr="00F45F6A">
        <w:t>Quality of experience (QoE) influencing factors for augmented reality (AR) services</w:t>
      </w:r>
      <w:r>
        <w:t xml:space="preserve">” [6]. </w:t>
      </w:r>
    </w:p>
    <w:p w14:paraId="3BE14D25" w14:textId="77777777" w:rsidR="00F070F5" w:rsidRDefault="00F070F5" w:rsidP="00F070F5">
      <w:r w:rsidRPr="00EC6D47">
        <w:t xml:space="preserve">This Recommendation </w:t>
      </w:r>
      <w:r>
        <w:t>has been</w:t>
      </w:r>
      <w:r w:rsidRPr="00DE4BC9">
        <w:t xml:space="preserve"> consented by the recent ITU-T Study Group 12 meeting</w:t>
      </w:r>
      <w:r>
        <w:t>, June 2022. It</w:t>
      </w:r>
      <w:r w:rsidRPr="00DE4BC9">
        <w:t xml:space="preserve"> </w:t>
      </w:r>
      <w:r w:rsidRPr="00EC6D47">
        <w:t>lists typical use cases of augmented reality services and identifies the key QoE factors in it, and also gives a suggested scheme for AR QoE assessment in future works</w:t>
      </w:r>
      <w:r>
        <w:t>.</w:t>
      </w:r>
    </w:p>
    <w:p w14:paraId="4D594F12" w14:textId="77777777" w:rsidR="00F070F5" w:rsidRDefault="00F070F5" w:rsidP="00F070F5">
      <w:r>
        <w:t xml:space="preserve">Different from Virtual Reality, which aims to completely replace the user’s real world environment with a simulated one, Augmented Reality keeps the real world and puts additional information to the natural environment. </w:t>
      </w:r>
    </w:p>
    <w:p w14:paraId="763B3C14" w14:textId="77777777" w:rsidR="00F070F5" w:rsidRDefault="00F070F5" w:rsidP="00F070F5">
      <w:r>
        <w:t>Due to addition of new ways to locate the self-position of users and new display mode of perceptual information, a set of new requirements to QoE assessment to characterize AR’s immersive video, spatial audio, and interactivity are emerging. Besides, it’s important to address the requirements and basic factors affecting the VR QoE before benchmarking work is executed. This document identifies the key factors affecting user-perceived experience.</w:t>
      </w:r>
      <w:r w:rsidRPr="00DE4BC9">
        <w:t xml:space="preserve"> </w:t>
      </w:r>
    </w:p>
    <w:p w14:paraId="597CC399" w14:textId="77777777" w:rsidR="00F070F5" w:rsidRDefault="00F070F5" w:rsidP="00F070F5">
      <w:r>
        <w:t>The identified AR QoE metrics can be shown as following:</w:t>
      </w:r>
    </w:p>
    <w:p w14:paraId="2268B9FF" w14:textId="77777777" w:rsidR="00F070F5" w:rsidRDefault="00F070F5" w:rsidP="008420AE">
      <w:pPr>
        <w:pStyle w:val="TH"/>
      </w:pPr>
      <w:r>
        <w:rPr>
          <w:noProof/>
          <w:lang w:val="en-US" w:eastAsia="zh-CN"/>
        </w:rPr>
        <w:drawing>
          <wp:inline distT="0" distB="0" distL="0" distR="0" wp14:anchorId="4796618E" wp14:editId="6F2955A8">
            <wp:extent cx="4730750" cy="1892300"/>
            <wp:effectExtent l="0" t="0" r="0" b="0"/>
            <wp:docPr id="90" name="图片 89"/>
            <wp:cNvGraphicFramePr/>
            <a:graphic xmlns:a="http://schemas.openxmlformats.org/drawingml/2006/main">
              <a:graphicData uri="http://schemas.openxmlformats.org/drawingml/2006/picture">
                <pic:pic xmlns:pic="http://schemas.openxmlformats.org/drawingml/2006/picture">
                  <pic:nvPicPr>
                    <pic:cNvPr id="90" name="图片 89"/>
                    <pic:cNvPicPr/>
                  </pic:nvPicPr>
                  <pic:blipFill>
                    <a:blip r:embed="rId11" cstate="print"/>
                    <a:stretch>
                      <a:fillRect/>
                    </a:stretch>
                  </pic:blipFill>
                  <pic:spPr>
                    <a:xfrm>
                      <a:off x="0" y="0"/>
                      <a:ext cx="4730750" cy="1892300"/>
                    </a:xfrm>
                    <a:prstGeom prst="rect">
                      <a:avLst/>
                    </a:prstGeom>
                  </pic:spPr>
                </pic:pic>
              </a:graphicData>
            </a:graphic>
          </wp:inline>
        </w:drawing>
      </w:r>
    </w:p>
    <w:p w14:paraId="26B43751" w14:textId="77777777" w:rsidR="00F070F5" w:rsidRDefault="00F070F5" w:rsidP="00F070F5">
      <w:pPr>
        <w:pStyle w:val="TF"/>
      </w:pPr>
      <w:r>
        <w:t>Figure 4.1-1</w:t>
      </w:r>
      <w:r w:rsidRPr="001D4652">
        <w:t>:</w:t>
      </w:r>
      <w:r>
        <w:t xml:space="preserve"> AR QoE assessment scheme [6]</w:t>
      </w:r>
    </w:p>
    <w:p w14:paraId="6ABAE36F" w14:textId="77777777" w:rsidR="00F070F5" w:rsidRDefault="00F070F5" w:rsidP="00F070F5">
      <w:pPr>
        <w:pStyle w:val="TH"/>
      </w:pPr>
      <w:r>
        <w:t>Table 4.1-1: I</w:t>
      </w:r>
      <w:r w:rsidRPr="001D4652">
        <w:t>dentified QoE factors for AR services</w:t>
      </w:r>
      <w:r>
        <w:t xml:space="preserve"> [6]</w:t>
      </w:r>
    </w:p>
    <w:tbl>
      <w:tblPr>
        <w:tblStyle w:val="TableGrid"/>
        <w:tblW w:w="8961" w:type="dxa"/>
        <w:jc w:val="center"/>
        <w:tblLook w:val="04A0" w:firstRow="1" w:lastRow="0" w:firstColumn="1" w:lastColumn="0" w:noHBand="0" w:noVBand="1"/>
      </w:tblPr>
      <w:tblGrid>
        <w:gridCol w:w="1592"/>
        <w:gridCol w:w="2092"/>
        <w:gridCol w:w="5277"/>
      </w:tblGrid>
      <w:tr w:rsidR="00F070F5" w:rsidRPr="002C5D1E" w14:paraId="54B279C8" w14:textId="77777777" w:rsidTr="007C11CC">
        <w:trPr>
          <w:trHeight w:val="185"/>
          <w:jc w:val="center"/>
        </w:trPr>
        <w:tc>
          <w:tcPr>
            <w:tcW w:w="0" w:type="auto"/>
            <w:vMerge w:val="restart"/>
            <w:tcBorders>
              <w:top w:val="single" w:sz="4" w:space="0" w:color="auto"/>
              <w:left w:val="single" w:sz="4" w:space="0" w:color="auto"/>
              <w:right w:val="single" w:sz="4" w:space="0" w:color="auto"/>
            </w:tcBorders>
            <w:vAlign w:val="center"/>
          </w:tcPr>
          <w:p w14:paraId="1EB3FE5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vAlign w:val="center"/>
          </w:tcPr>
          <w:p w14:paraId="7A30B0A8"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Vision</w:t>
            </w:r>
          </w:p>
        </w:tc>
        <w:tc>
          <w:tcPr>
            <w:tcW w:w="0" w:type="auto"/>
            <w:tcBorders>
              <w:top w:val="single" w:sz="4" w:space="0" w:color="auto"/>
              <w:left w:val="single" w:sz="4" w:space="0" w:color="auto"/>
              <w:bottom w:val="single" w:sz="4" w:space="0" w:color="auto"/>
              <w:right w:val="single" w:sz="4" w:space="0" w:color="auto"/>
            </w:tcBorders>
          </w:tcPr>
          <w:p w14:paraId="38F61C8F"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myopia, hyperopia, astigmatism, and amblyopia.</w:t>
            </w:r>
          </w:p>
        </w:tc>
      </w:tr>
      <w:tr w:rsidR="00F070F5" w:rsidRPr="002C5D1E" w14:paraId="731E6A21" w14:textId="77777777" w:rsidTr="007C11CC">
        <w:trPr>
          <w:trHeight w:val="202"/>
          <w:jc w:val="center"/>
        </w:trPr>
        <w:tc>
          <w:tcPr>
            <w:tcW w:w="0" w:type="auto"/>
            <w:vMerge/>
            <w:tcBorders>
              <w:left w:val="single" w:sz="4" w:space="0" w:color="auto"/>
              <w:right w:val="single" w:sz="4" w:space="0" w:color="auto"/>
            </w:tcBorders>
            <w:vAlign w:val="center"/>
          </w:tcPr>
          <w:p w14:paraId="5DF6D3B5"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4AFBA"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Hearing</w:t>
            </w:r>
          </w:p>
        </w:tc>
        <w:tc>
          <w:tcPr>
            <w:tcW w:w="0" w:type="auto"/>
            <w:tcBorders>
              <w:top w:val="single" w:sz="4" w:space="0" w:color="auto"/>
              <w:left w:val="single" w:sz="4" w:space="0" w:color="auto"/>
              <w:bottom w:val="single" w:sz="4" w:space="0" w:color="auto"/>
              <w:right w:val="single" w:sz="4" w:space="0" w:color="auto"/>
            </w:tcBorders>
          </w:tcPr>
          <w:p w14:paraId="57765EC4"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audio perceptibility</w:t>
            </w:r>
          </w:p>
        </w:tc>
      </w:tr>
      <w:tr w:rsidR="00F070F5" w:rsidRPr="002C5D1E" w14:paraId="74C989F0" w14:textId="77777777" w:rsidTr="007C11CC">
        <w:trPr>
          <w:trHeight w:val="193"/>
          <w:jc w:val="center"/>
        </w:trPr>
        <w:tc>
          <w:tcPr>
            <w:tcW w:w="0" w:type="auto"/>
            <w:vMerge/>
            <w:tcBorders>
              <w:left w:val="single" w:sz="4" w:space="0" w:color="auto"/>
              <w:bottom w:val="single" w:sz="4" w:space="0" w:color="auto"/>
              <w:right w:val="single" w:sz="4" w:space="0" w:color="auto"/>
            </w:tcBorders>
            <w:vAlign w:val="center"/>
          </w:tcPr>
          <w:p w14:paraId="70DA6786"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2837C"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Touch/Force Sensation</w:t>
            </w:r>
          </w:p>
        </w:tc>
        <w:tc>
          <w:tcPr>
            <w:tcW w:w="0" w:type="auto"/>
            <w:tcBorders>
              <w:top w:val="single" w:sz="4" w:space="0" w:color="auto"/>
              <w:left w:val="single" w:sz="4" w:space="0" w:color="auto"/>
              <w:bottom w:val="single" w:sz="4" w:space="0" w:color="auto"/>
              <w:right w:val="single" w:sz="4" w:space="0" w:color="auto"/>
            </w:tcBorders>
          </w:tcPr>
          <w:p w14:paraId="123ACCA5"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tactile/force and other types of perceptual enhancement.</w:t>
            </w:r>
          </w:p>
        </w:tc>
      </w:tr>
      <w:tr w:rsidR="00F070F5" w:rsidRPr="002C5D1E" w14:paraId="16B6B97A" w14:textId="77777777" w:rsidTr="007C11CC">
        <w:trPr>
          <w:trHeight w:val="379"/>
          <w:jc w:val="center"/>
        </w:trPr>
        <w:tc>
          <w:tcPr>
            <w:tcW w:w="0" w:type="auto"/>
            <w:vMerge w:val="restart"/>
            <w:tcBorders>
              <w:top w:val="single" w:sz="4" w:space="0" w:color="auto"/>
              <w:left w:val="single" w:sz="4" w:space="0" w:color="auto"/>
              <w:right w:val="single" w:sz="4" w:space="0" w:color="auto"/>
            </w:tcBorders>
            <w:vAlign w:val="center"/>
          </w:tcPr>
          <w:p w14:paraId="72BDBEA3"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74475631"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Content Related</w:t>
            </w:r>
          </w:p>
        </w:tc>
        <w:tc>
          <w:tcPr>
            <w:tcW w:w="0" w:type="auto"/>
            <w:tcBorders>
              <w:top w:val="single" w:sz="4" w:space="0" w:color="auto"/>
              <w:left w:val="single" w:sz="4" w:space="0" w:color="auto"/>
              <w:bottom w:val="single" w:sz="4" w:space="0" w:color="auto"/>
              <w:right w:val="single" w:sz="4" w:space="0" w:color="auto"/>
            </w:tcBorders>
          </w:tcPr>
          <w:p w14:paraId="6FC2940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2C5D1E" w14:paraId="1FE1EBF0" w14:textId="77777777" w:rsidTr="007C11CC">
        <w:trPr>
          <w:trHeight w:val="379"/>
          <w:jc w:val="center"/>
        </w:trPr>
        <w:tc>
          <w:tcPr>
            <w:tcW w:w="0" w:type="auto"/>
            <w:vMerge/>
            <w:tcBorders>
              <w:left w:val="single" w:sz="4" w:space="0" w:color="auto"/>
              <w:right w:val="single" w:sz="4" w:space="0" w:color="auto"/>
            </w:tcBorders>
            <w:vAlign w:val="center"/>
          </w:tcPr>
          <w:p w14:paraId="7AF62F72"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7161C"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Media and Coding Related</w:t>
            </w:r>
          </w:p>
        </w:tc>
        <w:tc>
          <w:tcPr>
            <w:tcW w:w="0" w:type="auto"/>
            <w:tcBorders>
              <w:top w:val="single" w:sz="4" w:space="0" w:color="auto"/>
              <w:left w:val="single" w:sz="4" w:space="0" w:color="auto"/>
              <w:bottom w:val="single" w:sz="4" w:space="0" w:color="auto"/>
              <w:right w:val="single" w:sz="4" w:space="0" w:color="auto"/>
            </w:tcBorders>
          </w:tcPr>
          <w:p w14:paraId="46680704"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2C5D1E" w14:paraId="3416F987" w14:textId="77777777" w:rsidTr="007C11CC">
        <w:trPr>
          <w:trHeight w:val="388"/>
          <w:jc w:val="center"/>
        </w:trPr>
        <w:tc>
          <w:tcPr>
            <w:tcW w:w="0" w:type="auto"/>
            <w:vMerge/>
            <w:tcBorders>
              <w:left w:val="single" w:sz="4" w:space="0" w:color="auto"/>
              <w:right w:val="single" w:sz="4" w:space="0" w:color="auto"/>
            </w:tcBorders>
            <w:vAlign w:val="center"/>
          </w:tcPr>
          <w:p w14:paraId="3925149A"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43D8C"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Network and Transmission related</w:t>
            </w:r>
          </w:p>
        </w:tc>
        <w:tc>
          <w:tcPr>
            <w:tcW w:w="0" w:type="auto"/>
            <w:tcBorders>
              <w:top w:val="single" w:sz="4" w:space="0" w:color="auto"/>
              <w:left w:val="single" w:sz="4" w:space="0" w:color="auto"/>
              <w:bottom w:val="single" w:sz="4" w:space="0" w:color="auto"/>
              <w:right w:val="single" w:sz="4" w:space="0" w:color="auto"/>
            </w:tcBorders>
          </w:tcPr>
          <w:p w14:paraId="780A0962"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2C5D1E" w14:paraId="5C846D58" w14:textId="77777777" w:rsidTr="007C11CC">
        <w:trPr>
          <w:trHeight w:val="202"/>
          <w:jc w:val="center"/>
        </w:trPr>
        <w:tc>
          <w:tcPr>
            <w:tcW w:w="0" w:type="auto"/>
            <w:vMerge/>
            <w:tcBorders>
              <w:left w:val="single" w:sz="4" w:space="0" w:color="auto"/>
              <w:right w:val="single" w:sz="4" w:space="0" w:color="auto"/>
            </w:tcBorders>
            <w:vAlign w:val="center"/>
          </w:tcPr>
          <w:p w14:paraId="706F6C82"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2A777"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Recognition related</w:t>
            </w:r>
          </w:p>
        </w:tc>
        <w:tc>
          <w:tcPr>
            <w:tcW w:w="0" w:type="auto"/>
            <w:tcBorders>
              <w:top w:val="single" w:sz="4" w:space="0" w:color="auto"/>
              <w:left w:val="single" w:sz="4" w:space="0" w:color="auto"/>
              <w:bottom w:val="single" w:sz="4" w:space="0" w:color="auto"/>
              <w:right w:val="single" w:sz="4" w:space="0" w:color="auto"/>
            </w:tcBorders>
          </w:tcPr>
          <w:p w14:paraId="63FF8454"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Marker attributes, Recognition response.</w:t>
            </w:r>
          </w:p>
        </w:tc>
      </w:tr>
      <w:tr w:rsidR="00F070F5" w:rsidRPr="002C5D1E" w14:paraId="490FCE45" w14:textId="77777777" w:rsidTr="007C11CC">
        <w:trPr>
          <w:trHeight w:val="193"/>
          <w:jc w:val="center"/>
        </w:trPr>
        <w:tc>
          <w:tcPr>
            <w:tcW w:w="0" w:type="auto"/>
            <w:vMerge/>
            <w:tcBorders>
              <w:left w:val="single" w:sz="4" w:space="0" w:color="auto"/>
              <w:right w:val="single" w:sz="4" w:space="0" w:color="auto"/>
            </w:tcBorders>
            <w:vAlign w:val="center"/>
          </w:tcPr>
          <w:p w14:paraId="5F63B936"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52A35"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Consistency</w:t>
            </w:r>
          </w:p>
        </w:tc>
        <w:tc>
          <w:tcPr>
            <w:tcW w:w="0" w:type="auto"/>
            <w:tcBorders>
              <w:top w:val="single" w:sz="4" w:space="0" w:color="auto"/>
              <w:left w:val="single" w:sz="4" w:space="0" w:color="auto"/>
              <w:bottom w:val="single" w:sz="4" w:space="0" w:color="auto"/>
              <w:right w:val="single" w:sz="4" w:space="0" w:color="auto"/>
            </w:tcBorders>
          </w:tcPr>
          <w:p w14:paraId="19F0E1B6"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Geometry consistency, Lighting consistency, Time consistency</w:t>
            </w:r>
          </w:p>
        </w:tc>
      </w:tr>
      <w:tr w:rsidR="00F070F5" w:rsidRPr="002C5D1E" w14:paraId="262C4144" w14:textId="77777777" w:rsidTr="007C11CC">
        <w:trPr>
          <w:trHeight w:val="193"/>
          <w:jc w:val="center"/>
        </w:trPr>
        <w:tc>
          <w:tcPr>
            <w:tcW w:w="0" w:type="auto"/>
            <w:vMerge/>
            <w:tcBorders>
              <w:left w:val="single" w:sz="4" w:space="0" w:color="auto"/>
              <w:right w:val="single" w:sz="4" w:space="0" w:color="auto"/>
            </w:tcBorders>
            <w:vAlign w:val="center"/>
          </w:tcPr>
          <w:p w14:paraId="7E690E05"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BD7AB"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Harware Related</w:t>
            </w:r>
          </w:p>
        </w:tc>
        <w:tc>
          <w:tcPr>
            <w:tcW w:w="0" w:type="auto"/>
            <w:tcBorders>
              <w:top w:val="single" w:sz="4" w:space="0" w:color="auto"/>
              <w:left w:val="single" w:sz="4" w:space="0" w:color="auto"/>
              <w:bottom w:val="single" w:sz="4" w:space="0" w:color="auto"/>
              <w:right w:val="single" w:sz="4" w:space="0" w:color="auto"/>
            </w:tcBorders>
          </w:tcPr>
          <w:p w14:paraId="3B9D8CB8"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Comfortableness, FoV, stereo, depth range</w:t>
            </w:r>
          </w:p>
        </w:tc>
      </w:tr>
      <w:tr w:rsidR="00F070F5" w:rsidRPr="002C5D1E" w14:paraId="60E6C50A" w14:textId="77777777" w:rsidTr="007C11CC">
        <w:trPr>
          <w:trHeight w:val="388"/>
          <w:jc w:val="center"/>
        </w:trPr>
        <w:tc>
          <w:tcPr>
            <w:tcW w:w="0" w:type="auto"/>
            <w:vMerge/>
            <w:tcBorders>
              <w:left w:val="single" w:sz="4" w:space="0" w:color="auto"/>
              <w:bottom w:val="single" w:sz="4" w:space="0" w:color="auto"/>
              <w:right w:val="single" w:sz="4" w:space="0" w:color="auto"/>
            </w:tcBorders>
            <w:vAlign w:val="center"/>
          </w:tcPr>
          <w:p w14:paraId="0AD0A00E"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98DE1B"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Interaction Related</w:t>
            </w:r>
          </w:p>
        </w:tc>
        <w:tc>
          <w:tcPr>
            <w:tcW w:w="0" w:type="auto"/>
            <w:tcBorders>
              <w:top w:val="single" w:sz="4" w:space="0" w:color="auto"/>
              <w:left w:val="single" w:sz="4" w:space="0" w:color="auto"/>
              <w:bottom w:val="single" w:sz="4" w:space="0" w:color="auto"/>
              <w:right w:val="single" w:sz="4" w:space="0" w:color="auto"/>
            </w:tcBorders>
          </w:tcPr>
          <w:p w14:paraId="038D5AF3"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Hand Gesture, Speech, Body Posture, Tangible Interface, Eye/head based interfaces, Brain-computer interfaces</w:t>
            </w:r>
          </w:p>
        </w:tc>
      </w:tr>
      <w:tr w:rsidR="00F070F5" w:rsidRPr="002C5D1E" w14:paraId="4BA597B4" w14:textId="77777777" w:rsidTr="007C11CC">
        <w:trPr>
          <w:trHeight w:val="274"/>
          <w:jc w:val="center"/>
        </w:trPr>
        <w:tc>
          <w:tcPr>
            <w:tcW w:w="0" w:type="auto"/>
            <w:vMerge w:val="restart"/>
            <w:tcBorders>
              <w:top w:val="single" w:sz="4" w:space="0" w:color="auto"/>
              <w:left w:val="single" w:sz="4" w:space="0" w:color="auto"/>
              <w:right w:val="single" w:sz="4" w:space="0" w:color="auto"/>
            </w:tcBorders>
            <w:vAlign w:val="center"/>
          </w:tcPr>
          <w:p w14:paraId="1021EEC7"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00D2103A"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Physical context</w:t>
            </w:r>
          </w:p>
        </w:tc>
        <w:tc>
          <w:tcPr>
            <w:tcW w:w="0" w:type="auto"/>
            <w:tcBorders>
              <w:top w:val="single" w:sz="4" w:space="0" w:color="auto"/>
              <w:left w:val="single" w:sz="4" w:space="0" w:color="auto"/>
              <w:bottom w:val="single" w:sz="4" w:space="0" w:color="auto"/>
              <w:right w:val="single" w:sz="4" w:space="0" w:color="auto"/>
            </w:tcBorders>
          </w:tcPr>
          <w:p w14:paraId="15C542EF"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physical environment condition</w:t>
            </w:r>
          </w:p>
        </w:tc>
      </w:tr>
      <w:tr w:rsidR="00F070F5" w:rsidRPr="002C5D1E" w14:paraId="58C3E4B8" w14:textId="77777777" w:rsidTr="007C11CC">
        <w:trPr>
          <w:trHeight w:val="193"/>
          <w:jc w:val="center"/>
        </w:trPr>
        <w:tc>
          <w:tcPr>
            <w:tcW w:w="0" w:type="auto"/>
            <w:vMerge/>
            <w:tcBorders>
              <w:left w:val="single" w:sz="4" w:space="0" w:color="auto"/>
              <w:right w:val="single" w:sz="4" w:space="0" w:color="auto"/>
            </w:tcBorders>
            <w:vAlign w:val="center"/>
          </w:tcPr>
          <w:p w14:paraId="2AB9A14E"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6E0574"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Colloboration context</w:t>
            </w:r>
          </w:p>
        </w:tc>
        <w:tc>
          <w:tcPr>
            <w:tcW w:w="0" w:type="auto"/>
            <w:tcBorders>
              <w:top w:val="single" w:sz="4" w:space="0" w:color="auto"/>
              <w:left w:val="single" w:sz="4" w:space="0" w:color="auto"/>
              <w:bottom w:val="single" w:sz="4" w:space="0" w:color="auto"/>
              <w:right w:val="single" w:sz="4" w:space="0" w:color="auto"/>
            </w:tcBorders>
          </w:tcPr>
          <w:p w14:paraId="4DD3FDFE"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collaborative environment for multi-person AR services.</w:t>
            </w:r>
          </w:p>
        </w:tc>
      </w:tr>
      <w:tr w:rsidR="00F070F5" w:rsidRPr="002C5D1E" w14:paraId="21EA0817" w14:textId="77777777" w:rsidTr="007C11CC">
        <w:trPr>
          <w:trHeight w:val="202"/>
          <w:jc w:val="center"/>
        </w:trPr>
        <w:tc>
          <w:tcPr>
            <w:tcW w:w="0" w:type="auto"/>
            <w:vMerge/>
            <w:tcBorders>
              <w:left w:val="single" w:sz="4" w:space="0" w:color="auto"/>
              <w:right w:val="single" w:sz="4" w:space="0" w:color="auto"/>
            </w:tcBorders>
            <w:vAlign w:val="center"/>
          </w:tcPr>
          <w:p w14:paraId="6E2A52D0"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EBF2"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Task context</w:t>
            </w:r>
          </w:p>
        </w:tc>
        <w:tc>
          <w:tcPr>
            <w:tcW w:w="0" w:type="auto"/>
            <w:tcBorders>
              <w:top w:val="single" w:sz="4" w:space="0" w:color="auto"/>
              <w:left w:val="single" w:sz="4" w:space="0" w:color="auto"/>
              <w:bottom w:val="single" w:sz="4" w:space="0" w:color="auto"/>
              <w:right w:val="single" w:sz="4" w:space="0" w:color="auto"/>
            </w:tcBorders>
          </w:tcPr>
          <w:p w14:paraId="72E3A2D0"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tasks and goals users are aiming to in their minds.</w:t>
            </w:r>
          </w:p>
        </w:tc>
      </w:tr>
      <w:tr w:rsidR="00F070F5" w:rsidRPr="002C5D1E" w14:paraId="4747948F" w14:textId="77777777" w:rsidTr="007C11CC">
        <w:trPr>
          <w:trHeight w:val="193"/>
          <w:jc w:val="center"/>
        </w:trPr>
        <w:tc>
          <w:tcPr>
            <w:tcW w:w="0" w:type="auto"/>
            <w:vMerge/>
            <w:tcBorders>
              <w:left w:val="single" w:sz="4" w:space="0" w:color="auto"/>
              <w:bottom w:val="single" w:sz="4" w:space="0" w:color="auto"/>
              <w:right w:val="single" w:sz="4" w:space="0" w:color="auto"/>
            </w:tcBorders>
            <w:vAlign w:val="center"/>
          </w:tcPr>
          <w:p w14:paraId="2A451E0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D5A1E"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07970280"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r w:rsidR="00F070F5" w:rsidRPr="002C5D1E" w14:paraId="7D98F244" w14:textId="77777777" w:rsidTr="007C11CC">
        <w:trPr>
          <w:trHeight w:val="379"/>
          <w:jc w:val="center"/>
        </w:trPr>
        <w:tc>
          <w:tcPr>
            <w:tcW w:w="0" w:type="auto"/>
            <w:vMerge w:val="restart"/>
            <w:tcBorders>
              <w:top w:val="single" w:sz="4" w:space="0" w:color="auto"/>
              <w:left w:val="single" w:sz="4" w:space="0" w:color="auto"/>
              <w:right w:val="single" w:sz="4" w:space="0" w:color="auto"/>
            </w:tcBorders>
            <w:vAlign w:val="center"/>
          </w:tcPr>
          <w:p w14:paraId="201B044C"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General factors</w:t>
            </w:r>
          </w:p>
        </w:tc>
        <w:tc>
          <w:tcPr>
            <w:tcW w:w="0" w:type="auto"/>
            <w:tcBorders>
              <w:top w:val="single" w:sz="4" w:space="0" w:color="auto"/>
              <w:left w:val="single" w:sz="4" w:space="0" w:color="auto"/>
              <w:bottom w:val="single" w:sz="4" w:space="0" w:color="auto"/>
              <w:right w:val="single" w:sz="4" w:space="0" w:color="auto"/>
            </w:tcBorders>
            <w:vAlign w:val="center"/>
          </w:tcPr>
          <w:p w14:paraId="4780A2FD"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tcPr>
          <w:p w14:paraId="2CF99369"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Olfactory, Multisensory integration,</w:t>
            </w:r>
            <w:r w:rsidRPr="00F070F5">
              <w:rPr>
                <w:rFonts w:ascii="Arial" w:hAnsi="Arial" w:cs="Arial"/>
                <w:sz w:val="18"/>
                <w:szCs w:val="18"/>
              </w:rPr>
              <w:t xml:space="preserve"> </w:t>
            </w:r>
            <w:r w:rsidRPr="00F070F5">
              <w:rPr>
                <w:rFonts w:ascii="Arial" w:hAnsi="Arial" w:cs="Arial"/>
                <w:sz w:val="18"/>
                <w:szCs w:val="18"/>
                <w:lang w:val="sv-SE" w:eastAsia="zh-CN"/>
              </w:rPr>
              <w:t>Simulator sickness,</w:t>
            </w:r>
            <w:r w:rsidRPr="00F070F5">
              <w:rPr>
                <w:rFonts w:ascii="Arial" w:hAnsi="Arial" w:cs="Arial"/>
                <w:sz w:val="18"/>
                <w:szCs w:val="18"/>
              </w:rPr>
              <w:t xml:space="preserve"> </w:t>
            </w:r>
            <w:r w:rsidRPr="00F070F5">
              <w:rPr>
                <w:rFonts w:ascii="Arial" w:hAnsi="Arial" w:cs="Arial"/>
                <w:sz w:val="18"/>
                <w:szCs w:val="18"/>
                <w:lang w:val="sv-SE" w:eastAsia="zh-CN"/>
              </w:rPr>
              <w:t>Static and Dynamic Human Factor</w:t>
            </w:r>
          </w:p>
        </w:tc>
      </w:tr>
      <w:tr w:rsidR="00F070F5" w:rsidRPr="002C5D1E" w14:paraId="2FF53881" w14:textId="77777777" w:rsidTr="007C11CC">
        <w:trPr>
          <w:trHeight w:val="40"/>
          <w:jc w:val="center"/>
        </w:trPr>
        <w:tc>
          <w:tcPr>
            <w:tcW w:w="0" w:type="auto"/>
            <w:vMerge/>
            <w:tcBorders>
              <w:left w:val="single" w:sz="4" w:space="0" w:color="auto"/>
              <w:bottom w:val="single" w:sz="4" w:space="0" w:color="auto"/>
              <w:right w:val="single" w:sz="4" w:space="0" w:color="auto"/>
            </w:tcBorders>
            <w:vAlign w:val="center"/>
          </w:tcPr>
          <w:p w14:paraId="6F9313B6"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81471"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Hardware related factors</w:t>
            </w:r>
          </w:p>
        </w:tc>
        <w:tc>
          <w:tcPr>
            <w:tcW w:w="0" w:type="auto"/>
            <w:tcBorders>
              <w:top w:val="single" w:sz="4" w:space="0" w:color="auto"/>
              <w:left w:val="single" w:sz="4" w:space="0" w:color="auto"/>
              <w:bottom w:val="single" w:sz="4" w:space="0" w:color="auto"/>
              <w:right w:val="single" w:sz="4" w:space="0" w:color="auto"/>
            </w:tcBorders>
          </w:tcPr>
          <w:p w14:paraId="4BE51F79"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Colour Space, Dynamic Range, Refresh Rate</w:t>
            </w:r>
          </w:p>
        </w:tc>
      </w:tr>
    </w:tbl>
    <w:p w14:paraId="6D8574A4" w14:textId="77777777" w:rsidR="00F070F5" w:rsidRDefault="00F070F5" w:rsidP="00F070F5">
      <w:pPr>
        <w:pStyle w:val="B1"/>
        <w:ind w:left="0" w:firstLine="0"/>
      </w:pPr>
    </w:p>
    <w:p w14:paraId="33D8B83B" w14:textId="77777777" w:rsidR="00F070F5" w:rsidRDefault="00F070F5" w:rsidP="00F070F5">
      <w:pPr>
        <w:pStyle w:val="B1"/>
        <w:ind w:left="0" w:firstLine="0"/>
      </w:pPr>
      <w:r>
        <w:t>2) ITU-T P.1320 “QoE assessment of extended reality (XR) meetings” [7].</w:t>
      </w:r>
    </w:p>
    <w:p w14:paraId="1C2084A1" w14:textId="77777777" w:rsidR="00F070F5" w:rsidRDefault="00F070F5" w:rsidP="00F070F5">
      <w:r w:rsidRPr="00EC6D47">
        <w:t xml:space="preserve">This Recommendation </w:t>
      </w:r>
      <w:r>
        <w:t xml:space="preserve">has been consent by the recent ITU-T Study Group 12 meeting, June 2022. It </w:t>
      </w:r>
      <w:r w:rsidRPr="00EC6D47">
        <w:t>advises on aspects of importance for QoE assessment of telemeetings with extended reality elements. The goal is to define the human, context, and system factors that affect the choice of the QoE assessment procedure and metrics when extended reality telemeeting systems are under evaluation.</w:t>
      </w:r>
      <w:r w:rsidRPr="00F95152">
        <w:t xml:space="preserve"> </w:t>
      </w:r>
    </w:p>
    <w:p w14:paraId="268CDC1F" w14:textId="77777777" w:rsidR="00F070F5" w:rsidRDefault="00F070F5" w:rsidP="00F070F5">
      <w:r>
        <w:t>This Recommendation focuses on aspects of importance for the assessment of Quality of Experience (QoE) of different types of eXtended Reality (XR) telemeetings, which may comprise a combination of telemeetings taking place in virtual reality (VR), augmented reality (AR), or mixed reality (MR) environments. It targets XR services aiming to immerse the user and augment the exchange of information by delivering interactive real-time uni- or multimodal sensory information for two-party and multiparty communication. The services include telemeetings taking place in a virtual location or a combination of virtual and real locations; telemeetings with mixtures of real and virtual participants; telemeetings with augmented elements for collaboration; virtual conferences; and joint teleoperation of equipment.</w:t>
      </w:r>
    </w:p>
    <w:p w14:paraId="04E55D9E" w14:textId="77777777" w:rsidR="00F070F5" w:rsidRDefault="00F070F5" w:rsidP="00F070F5">
      <w:r>
        <w:t xml:space="preserve">While multiple QoE evaluation methodologies for telemeetings have been developed, novel XR telemeeting services may result in cognitive effects that are not covered by the existing Recommendations. These effects may include simulator sickness, fatigue, immersion, or presence, for example. This document advises on the key QoE factors affecting the user experience of an XR telemeeting service. </w:t>
      </w:r>
    </w:p>
    <w:p w14:paraId="6E452D65" w14:textId="77777777" w:rsidR="00F070F5" w:rsidRDefault="00F070F5" w:rsidP="00F070F5">
      <w:r>
        <w:t xml:space="preserve">The identified QoE metrics for XR meetings can be found as the following. </w:t>
      </w:r>
    </w:p>
    <w:p w14:paraId="6EEB61F7" w14:textId="77777777" w:rsidR="00F070F5" w:rsidRDefault="00F070F5" w:rsidP="00F070F5">
      <w:pPr>
        <w:pStyle w:val="TH"/>
      </w:pPr>
      <w:r>
        <w:t xml:space="preserve">Table 4.1-2: </w:t>
      </w:r>
      <w:r w:rsidRPr="001D4652">
        <w:t>Factors influencing QoE of XR telemeetings</w:t>
      </w:r>
      <w:r>
        <w:t xml:space="preserve"> [7]</w:t>
      </w:r>
    </w:p>
    <w:tbl>
      <w:tblPr>
        <w:tblStyle w:val="TableGrid"/>
        <w:tblW w:w="0" w:type="auto"/>
        <w:tblLook w:val="04A0" w:firstRow="1" w:lastRow="0" w:firstColumn="1" w:lastColumn="0" w:noHBand="0" w:noVBand="1"/>
      </w:tblPr>
      <w:tblGrid>
        <w:gridCol w:w="1538"/>
        <w:gridCol w:w="2365"/>
        <w:gridCol w:w="5728"/>
      </w:tblGrid>
      <w:tr w:rsidR="00F070F5" w:rsidRPr="005B437D" w14:paraId="50BD3C13" w14:textId="77777777" w:rsidTr="007C11CC">
        <w:tc>
          <w:tcPr>
            <w:tcW w:w="0" w:type="auto"/>
            <w:vMerge w:val="restart"/>
            <w:tcBorders>
              <w:top w:val="single" w:sz="4" w:space="0" w:color="auto"/>
              <w:left w:val="single" w:sz="4" w:space="0" w:color="auto"/>
              <w:right w:val="single" w:sz="4" w:space="0" w:color="auto"/>
            </w:tcBorders>
            <w:vAlign w:val="center"/>
          </w:tcPr>
          <w:p w14:paraId="571A3EAF"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Human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24E3A674"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Perceptual and congnitive characteristics</w:t>
            </w:r>
          </w:p>
        </w:tc>
        <w:tc>
          <w:tcPr>
            <w:tcW w:w="0" w:type="auto"/>
            <w:tcBorders>
              <w:top w:val="single" w:sz="4" w:space="0" w:color="auto"/>
              <w:left w:val="single" w:sz="4" w:space="0" w:color="auto"/>
              <w:bottom w:val="single" w:sz="4" w:space="0" w:color="auto"/>
              <w:right w:val="single" w:sz="4" w:space="0" w:color="auto"/>
            </w:tcBorders>
          </w:tcPr>
          <w:p w14:paraId="4C7572A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 xml:space="preserve">Visual, audio, olfactory, tactile acuity. </w:t>
            </w:r>
          </w:p>
        </w:tc>
      </w:tr>
      <w:tr w:rsidR="00F070F5" w:rsidRPr="005B437D" w14:paraId="06DFBE7A" w14:textId="77777777" w:rsidTr="007C11CC">
        <w:tc>
          <w:tcPr>
            <w:tcW w:w="0" w:type="auto"/>
            <w:vMerge/>
            <w:tcBorders>
              <w:left w:val="single" w:sz="4" w:space="0" w:color="auto"/>
              <w:right w:val="single" w:sz="4" w:space="0" w:color="auto"/>
            </w:tcBorders>
            <w:vAlign w:val="center"/>
          </w:tcPr>
          <w:p w14:paraId="06B68DF5"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09672"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Internal state of individual participants</w:t>
            </w:r>
          </w:p>
        </w:tc>
        <w:tc>
          <w:tcPr>
            <w:tcW w:w="0" w:type="auto"/>
            <w:tcBorders>
              <w:top w:val="single" w:sz="4" w:space="0" w:color="auto"/>
              <w:left w:val="single" w:sz="4" w:space="0" w:color="auto"/>
              <w:bottom w:val="single" w:sz="4" w:space="0" w:color="auto"/>
              <w:right w:val="single" w:sz="4" w:space="0" w:color="auto"/>
            </w:tcBorders>
          </w:tcPr>
          <w:p w14:paraId="0E484DD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Similator sickness, immersion, level of expertise, spatial intelligence and introversion, etc.</w:t>
            </w:r>
          </w:p>
        </w:tc>
      </w:tr>
      <w:tr w:rsidR="00F070F5" w:rsidRPr="005B437D" w14:paraId="0A735463" w14:textId="77777777" w:rsidTr="007C11CC">
        <w:tc>
          <w:tcPr>
            <w:tcW w:w="0" w:type="auto"/>
            <w:vMerge/>
            <w:tcBorders>
              <w:left w:val="single" w:sz="4" w:space="0" w:color="auto"/>
              <w:right w:val="single" w:sz="4" w:space="0" w:color="auto"/>
            </w:tcBorders>
            <w:vAlign w:val="center"/>
          </w:tcPr>
          <w:p w14:paraId="509B01B8"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DE0E9"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Conversation behaviour</w:t>
            </w:r>
          </w:p>
        </w:tc>
        <w:tc>
          <w:tcPr>
            <w:tcW w:w="0" w:type="auto"/>
            <w:tcBorders>
              <w:top w:val="single" w:sz="4" w:space="0" w:color="auto"/>
              <w:left w:val="single" w:sz="4" w:space="0" w:color="auto"/>
              <w:bottom w:val="single" w:sz="4" w:space="0" w:color="auto"/>
              <w:right w:val="single" w:sz="4" w:space="0" w:color="auto"/>
            </w:tcBorders>
          </w:tcPr>
          <w:p w14:paraId="74CA2827"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Conversation behaviour, degress of involvement.</w:t>
            </w:r>
          </w:p>
        </w:tc>
      </w:tr>
      <w:tr w:rsidR="00F070F5" w:rsidRPr="005B437D" w14:paraId="1671EA6C" w14:textId="77777777" w:rsidTr="007C11CC">
        <w:tc>
          <w:tcPr>
            <w:tcW w:w="0" w:type="auto"/>
            <w:vMerge/>
            <w:tcBorders>
              <w:left w:val="single" w:sz="4" w:space="0" w:color="auto"/>
              <w:right w:val="single" w:sz="4" w:space="0" w:color="auto"/>
            </w:tcBorders>
            <w:vAlign w:val="center"/>
          </w:tcPr>
          <w:p w14:paraId="057902F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30BD5"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Relations between participants</w:t>
            </w:r>
          </w:p>
        </w:tc>
        <w:tc>
          <w:tcPr>
            <w:tcW w:w="0" w:type="auto"/>
            <w:tcBorders>
              <w:top w:val="single" w:sz="4" w:space="0" w:color="auto"/>
              <w:left w:val="single" w:sz="4" w:space="0" w:color="auto"/>
              <w:bottom w:val="single" w:sz="4" w:space="0" w:color="auto"/>
              <w:right w:val="single" w:sz="4" w:space="0" w:color="auto"/>
            </w:tcBorders>
          </w:tcPr>
          <w:p w14:paraId="6E999EE7"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A closer (e.g., romantic) relationship may be preferred for this kind of tactile stimulation.</w:t>
            </w:r>
          </w:p>
        </w:tc>
      </w:tr>
      <w:tr w:rsidR="00F070F5" w:rsidRPr="005B437D" w14:paraId="6CF19570" w14:textId="77777777" w:rsidTr="007C11CC">
        <w:tc>
          <w:tcPr>
            <w:tcW w:w="0" w:type="auto"/>
            <w:vMerge/>
            <w:tcBorders>
              <w:left w:val="single" w:sz="4" w:space="0" w:color="auto"/>
              <w:bottom w:val="single" w:sz="4" w:space="0" w:color="auto"/>
              <w:right w:val="single" w:sz="4" w:space="0" w:color="auto"/>
            </w:tcBorders>
            <w:vAlign w:val="center"/>
          </w:tcPr>
          <w:p w14:paraId="2B3AF74B"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DCBB8"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Language and body language aspects</w:t>
            </w:r>
          </w:p>
        </w:tc>
        <w:tc>
          <w:tcPr>
            <w:tcW w:w="0" w:type="auto"/>
            <w:tcBorders>
              <w:top w:val="single" w:sz="4" w:space="0" w:color="auto"/>
              <w:left w:val="single" w:sz="4" w:space="0" w:color="auto"/>
              <w:bottom w:val="single" w:sz="4" w:space="0" w:color="auto"/>
              <w:right w:val="single" w:sz="4" w:space="0" w:color="auto"/>
            </w:tcBorders>
          </w:tcPr>
          <w:p w14:paraId="47ED12A8"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linguistic social cues and body language.</w:t>
            </w:r>
          </w:p>
        </w:tc>
      </w:tr>
      <w:tr w:rsidR="00F070F5" w:rsidRPr="005B437D" w14:paraId="38CF094E" w14:textId="77777777" w:rsidTr="007C11CC">
        <w:tc>
          <w:tcPr>
            <w:tcW w:w="0" w:type="auto"/>
            <w:vMerge w:val="restart"/>
            <w:tcBorders>
              <w:top w:val="single" w:sz="4" w:space="0" w:color="auto"/>
              <w:left w:val="single" w:sz="4" w:space="0" w:color="auto"/>
              <w:right w:val="single" w:sz="4" w:space="0" w:color="auto"/>
            </w:tcBorders>
            <w:vAlign w:val="center"/>
          </w:tcPr>
          <w:p w14:paraId="0AFEE4CC"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6F9C2A5E"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Communication environment</w:t>
            </w:r>
          </w:p>
        </w:tc>
        <w:tc>
          <w:tcPr>
            <w:tcW w:w="0" w:type="auto"/>
            <w:tcBorders>
              <w:top w:val="single" w:sz="4" w:space="0" w:color="auto"/>
              <w:left w:val="single" w:sz="4" w:space="0" w:color="auto"/>
              <w:bottom w:val="single" w:sz="4" w:space="0" w:color="auto"/>
              <w:right w:val="single" w:sz="4" w:space="0" w:color="auto"/>
            </w:tcBorders>
          </w:tcPr>
          <w:p w14:paraId="55124432"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5B437D" w14:paraId="79361919" w14:textId="77777777" w:rsidTr="007C11CC">
        <w:tc>
          <w:tcPr>
            <w:tcW w:w="0" w:type="auto"/>
            <w:vMerge/>
            <w:tcBorders>
              <w:left w:val="single" w:sz="4" w:space="0" w:color="auto"/>
              <w:right w:val="single" w:sz="4" w:space="0" w:color="auto"/>
            </w:tcBorders>
            <w:vAlign w:val="center"/>
          </w:tcPr>
          <w:p w14:paraId="79A4D8B0"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9D298"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Communication scenarios</w:t>
            </w:r>
          </w:p>
        </w:tc>
        <w:tc>
          <w:tcPr>
            <w:tcW w:w="0" w:type="auto"/>
            <w:tcBorders>
              <w:top w:val="single" w:sz="4" w:space="0" w:color="auto"/>
              <w:left w:val="single" w:sz="4" w:space="0" w:color="auto"/>
              <w:bottom w:val="single" w:sz="4" w:space="0" w:color="auto"/>
              <w:right w:val="single" w:sz="4" w:space="0" w:color="auto"/>
            </w:tcBorders>
          </w:tcPr>
          <w:p w14:paraId="2DB0F865"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5B437D" w14:paraId="6F578520" w14:textId="77777777" w:rsidTr="007C11CC">
        <w:tc>
          <w:tcPr>
            <w:tcW w:w="0" w:type="auto"/>
            <w:vMerge/>
            <w:tcBorders>
              <w:left w:val="single" w:sz="4" w:space="0" w:color="auto"/>
              <w:right w:val="single" w:sz="4" w:space="0" w:color="auto"/>
            </w:tcBorders>
            <w:vAlign w:val="center"/>
          </w:tcPr>
          <w:p w14:paraId="2B6DCF31"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4F10"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Time aspects</w:t>
            </w:r>
          </w:p>
        </w:tc>
        <w:tc>
          <w:tcPr>
            <w:tcW w:w="0" w:type="auto"/>
            <w:tcBorders>
              <w:top w:val="single" w:sz="4" w:space="0" w:color="auto"/>
              <w:left w:val="single" w:sz="4" w:space="0" w:color="auto"/>
              <w:bottom w:val="single" w:sz="4" w:space="0" w:color="auto"/>
              <w:right w:val="single" w:sz="4" w:space="0" w:color="auto"/>
            </w:tcBorders>
          </w:tcPr>
          <w:p w14:paraId="098FDE80"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5B437D" w14:paraId="2EDFEFC7" w14:textId="77777777" w:rsidTr="007C11CC">
        <w:trPr>
          <w:trHeight w:val="334"/>
        </w:trPr>
        <w:tc>
          <w:tcPr>
            <w:tcW w:w="0" w:type="auto"/>
            <w:vMerge w:val="restart"/>
            <w:tcBorders>
              <w:top w:val="single" w:sz="4" w:space="0" w:color="auto"/>
              <w:left w:val="single" w:sz="4" w:space="0" w:color="auto"/>
              <w:right w:val="single" w:sz="4" w:space="0" w:color="auto"/>
            </w:tcBorders>
            <w:vAlign w:val="center"/>
          </w:tcPr>
          <w:p w14:paraId="0B9B1869"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58042A51"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Human/world-related factors</w:t>
            </w:r>
          </w:p>
        </w:tc>
        <w:tc>
          <w:tcPr>
            <w:tcW w:w="0" w:type="auto"/>
            <w:tcBorders>
              <w:top w:val="single" w:sz="4" w:space="0" w:color="auto"/>
              <w:left w:val="single" w:sz="4" w:space="0" w:color="auto"/>
              <w:bottom w:val="single" w:sz="4" w:space="0" w:color="auto"/>
              <w:right w:val="single" w:sz="4" w:space="0" w:color="auto"/>
            </w:tcBorders>
          </w:tcPr>
          <w:p w14:paraId="32D84BC7"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Degree of freedom, representation of users, realism/style, locamotion, position, proxemics</w:t>
            </w:r>
          </w:p>
        </w:tc>
      </w:tr>
      <w:tr w:rsidR="00F070F5" w:rsidRPr="005B437D" w14:paraId="3CF21C55" w14:textId="77777777" w:rsidTr="007C11CC">
        <w:tc>
          <w:tcPr>
            <w:tcW w:w="0" w:type="auto"/>
            <w:vMerge/>
            <w:tcBorders>
              <w:left w:val="single" w:sz="4" w:space="0" w:color="auto"/>
              <w:right w:val="single" w:sz="4" w:space="0" w:color="auto"/>
            </w:tcBorders>
            <w:vAlign w:val="center"/>
          </w:tcPr>
          <w:p w14:paraId="5FFE8101"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7E9CA"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Rendering</w:t>
            </w:r>
          </w:p>
        </w:tc>
        <w:tc>
          <w:tcPr>
            <w:tcW w:w="0" w:type="auto"/>
            <w:tcBorders>
              <w:top w:val="single" w:sz="4" w:space="0" w:color="auto"/>
              <w:left w:val="single" w:sz="4" w:space="0" w:color="auto"/>
              <w:bottom w:val="single" w:sz="4" w:space="0" w:color="auto"/>
              <w:right w:val="single" w:sz="4" w:space="0" w:color="auto"/>
            </w:tcBorders>
          </w:tcPr>
          <w:p w14:paraId="61C0CFD5"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Rendering per client, multi-party effects on rendering, redering errors, resolutions, foveated rendering, overlaying rendering images.</w:t>
            </w:r>
          </w:p>
        </w:tc>
      </w:tr>
      <w:tr w:rsidR="00F070F5" w:rsidRPr="005B437D" w14:paraId="1A93FC46" w14:textId="77777777" w:rsidTr="007C11CC">
        <w:tc>
          <w:tcPr>
            <w:tcW w:w="0" w:type="auto"/>
            <w:vMerge/>
            <w:tcBorders>
              <w:left w:val="single" w:sz="4" w:space="0" w:color="auto"/>
              <w:right w:val="single" w:sz="4" w:space="0" w:color="auto"/>
            </w:tcBorders>
            <w:vAlign w:val="center"/>
          </w:tcPr>
          <w:p w14:paraId="2F35CFAF"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D2825"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Network and compression</w:t>
            </w:r>
          </w:p>
        </w:tc>
        <w:tc>
          <w:tcPr>
            <w:tcW w:w="0" w:type="auto"/>
            <w:tcBorders>
              <w:top w:val="single" w:sz="4" w:space="0" w:color="auto"/>
              <w:left w:val="single" w:sz="4" w:space="0" w:color="auto"/>
              <w:bottom w:val="single" w:sz="4" w:space="0" w:color="auto"/>
              <w:right w:val="single" w:sz="4" w:space="0" w:color="auto"/>
            </w:tcBorders>
          </w:tcPr>
          <w:p w14:paraId="7CA9D66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Media encoding/decoding, latency, bandwidth, synchronization</w:t>
            </w:r>
          </w:p>
        </w:tc>
      </w:tr>
      <w:tr w:rsidR="00F070F5" w:rsidRPr="005B437D" w14:paraId="61541A66" w14:textId="77777777" w:rsidTr="007C11CC">
        <w:tc>
          <w:tcPr>
            <w:tcW w:w="0" w:type="auto"/>
            <w:vMerge/>
            <w:tcBorders>
              <w:left w:val="single" w:sz="4" w:space="0" w:color="auto"/>
              <w:bottom w:val="single" w:sz="4" w:space="0" w:color="auto"/>
              <w:right w:val="single" w:sz="4" w:space="0" w:color="auto"/>
            </w:tcBorders>
            <w:vAlign w:val="center"/>
          </w:tcPr>
          <w:p w14:paraId="3A41D9D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E7009"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5B2CD0D3"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bl>
    <w:p w14:paraId="72859C89" w14:textId="77777777" w:rsidR="00F070F5" w:rsidRPr="00DB2A21" w:rsidRDefault="00F070F5" w:rsidP="00F070F5"/>
    <w:p w14:paraId="0AD319AD" w14:textId="77777777" w:rsidR="00F070F5" w:rsidRDefault="00F070F5" w:rsidP="00F070F5">
      <w:pPr>
        <w:pStyle w:val="B1"/>
        <w:ind w:left="0" w:firstLine="0"/>
      </w:pPr>
      <w:r>
        <w:t xml:space="preserve">3) </w:t>
      </w:r>
      <w:r w:rsidRPr="00F95152">
        <w:t>Technical Report ITU-T GSTR-5GQoE</w:t>
      </w:r>
      <w:r>
        <w:t xml:space="preserve">, </w:t>
      </w:r>
      <w:r w:rsidRPr="00E901A0">
        <w:t>QoE requirements for real-time multimedia services over 5G networks</w:t>
      </w:r>
      <w:r>
        <w:t xml:space="preserve"> [8]</w:t>
      </w:r>
      <w:r w:rsidRPr="00E901A0" w:rsidDel="002C1131">
        <w:t xml:space="preserve"> </w:t>
      </w:r>
    </w:p>
    <w:p w14:paraId="5F8CB685" w14:textId="77777777" w:rsidR="00F070F5" w:rsidRDefault="00F070F5" w:rsidP="00F070F5">
      <w:r w:rsidRPr="00DB2A21">
        <w:t>This report has been produced by the 5G-KPI working group of the Video Quality Experts Group (VQEG)</w:t>
      </w:r>
      <w:r>
        <w:t xml:space="preserve"> and defines a scope for the analysis of QoE in 5G services and several use cases where this scope is applicable. </w:t>
      </w:r>
    </w:p>
    <w:p w14:paraId="344300C2" w14:textId="77777777" w:rsidR="00F070F5" w:rsidRDefault="00F070F5" w:rsidP="00F070F5">
      <w:r w:rsidRPr="006F1212">
        <w:t xml:space="preserve">This Technical Report defines a scope for the analysis of QoE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r>
        <w:t xml:space="preserve">aims to </w:t>
      </w:r>
      <w:r w:rsidRPr="00DB2A21">
        <w:t xml:space="preserve">study the specific QoE requirements, as well as the required performance and features from the network. By addressing them in parallel, it </w:t>
      </w:r>
      <w:r>
        <w:t>is</w:t>
      </w:r>
      <w:r w:rsidRPr="00DB2A21">
        <w:t xml:space="preserve"> possible to find synergies between them and, more relevantly, extract the common information that can be used to also analyse other use cases that may arise outside the scope of this work item</w:t>
      </w:r>
      <w:r>
        <w:t>.</w:t>
      </w:r>
    </w:p>
    <w:p w14:paraId="0980D04C" w14:textId="77777777" w:rsidR="00F070F5" w:rsidRDefault="00F070F5" w:rsidP="00F070F5">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p>
    <w:p w14:paraId="2DC3A178" w14:textId="77777777" w:rsidR="00F070F5" w:rsidRDefault="00F070F5" w:rsidP="00F070F5">
      <w:r>
        <w:t>The identified QoE factors for MR Offloading can be found in the following:</w:t>
      </w:r>
    </w:p>
    <w:p w14:paraId="4516325D" w14:textId="77777777" w:rsidR="00F070F5" w:rsidRDefault="00F070F5" w:rsidP="00F070F5">
      <w:pPr>
        <w:pStyle w:val="B1"/>
      </w:pPr>
      <w:r>
        <w:t>-</w:t>
      </w:r>
      <w:r>
        <w:tab/>
        <w:t>Motion-to-photon latency</w:t>
      </w:r>
    </w:p>
    <w:p w14:paraId="7F96F558" w14:textId="77777777" w:rsidR="00F070F5" w:rsidRDefault="00F070F5" w:rsidP="00F070F5">
      <w:pPr>
        <w:pStyle w:val="B1"/>
      </w:pPr>
      <w:r>
        <w:t>-</w:t>
      </w:r>
      <w:r>
        <w:tab/>
        <w:t>Responsiveness in human-virtual interaction</w:t>
      </w:r>
    </w:p>
    <w:p w14:paraId="5D4F2FD2" w14:textId="77777777" w:rsidR="00F070F5" w:rsidRDefault="00F070F5" w:rsidP="00F070F5">
      <w:pPr>
        <w:pStyle w:val="B1"/>
      </w:pPr>
      <w:r>
        <w:t>-</w:t>
      </w:r>
      <w:r>
        <w:tab/>
        <w:t>Embodiment feeling</w:t>
      </w:r>
    </w:p>
    <w:p w14:paraId="41EA790F" w14:textId="77777777" w:rsidR="00F070F5" w:rsidRDefault="00F070F5" w:rsidP="00F070F5">
      <w:pPr>
        <w:pStyle w:val="B1"/>
      </w:pPr>
      <w:r>
        <w:t>-</w:t>
      </w:r>
      <w:r>
        <w:tab/>
        <w:t>RTT time</w:t>
      </w:r>
    </w:p>
    <w:p w14:paraId="5B331242" w14:textId="77777777" w:rsidR="00F070F5" w:rsidRDefault="00F070F5" w:rsidP="00F070F5">
      <w:pPr>
        <w:pStyle w:val="B1"/>
      </w:pPr>
      <w:r>
        <w:t>-</w:t>
      </w:r>
      <w:r>
        <w:tab/>
        <w:t>Peak uplink/downlink throughputs</w:t>
      </w:r>
    </w:p>
    <w:p w14:paraId="515057B3" w14:textId="77777777" w:rsidR="00F070F5" w:rsidRDefault="00F070F5" w:rsidP="00F070F5">
      <w:pPr>
        <w:pStyle w:val="B1"/>
      </w:pPr>
      <w:r>
        <w:t>-</w:t>
      </w:r>
      <w:r>
        <w:tab/>
        <w:t>Coding/processing delay</w:t>
      </w:r>
    </w:p>
    <w:p w14:paraId="1241532F" w14:textId="77777777" w:rsidR="00F070F5" w:rsidRDefault="00F070F5" w:rsidP="00F070F5">
      <w:pPr>
        <w:pStyle w:val="B1"/>
      </w:pPr>
      <w:r>
        <w:t>-</w:t>
      </w:r>
      <w:r>
        <w:tab/>
        <w:t>Mean network throughput</w:t>
      </w:r>
    </w:p>
    <w:p w14:paraId="6F20EDCA" w14:textId="77777777" w:rsidR="00F070F5" w:rsidRDefault="00F070F5" w:rsidP="00F070F5">
      <w:pPr>
        <w:pStyle w:val="B1"/>
      </w:pPr>
      <w:r>
        <w:t>-</w:t>
      </w:r>
      <w:r>
        <w:tab/>
        <w:t>Type of MR application</w:t>
      </w:r>
    </w:p>
    <w:p w14:paraId="5D4F55AB" w14:textId="77777777" w:rsidR="00F070F5" w:rsidRDefault="00F070F5" w:rsidP="00F070F5">
      <w:pPr>
        <w:pStyle w:val="B1"/>
      </w:pPr>
      <w:r>
        <w:t>-</w:t>
      </w:r>
      <w:r>
        <w:tab/>
        <w:t>Temporal context</w:t>
      </w:r>
    </w:p>
    <w:p w14:paraId="7AEACD3E" w14:textId="26F39CA5" w:rsidR="00A84EF8" w:rsidRDefault="00A84EF8" w:rsidP="00A84EF8">
      <w:r w:rsidRPr="00A84EF8">
        <w:t>Study Group 16 (SG16) majoring in the “immersive live experience (ILE) ” and “interactive immersive services (IIS)” shares some views on the requirements of immersive services, e.g. extended reality service. The rela</w:t>
      </w:r>
      <w:r>
        <w:t>ted details are listed as below:</w:t>
      </w:r>
    </w:p>
    <w:p w14:paraId="527EA85A" w14:textId="74FC4CED" w:rsidR="00B40E16" w:rsidRDefault="00B40E16" w:rsidP="00B40E16">
      <w:pPr>
        <w:pStyle w:val="B1"/>
        <w:ind w:left="0" w:firstLine="0"/>
      </w:pPr>
      <w:r>
        <w:t xml:space="preserve">1) </w:t>
      </w:r>
      <w:r w:rsidRPr="00B40E16">
        <w:t>ITU-T H.430.1 “Requirements for immersive live experience (ILE) services” [</w:t>
      </w:r>
      <w:r>
        <w:t>9</w:t>
      </w:r>
      <w:r w:rsidRPr="00B40E16">
        <w:t>] provide some requirements of ILE as follows:</w:t>
      </w:r>
      <w:r>
        <w:t xml:space="preserve"> </w:t>
      </w:r>
    </w:p>
    <w:p w14:paraId="55FBE543" w14:textId="59258562" w:rsidR="00B40E16" w:rsidRPr="00B40E16" w:rsidRDefault="00B40E16" w:rsidP="00B40E16">
      <w:r w:rsidRPr="00B40E16">
        <w:rPr>
          <w:rFonts w:hint="eastAsia"/>
        </w:rPr>
        <w:t>G</w:t>
      </w:r>
      <w:r w:rsidRPr="00B40E16">
        <w:t>eneral requirements: Displaying real-sized objects, Direction of sounds, Reconstruction of stage effects, Spatial environment, Synchronous media representation of multiple assets, Augmented information attachment ability.</w:t>
      </w:r>
    </w:p>
    <w:p w14:paraId="3B970D03" w14:textId="0F7AEB3A" w:rsidR="00B40E16" w:rsidRPr="00B40E16" w:rsidRDefault="00B40E16" w:rsidP="00B40E16">
      <w:r w:rsidRPr="00B40E16">
        <w:t>High-level requirements: Real-time object extraction, Synchronous transmission of multiple media streams, Media processing, High-realistic auditory lateralization, Video stitching.</w:t>
      </w:r>
    </w:p>
    <w:p w14:paraId="4B6A775E" w14:textId="7330830C" w:rsidR="00FB742B" w:rsidRDefault="00B40E16" w:rsidP="00B40E16">
      <w:pPr>
        <w:pStyle w:val="B1"/>
        <w:ind w:left="0" w:firstLine="0"/>
      </w:pPr>
      <w:r>
        <w:t xml:space="preserve">2) </w:t>
      </w:r>
      <w:r w:rsidRPr="00B40E16">
        <w:t>ITU-T H.430.6 H.IIS-reqts: “Requirements of Interactive Immersive Services (I</w:t>
      </w:r>
      <w:r>
        <w:t>IS)” work item is under study [10</w:t>
      </w:r>
      <w:r w:rsidRPr="00B40E16">
        <w:t>]. The baseline text provides some service and capability requirements of IIS service as follows:</w:t>
      </w:r>
    </w:p>
    <w:p w14:paraId="04EF8D68" w14:textId="01A61707" w:rsidR="00B40E16" w:rsidRDefault="00B40E16" w:rsidP="00B40E16">
      <w:r w:rsidRPr="00B40E16">
        <w:t>Service and capability requirements: Support for interactive capabilities, Support for synchronous transmission of concurrent streams, Intelligent distribution of massive multimedia data, Media processing, Network status awareness and QoS scheduling, Multimedia stream embellishing.</w:t>
      </w:r>
    </w:p>
    <w:p w14:paraId="06247891" w14:textId="2687D062" w:rsidR="00160302" w:rsidRPr="00B40E16" w:rsidRDefault="00160302" w:rsidP="00B40E16">
      <w:r w:rsidRPr="00160302">
        <w:t>Both the ILE and IIS work item in ITU-T SG 16 are mainly focusing on the requirements of immersive service without any information related to how to map the requirements to the AR/MR QoE metrics or factors.</w:t>
      </w:r>
    </w:p>
    <w:p w14:paraId="5F391225" w14:textId="0A4B0B46" w:rsidR="00B4131C" w:rsidRPr="004D3578" w:rsidRDefault="00B4131C" w:rsidP="00B4131C">
      <w:pPr>
        <w:pStyle w:val="Heading2"/>
      </w:pPr>
      <w:bookmarkStart w:id="41" w:name="_Toc119408428"/>
      <w:bookmarkStart w:id="42" w:name="_Toc123914824"/>
      <w:r>
        <w:t>4</w:t>
      </w:r>
      <w:r w:rsidRPr="004D3578">
        <w:t>.</w:t>
      </w:r>
      <w:r>
        <w:t>2</w:t>
      </w:r>
      <w:r w:rsidRPr="004D3578">
        <w:tab/>
      </w:r>
      <w:r w:rsidRPr="001D4652">
        <w:t xml:space="preserve">AR/MR QoE related work in </w:t>
      </w:r>
      <w:r>
        <w:t>IEEE</w:t>
      </w:r>
      <w:bookmarkEnd w:id="41"/>
      <w:bookmarkEnd w:id="42"/>
    </w:p>
    <w:p w14:paraId="2B79F20E" w14:textId="45EFE325" w:rsidR="00B4131C" w:rsidRDefault="002E5C63" w:rsidP="00B4131C">
      <w:r w:rsidRPr="002E5C63">
        <w:t xml:space="preserve">In IEEE, P3333.1 series standards focus on the experience assessment of 3D contents, and visual experience assessment based on human factors. </w:t>
      </w:r>
      <w:r>
        <w:t>The details are listed as below</w:t>
      </w:r>
      <w:r w:rsidR="00B4131C">
        <w:t xml:space="preserve">. </w:t>
      </w:r>
    </w:p>
    <w:p w14:paraId="5390208B" w14:textId="487E571A" w:rsidR="002E5C63" w:rsidRDefault="002E5C63" w:rsidP="00E30893">
      <w:pPr>
        <w:pStyle w:val="B1"/>
        <w:ind w:left="0" w:firstLine="0"/>
      </w:pPr>
      <w:r>
        <w:t>1) IEEE P3333.1.1/D2, May 2022 - IEEE Draft Standard for Quality of Experience (QoE) and Visual-Comfort Assessments of Three-Dimensional (3D) Contents Based on Psychophysical Studies [11] captures the subjective assessment for quantifying the visual discomfort and quality of experience (QoE) of 3D image and video.</w:t>
      </w:r>
    </w:p>
    <w:p w14:paraId="5B3D4917" w14:textId="76C5E8E8" w:rsidR="002E5C63" w:rsidRDefault="002E5C63" w:rsidP="00E30893">
      <w:pPr>
        <w:pStyle w:val="B1"/>
        <w:ind w:left="0" w:firstLine="0"/>
      </w:pPr>
      <w:r>
        <w:t>2) IEEE P3333.1.2/D3, Apr 2022 - IEEE Draft Standard for the Perceptual Quality Assessment of Three Dimensional (3D), Ultra High Definition (UHD) and High Dynamic Range (HDR) Contents [12] defines quality metrics for 3D, UHD and HDR quality assessment.</w:t>
      </w:r>
    </w:p>
    <w:p w14:paraId="51A5BF1E" w14:textId="2B983CC4" w:rsidR="00B40E16" w:rsidRDefault="002E5C63" w:rsidP="002E5C63">
      <w:pPr>
        <w:pStyle w:val="B1"/>
        <w:ind w:left="0" w:firstLine="0"/>
      </w:pPr>
      <w:r>
        <w:t>3) IEEE Std 3333.1.3-2022 “IEEE Standard for the Deep Learning-Based Assessment of Visual Experience Based on Human Factors” [13] defines deep learning-based metrics of content analysis and quality of experience (QoE) assessment for visual contents. The standards mainly cover quality assessment of visual contents and cybersickness assessment of visual contents for VR.</w:t>
      </w:r>
    </w:p>
    <w:p w14:paraId="69F8D998" w14:textId="0DCC0A02" w:rsidR="00930F73" w:rsidRPr="00545CB7" w:rsidRDefault="00930F73" w:rsidP="00930F73">
      <w:r>
        <w:t>T</w:t>
      </w:r>
      <w:r w:rsidRPr="00930F73">
        <w:t>he above IEEE standards firstly provide the methods of video quality assessment (e.g. 3D contents quality), and then cover deep learning models considering human factors for various QoE assessments from an objective point of view. However, those information are not related to AR/MR QoE metrics definition, and even the IEEE Std 3333.1.3 only covers QoE a</w:t>
      </w:r>
      <w:r>
        <w:t>ssessment for VR cybersickness.</w:t>
      </w:r>
    </w:p>
    <w:p w14:paraId="1F96F39A" w14:textId="6130FDE9" w:rsidR="008C232B" w:rsidRPr="004D3578" w:rsidRDefault="008C232B" w:rsidP="008C232B">
      <w:pPr>
        <w:pStyle w:val="Heading2"/>
      </w:pPr>
      <w:bookmarkStart w:id="43" w:name="_Toc119408429"/>
      <w:bookmarkStart w:id="44" w:name="_Toc123914825"/>
      <w:r>
        <w:t>4</w:t>
      </w:r>
      <w:r w:rsidRPr="004D3578">
        <w:t>.</w:t>
      </w:r>
      <w:r>
        <w:t>3</w:t>
      </w:r>
      <w:r w:rsidRPr="004D3578">
        <w:tab/>
      </w:r>
      <w:r w:rsidRPr="001D4652">
        <w:t xml:space="preserve">AR/MR QoE related work in </w:t>
      </w:r>
      <w:r>
        <w:t>MPEG</w:t>
      </w:r>
      <w:bookmarkEnd w:id="43"/>
      <w:bookmarkEnd w:id="44"/>
    </w:p>
    <w:p w14:paraId="7D0C2C8A" w14:textId="0C9120BA" w:rsidR="008C232B" w:rsidRDefault="008C232B" w:rsidP="008C232B">
      <w:r w:rsidRPr="008C232B">
        <w:t>MPEG has defined a series of standards for immersive media with a project of MPEG-I (ISO/IEC 23090 Coded Representation of Immersive Media). It contains 26 parts related with immersive media components. In the part 6, the immersive media metrics and the measurement framework are specified in ISO/IEC 23090-6:2021 [1</w:t>
      </w:r>
      <w:r>
        <w:t>4</w:t>
      </w:r>
      <w:r w:rsidRPr="008C232B">
        <w:t>]. This standard also includes a VR client reference model with observation and measurement points for collection of the metrics. The immersive media metrics in [1</w:t>
      </w:r>
      <w:r>
        <w:t>4</w:t>
      </w:r>
      <w:r w:rsidRPr="008C232B">
        <w:t>] a</w:t>
      </w:r>
      <w:r>
        <w:t xml:space="preserve">re listed as below: </w:t>
      </w:r>
    </w:p>
    <w:p w14:paraId="210FDFF1" w14:textId="77777777" w:rsidR="008C232B" w:rsidRDefault="008C232B" w:rsidP="008C232B">
      <w:pPr>
        <w:pStyle w:val="B1"/>
      </w:pPr>
      <w:r>
        <w:t>-</w:t>
      </w:r>
      <w:r>
        <w:tab/>
        <w:t>Rendered FOV set metric</w:t>
      </w:r>
    </w:p>
    <w:p w14:paraId="790EE0E9" w14:textId="77777777" w:rsidR="008C232B" w:rsidRDefault="008C232B" w:rsidP="008C232B">
      <w:pPr>
        <w:pStyle w:val="B1"/>
      </w:pPr>
      <w:r>
        <w:t>-</w:t>
      </w:r>
      <w:r>
        <w:tab/>
        <w:t>Display information set metric</w:t>
      </w:r>
    </w:p>
    <w:p w14:paraId="4AD74BF8" w14:textId="77777777" w:rsidR="008C232B" w:rsidRDefault="008C232B" w:rsidP="008C232B">
      <w:pPr>
        <w:pStyle w:val="B1"/>
      </w:pPr>
      <w:r>
        <w:t>-</w:t>
      </w:r>
      <w:r>
        <w:tab/>
        <w:t>Rendered viewports metric</w:t>
      </w:r>
    </w:p>
    <w:p w14:paraId="4AA10DB0" w14:textId="408A56B7" w:rsidR="008C232B" w:rsidRDefault="008C232B" w:rsidP="00545CB7">
      <w:pPr>
        <w:pStyle w:val="B1"/>
      </w:pPr>
      <w:r>
        <w:t>-</w:t>
      </w:r>
      <w:r>
        <w:tab/>
        <w:t>Comparable quality viewport switching latency metric</w:t>
      </w:r>
    </w:p>
    <w:p w14:paraId="7699BFC8" w14:textId="58A26CE4" w:rsidR="008C232B" w:rsidRDefault="008C232B" w:rsidP="00545CB7">
      <w:r w:rsidRPr="00545CB7">
        <w:rPr>
          <w:rFonts w:hint="eastAsia"/>
        </w:rPr>
        <w:t>I</w:t>
      </w:r>
      <w:r w:rsidRPr="00545CB7">
        <w:t>n addition, Viewpoint Mismatch Duration Metric is also agreed to be added into the specification ISO/IEC 23090-6 [1</w:t>
      </w:r>
      <w:r>
        <w:t>5</w:t>
      </w:r>
      <w:r w:rsidRPr="00545CB7">
        <w:t>].</w:t>
      </w:r>
    </w:p>
    <w:p w14:paraId="6B18DB27" w14:textId="18C92980" w:rsidR="00054A18" w:rsidRPr="00545CB7" w:rsidRDefault="00054A18" w:rsidP="00545CB7">
      <w:r>
        <w:t>A</w:t>
      </w:r>
      <w:r w:rsidRPr="00054A18">
        <w:t>ll the 5 immersive media metrics are defined for the VR s</w:t>
      </w:r>
      <w:r>
        <w:t>ervice based on VR client model, not relevant to AR/MR QoE metrics.</w:t>
      </w:r>
    </w:p>
    <w:p w14:paraId="7D6A6F90" w14:textId="77777777" w:rsidR="008C232B" w:rsidRPr="00B4131C" w:rsidRDefault="008C232B" w:rsidP="00545CB7">
      <w:pPr>
        <w:pStyle w:val="B1"/>
      </w:pPr>
    </w:p>
    <w:p w14:paraId="3E14FF95" w14:textId="77777777" w:rsidR="00CD4924" w:rsidRDefault="003D3DE1" w:rsidP="00CD4924">
      <w:pPr>
        <w:pStyle w:val="EditorsNote"/>
      </w:pPr>
      <w:r>
        <w:t>Editor’s Note:</w:t>
      </w:r>
      <w:r w:rsidR="00CD4924">
        <w:t xml:space="preserve"> </w:t>
      </w:r>
    </w:p>
    <w:p w14:paraId="0B1F9A51" w14:textId="6B1E9867" w:rsidR="000E3EC4" w:rsidRDefault="00A804E7" w:rsidP="00CD4924">
      <w:pPr>
        <w:pStyle w:val="EditorsNote"/>
        <w:numPr>
          <w:ilvl w:val="0"/>
          <w:numId w:val="6"/>
        </w:numPr>
      </w:pPr>
      <w:r w:rsidRPr="00A804E7">
        <w:t>Collect relevant external information on QoE Metrics for AR and XR services, for example taking into account information in ITU-T, MPEG or other groups dealing with quality measurements, include device related QoE metrics, network transmission related QoE metrics, content handling related QoE metrics, and other immersiveness/presence related QoE metrics.</w:t>
      </w:r>
    </w:p>
    <w:p w14:paraId="27FEBF8A" w14:textId="53499D20" w:rsidR="00453653" w:rsidRDefault="00190030" w:rsidP="00414538">
      <w:pPr>
        <w:pStyle w:val="Heading1"/>
      </w:pPr>
      <w:bookmarkStart w:id="45" w:name="_Toc119408430"/>
      <w:bookmarkStart w:id="46" w:name="_Toc123914826"/>
      <w:r>
        <w:t>5</w:t>
      </w:r>
      <w:r w:rsidR="00453653" w:rsidRPr="004D3578">
        <w:tab/>
      </w:r>
      <w:r w:rsidR="008821C2" w:rsidRPr="008821C2">
        <w:t>Identification of AR/MR QoE Metrics for 3GPP</w:t>
      </w:r>
      <w:bookmarkEnd w:id="45"/>
      <w:bookmarkEnd w:id="46"/>
    </w:p>
    <w:p w14:paraId="2EA416C0" w14:textId="69B8DC30" w:rsidR="00414538" w:rsidRDefault="00414538" w:rsidP="00414538">
      <w:pPr>
        <w:pStyle w:val="EditorsNote"/>
      </w:pPr>
      <w:r>
        <w:t>Editor’s Note</w:t>
      </w:r>
      <w:r w:rsidR="00453653">
        <w:tab/>
      </w:r>
    </w:p>
    <w:p w14:paraId="4739C17F" w14:textId="07109A39" w:rsidR="007D739D" w:rsidRDefault="007D739D" w:rsidP="008142F3">
      <w:pPr>
        <w:pStyle w:val="EditorsNote"/>
        <w:numPr>
          <w:ilvl w:val="0"/>
          <w:numId w:val="6"/>
        </w:numPr>
      </w:pPr>
      <w:r>
        <w:t>Identification of relevant XR QoE Metrics and their impacts on the user experience.</w:t>
      </w:r>
    </w:p>
    <w:p w14:paraId="0754EA19" w14:textId="71774005" w:rsidR="00453653" w:rsidRDefault="007D739D" w:rsidP="008142F3">
      <w:pPr>
        <w:pStyle w:val="EditorsNote"/>
        <w:numPr>
          <w:ilvl w:val="0"/>
          <w:numId w:val="6"/>
        </w:numPr>
      </w:pPr>
      <w:r>
        <w:t>Define the</w:t>
      </w:r>
      <w:r w:rsidRPr="007D739D">
        <w:t xml:space="preserve"> relevant observation points and </w:t>
      </w:r>
      <w:r>
        <w:t>define the measurement and derivation of relevant XR QoE metrics in the device architecture based on MeCAR.</w:t>
      </w:r>
    </w:p>
    <w:p w14:paraId="36B61EC7" w14:textId="3E70F4B5" w:rsidR="00190030" w:rsidRDefault="00190030" w:rsidP="00190030">
      <w:pPr>
        <w:pStyle w:val="Heading1"/>
      </w:pPr>
      <w:bookmarkStart w:id="47" w:name="_Toc119408433"/>
      <w:bookmarkStart w:id="48" w:name="_Toc123914827"/>
      <w:r>
        <w:t>6</w:t>
      </w:r>
      <w:r w:rsidRPr="004D3578">
        <w:tab/>
      </w:r>
      <w:r w:rsidRPr="008821C2">
        <w:t>QoE Metrics Subjective Assessment</w:t>
      </w:r>
      <w:bookmarkEnd w:id="47"/>
      <w:bookmarkEnd w:id="48"/>
      <w:r w:rsidRPr="00A804E7" w:rsidDel="00A804E7">
        <w:rPr>
          <w:rFonts w:hint="eastAsia"/>
        </w:rPr>
        <w:t xml:space="preserve"> </w:t>
      </w:r>
    </w:p>
    <w:p w14:paraId="03C7900A" w14:textId="77777777" w:rsidR="00190030" w:rsidRDefault="00190030" w:rsidP="00190030">
      <w:pPr>
        <w:pStyle w:val="EditorsNote"/>
      </w:pPr>
      <w:r>
        <w:t xml:space="preserve">Editor’s Note: </w:t>
      </w:r>
    </w:p>
    <w:p w14:paraId="19ED77A6" w14:textId="77777777" w:rsidR="00190030" w:rsidRDefault="00190030" w:rsidP="00190030">
      <w:pPr>
        <w:pStyle w:val="EditorsNote"/>
        <w:numPr>
          <w:ilvl w:val="0"/>
          <w:numId w:val="6"/>
        </w:numPr>
      </w:pPr>
      <w:r w:rsidRPr="00A804E7">
        <w:t>Documentation of subjective tests results on XR QoE metrics, if considered relevant.</w:t>
      </w:r>
    </w:p>
    <w:p w14:paraId="4FDC1D0E" w14:textId="2DC74A4C" w:rsidR="00CD4924" w:rsidRDefault="00843E09" w:rsidP="00026E6D">
      <w:pPr>
        <w:pStyle w:val="Heading1"/>
      </w:pPr>
      <w:bookmarkStart w:id="49" w:name="_Toc119408434"/>
      <w:bookmarkStart w:id="50" w:name="_Toc123914828"/>
      <w:r>
        <w:t>7</w:t>
      </w:r>
      <w:r w:rsidRPr="004D3578">
        <w:tab/>
      </w:r>
      <w:r w:rsidR="008821C2" w:rsidRPr="008821C2">
        <w:t>Other QoE metrics and collaborations with other 3GPP groups</w:t>
      </w:r>
      <w:bookmarkEnd w:id="49"/>
      <w:bookmarkEnd w:id="50"/>
    </w:p>
    <w:p w14:paraId="216C557E" w14:textId="287ED6E7" w:rsidR="00026E6D" w:rsidRDefault="00026E6D" w:rsidP="00026E6D">
      <w:pPr>
        <w:pStyle w:val="EditorsNote"/>
      </w:pPr>
      <w:r>
        <w:t>Editor’s Note</w:t>
      </w:r>
      <w:r>
        <w:tab/>
      </w:r>
    </w:p>
    <w:p w14:paraId="5B7B453E" w14:textId="3458C465" w:rsidR="00414538" w:rsidRPr="00026E6D" w:rsidRDefault="0084101A" w:rsidP="00026E6D">
      <w:pPr>
        <w:pStyle w:val="B1"/>
        <w:numPr>
          <w:ilvl w:val="0"/>
          <w:numId w:val="7"/>
        </w:numPr>
        <w:rPr>
          <w:color w:val="FF0000"/>
        </w:rPr>
      </w:pPr>
      <w:r w:rsidRPr="0084101A">
        <w:rPr>
          <w:color w:val="FF0000"/>
        </w:rPr>
        <w:t>Collaboration with relevant groups or specifications on NWDAF, RRC-based metrics configuration and collection</w:t>
      </w:r>
      <w:r w:rsidR="00414538" w:rsidRPr="00026E6D">
        <w:rPr>
          <w:color w:val="FF0000"/>
        </w:rPr>
        <w:t>.</w:t>
      </w:r>
    </w:p>
    <w:p w14:paraId="50D20D59" w14:textId="5D75B509" w:rsidR="00026E6D" w:rsidRDefault="00B35B46" w:rsidP="00026E6D">
      <w:pPr>
        <w:pStyle w:val="Heading1"/>
      </w:pPr>
      <w:bookmarkStart w:id="51" w:name="_Toc119408435"/>
      <w:bookmarkStart w:id="52" w:name="_Toc123914829"/>
      <w:r>
        <w:t>8</w:t>
      </w:r>
      <w:r w:rsidR="00026E6D" w:rsidRPr="004D3578">
        <w:tab/>
      </w:r>
      <w:r w:rsidR="00026E6D">
        <w:t>Conclusions</w:t>
      </w:r>
      <w:r w:rsidR="00015DB0">
        <w:t xml:space="preserve"> and Recommendations</w:t>
      </w:r>
      <w:bookmarkEnd w:id="51"/>
      <w:bookmarkEnd w:id="52"/>
    </w:p>
    <w:p w14:paraId="4EF8A6FE" w14:textId="77777777" w:rsidR="00015DB0" w:rsidRDefault="00015DB0" w:rsidP="00015DB0">
      <w:pPr>
        <w:pStyle w:val="EditorsNote"/>
      </w:pPr>
      <w:r>
        <w:t>Editor’s Note</w:t>
      </w:r>
      <w:r>
        <w:tab/>
      </w:r>
    </w:p>
    <w:p w14:paraId="05FE02AB" w14:textId="00A4ABBD" w:rsidR="00B35B46" w:rsidRPr="009E275F" w:rsidRDefault="00B35B46" w:rsidP="00B35B46">
      <w:pPr>
        <w:pStyle w:val="B1"/>
        <w:numPr>
          <w:ilvl w:val="0"/>
          <w:numId w:val="7"/>
        </w:numPr>
        <w:rPr>
          <w:color w:val="FF0000"/>
        </w:rPr>
      </w:pPr>
      <w:r w:rsidRPr="009E275F">
        <w:rPr>
          <w:color w:val="FF0000"/>
        </w:rPr>
        <w:t>Provide recommendation on normative work for new XR QoE metrics based on the findings in this study</w:t>
      </w:r>
    </w:p>
    <w:p w14:paraId="470CC37C" w14:textId="77777777" w:rsidR="00414538" w:rsidRPr="003D3DE1" w:rsidRDefault="00414538" w:rsidP="00CD4924">
      <w:pPr>
        <w:pStyle w:val="EditorsNote"/>
        <w:ind w:left="0" w:firstLine="0"/>
      </w:pPr>
    </w:p>
    <w:p w14:paraId="37796A3E" w14:textId="69C12FA4" w:rsidR="00080512" w:rsidRDefault="00080512">
      <w:pPr>
        <w:pStyle w:val="Heading8"/>
      </w:pPr>
      <w:bookmarkStart w:id="53" w:name="tsgNames"/>
      <w:bookmarkStart w:id="54" w:name="_Toc119408436"/>
      <w:bookmarkStart w:id="55" w:name="_Toc123914830"/>
      <w:bookmarkEnd w:id="53"/>
      <w:r w:rsidRPr="004D3578">
        <w:t>Annex &lt;A&gt; (</w:t>
      </w:r>
      <w:r w:rsidR="003D3DE1">
        <w:t>informative</w:t>
      </w:r>
      <w:r w:rsidRPr="004D3578">
        <w:t>):</w:t>
      </w:r>
      <w:r w:rsidRPr="004D3578">
        <w:br/>
        <w:t xml:space="preserve">&lt;Normative annex </w:t>
      </w:r>
      <w:r w:rsidR="006B30D0">
        <w:t>for a Technical Specification</w:t>
      </w:r>
      <w:r w:rsidRPr="004D3578">
        <w:t>&gt;</w:t>
      </w:r>
      <w:bookmarkEnd w:id="54"/>
      <w:bookmarkEnd w:id="55"/>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0918499C" w14:textId="3A00A119" w:rsidR="002675F0" w:rsidRDefault="002675F0" w:rsidP="008420AE"/>
    <w:p w14:paraId="06FAD520" w14:textId="2F3D41A8" w:rsidR="00054A22" w:rsidRPr="00235394" w:rsidRDefault="00080512" w:rsidP="00FD4BD2">
      <w:pPr>
        <w:pStyle w:val="Heading8"/>
      </w:pPr>
      <w:r w:rsidRPr="004D3578">
        <w:br w:type="page"/>
      </w:r>
      <w:bookmarkStart w:id="56" w:name="_Toc119408437"/>
      <w:bookmarkStart w:id="57" w:name="_Toc123914831"/>
      <w:r w:rsidRPr="004D3578">
        <w:t>Annex &lt;X&gt; (informative):</w:t>
      </w:r>
      <w:r w:rsidRPr="004D3578">
        <w:br/>
        <w:t>Change history</w:t>
      </w:r>
      <w:bookmarkStart w:id="58" w:name="historyclause"/>
      <w:bookmarkEnd w:id="56"/>
      <w:bookmarkEnd w:id="57"/>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212AB7FC" w:rsidR="003C3971" w:rsidRPr="007D6048" w:rsidRDefault="00E93F69" w:rsidP="00C72833">
            <w:pPr>
              <w:pStyle w:val="TAC"/>
              <w:rPr>
                <w:sz w:val="16"/>
                <w:szCs w:val="16"/>
              </w:rPr>
            </w:pPr>
            <w:r>
              <w:rPr>
                <w:sz w:val="16"/>
                <w:szCs w:val="16"/>
              </w:rPr>
              <w:t>0.0.1</w:t>
            </w:r>
          </w:p>
        </w:tc>
      </w:tr>
      <w:tr w:rsidR="00D11B70" w:rsidRPr="006B0D02" w14:paraId="0A8665A4" w14:textId="77777777" w:rsidTr="00447CF6">
        <w:tc>
          <w:tcPr>
            <w:tcW w:w="800" w:type="dxa"/>
            <w:shd w:val="solid" w:color="FFFFFF" w:fill="auto"/>
          </w:tcPr>
          <w:p w14:paraId="420781E0" w14:textId="770FBDF5" w:rsidR="00D11B70" w:rsidRDefault="00D11B70" w:rsidP="00D11B70">
            <w:pPr>
              <w:pStyle w:val="TAC"/>
              <w:rPr>
                <w:sz w:val="16"/>
                <w:szCs w:val="16"/>
              </w:rPr>
            </w:pPr>
            <w:r>
              <w:rPr>
                <w:sz w:val="16"/>
                <w:szCs w:val="16"/>
              </w:rPr>
              <w:t>2022-08</w:t>
            </w:r>
          </w:p>
        </w:tc>
        <w:tc>
          <w:tcPr>
            <w:tcW w:w="800" w:type="dxa"/>
            <w:shd w:val="solid" w:color="FFFFFF" w:fill="auto"/>
          </w:tcPr>
          <w:p w14:paraId="350E4E5C" w14:textId="31F75A4A" w:rsidR="00D11B70" w:rsidRDefault="00D11B70" w:rsidP="00D11B70">
            <w:pPr>
              <w:pStyle w:val="TAC"/>
              <w:rPr>
                <w:sz w:val="16"/>
                <w:szCs w:val="16"/>
              </w:rPr>
            </w:pPr>
            <w:r>
              <w:rPr>
                <w:sz w:val="16"/>
                <w:szCs w:val="16"/>
              </w:rPr>
              <w:t>SA4#120e</w:t>
            </w:r>
          </w:p>
        </w:tc>
        <w:tc>
          <w:tcPr>
            <w:tcW w:w="1094" w:type="dxa"/>
            <w:shd w:val="solid" w:color="FFFFFF" w:fill="auto"/>
          </w:tcPr>
          <w:p w14:paraId="00E0ED0D" w14:textId="794F8D24" w:rsidR="00D11B70" w:rsidRPr="00447CF6" w:rsidRDefault="00D11B70" w:rsidP="00D11B70">
            <w:pPr>
              <w:pStyle w:val="TAC"/>
              <w:rPr>
                <w:sz w:val="16"/>
                <w:szCs w:val="16"/>
              </w:rPr>
            </w:pPr>
            <w:r w:rsidRPr="00447CF6">
              <w:rPr>
                <w:sz w:val="16"/>
                <w:szCs w:val="16"/>
              </w:rPr>
              <w:t>S4-22116</w:t>
            </w:r>
            <w:r>
              <w:rPr>
                <w:sz w:val="16"/>
                <w:szCs w:val="16"/>
              </w:rPr>
              <w:t>5</w:t>
            </w:r>
          </w:p>
        </w:tc>
        <w:tc>
          <w:tcPr>
            <w:tcW w:w="425" w:type="dxa"/>
            <w:shd w:val="solid" w:color="FFFFFF" w:fill="auto"/>
          </w:tcPr>
          <w:p w14:paraId="4FF2C617" w14:textId="77777777" w:rsidR="00D11B70" w:rsidRPr="006B0D02" w:rsidRDefault="00D11B70" w:rsidP="00D11B70">
            <w:pPr>
              <w:pStyle w:val="TAL"/>
              <w:rPr>
                <w:sz w:val="16"/>
                <w:szCs w:val="16"/>
              </w:rPr>
            </w:pPr>
          </w:p>
        </w:tc>
        <w:tc>
          <w:tcPr>
            <w:tcW w:w="425" w:type="dxa"/>
            <w:shd w:val="solid" w:color="FFFFFF" w:fill="auto"/>
          </w:tcPr>
          <w:p w14:paraId="2FA64D4E" w14:textId="77777777" w:rsidR="00D11B70" w:rsidRPr="006B0D02" w:rsidRDefault="00D11B70" w:rsidP="00D11B70">
            <w:pPr>
              <w:pStyle w:val="TAR"/>
              <w:rPr>
                <w:sz w:val="16"/>
                <w:szCs w:val="16"/>
              </w:rPr>
            </w:pPr>
          </w:p>
        </w:tc>
        <w:tc>
          <w:tcPr>
            <w:tcW w:w="425" w:type="dxa"/>
            <w:shd w:val="solid" w:color="FFFFFF" w:fill="auto"/>
          </w:tcPr>
          <w:p w14:paraId="19F06C53" w14:textId="77777777" w:rsidR="00D11B70" w:rsidRPr="006B0D02" w:rsidRDefault="00D11B70" w:rsidP="00D11B70">
            <w:pPr>
              <w:pStyle w:val="TAC"/>
              <w:rPr>
                <w:sz w:val="16"/>
                <w:szCs w:val="16"/>
              </w:rPr>
            </w:pPr>
          </w:p>
        </w:tc>
        <w:tc>
          <w:tcPr>
            <w:tcW w:w="4962" w:type="dxa"/>
            <w:shd w:val="solid" w:color="FFFFFF" w:fill="auto"/>
          </w:tcPr>
          <w:p w14:paraId="37786E77" w14:textId="19EE252F" w:rsidR="00D11B70" w:rsidRDefault="00D11B70" w:rsidP="00D11B70">
            <w:pPr>
              <w:pStyle w:val="TAL"/>
              <w:rPr>
                <w:sz w:val="16"/>
                <w:szCs w:val="16"/>
                <w:lang w:eastAsia="zh-CN"/>
              </w:rPr>
            </w:pPr>
            <w:r>
              <w:rPr>
                <w:sz w:val="16"/>
                <w:szCs w:val="16"/>
                <w:lang w:eastAsia="zh-CN"/>
              </w:rPr>
              <w:t>S4-221163: Collect information from ITU-T</w:t>
            </w:r>
          </w:p>
        </w:tc>
        <w:tc>
          <w:tcPr>
            <w:tcW w:w="708" w:type="dxa"/>
            <w:shd w:val="solid" w:color="FFFFFF" w:fill="auto"/>
          </w:tcPr>
          <w:p w14:paraId="22329B8E" w14:textId="72F23B05" w:rsidR="00D11B70" w:rsidRDefault="00D11B70" w:rsidP="00D11B70">
            <w:pPr>
              <w:pStyle w:val="TAC"/>
              <w:rPr>
                <w:sz w:val="16"/>
                <w:szCs w:val="16"/>
              </w:rPr>
            </w:pPr>
            <w:r>
              <w:rPr>
                <w:sz w:val="16"/>
                <w:szCs w:val="16"/>
              </w:rPr>
              <w:t>0.1.0</w:t>
            </w:r>
          </w:p>
        </w:tc>
      </w:tr>
      <w:tr w:rsidR="00BC1F24" w:rsidRPr="006B0D02" w14:paraId="596F9FF8" w14:textId="77777777" w:rsidTr="00447CF6">
        <w:tc>
          <w:tcPr>
            <w:tcW w:w="800" w:type="dxa"/>
            <w:shd w:val="solid" w:color="FFFFFF" w:fill="auto"/>
          </w:tcPr>
          <w:p w14:paraId="4AE8B9A2" w14:textId="35F65E1E" w:rsidR="00BC1F24" w:rsidRDefault="00BC1F24" w:rsidP="00D11B7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5D264D99" w14:textId="52C245AA" w:rsidR="00BC1F24" w:rsidRDefault="00BC1F24" w:rsidP="00D11B70">
            <w:pPr>
              <w:pStyle w:val="TAC"/>
              <w:rPr>
                <w:sz w:val="16"/>
                <w:szCs w:val="16"/>
                <w:lang w:eastAsia="zh-CN"/>
              </w:rPr>
            </w:pPr>
            <w:r>
              <w:rPr>
                <w:rFonts w:hint="eastAsia"/>
                <w:sz w:val="16"/>
                <w:szCs w:val="16"/>
                <w:lang w:eastAsia="zh-CN"/>
              </w:rPr>
              <w:t>S</w:t>
            </w:r>
            <w:r>
              <w:rPr>
                <w:sz w:val="16"/>
                <w:szCs w:val="16"/>
                <w:lang w:eastAsia="zh-CN"/>
              </w:rPr>
              <w:t>A4#121</w:t>
            </w:r>
          </w:p>
        </w:tc>
        <w:tc>
          <w:tcPr>
            <w:tcW w:w="1094" w:type="dxa"/>
            <w:shd w:val="solid" w:color="FFFFFF" w:fill="auto"/>
          </w:tcPr>
          <w:p w14:paraId="217BC6F1" w14:textId="179C4F91" w:rsidR="00BC1F24" w:rsidRPr="00447CF6" w:rsidRDefault="00BC1F24" w:rsidP="00D11B70">
            <w:pPr>
              <w:pStyle w:val="TAC"/>
              <w:rPr>
                <w:sz w:val="16"/>
                <w:szCs w:val="16"/>
                <w:lang w:eastAsia="zh-CN"/>
              </w:rPr>
            </w:pPr>
            <w:r>
              <w:rPr>
                <w:rFonts w:hint="eastAsia"/>
                <w:sz w:val="16"/>
                <w:szCs w:val="16"/>
                <w:lang w:eastAsia="zh-CN"/>
              </w:rPr>
              <w:t>S</w:t>
            </w:r>
            <w:r>
              <w:rPr>
                <w:sz w:val="16"/>
                <w:szCs w:val="16"/>
                <w:lang w:eastAsia="zh-CN"/>
              </w:rPr>
              <w:t>4-221564</w:t>
            </w:r>
          </w:p>
        </w:tc>
        <w:tc>
          <w:tcPr>
            <w:tcW w:w="425" w:type="dxa"/>
            <w:shd w:val="solid" w:color="FFFFFF" w:fill="auto"/>
          </w:tcPr>
          <w:p w14:paraId="248BD5A8" w14:textId="77777777" w:rsidR="00BC1F24" w:rsidRPr="006B0D02" w:rsidRDefault="00BC1F24" w:rsidP="00D11B70">
            <w:pPr>
              <w:pStyle w:val="TAL"/>
              <w:rPr>
                <w:sz w:val="16"/>
                <w:szCs w:val="16"/>
              </w:rPr>
            </w:pPr>
          </w:p>
        </w:tc>
        <w:tc>
          <w:tcPr>
            <w:tcW w:w="425" w:type="dxa"/>
            <w:shd w:val="solid" w:color="FFFFFF" w:fill="auto"/>
          </w:tcPr>
          <w:p w14:paraId="23905A29" w14:textId="77777777" w:rsidR="00BC1F24" w:rsidRPr="006B0D02" w:rsidRDefault="00BC1F24" w:rsidP="00D11B70">
            <w:pPr>
              <w:pStyle w:val="TAR"/>
              <w:rPr>
                <w:sz w:val="16"/>
                <w:szCs w:val="16"/>
              </w:rPr>
            </w:pPr>
          </w:p>
        </w:tc>
        <w:tc>
          <w:tcPr>
            <w:tcW w:w="425" w:type="dxa"/>
            <w:shd w:val="solid" w:color="FFFFFF" w:fill="auto"/>
          </w:tcPr>
          <w:p w14:paraId="73DF9F59" w14:textId="77777777" w:rsidR="00BC1F24" w:rsidRPr="006B0D02" w:rsidRDefault="00BC1F24" w:rsidP="00D11B70">
            <w:pPr>
              <w:pStyle w:val="TAC"/>
              <w:rPr>
                <w:sz w:val="16"/>
                <w:szCs w:val="16"/>
              </w:rPr>
            </w:pPr>
          </w:p>
        </w:tc>
        <w:tc>
          <w:tcPr>
            <w:tcW w:w="4962" w:type="dxa"/>
            <w:shd w:val="solid" w:color="FFFFFF" w:fill="auto"/>
          </w:tcPr>
          <w:p w14:paraId="64F10BF8" w14:textId="6262AC59" w:rsidR="00BC1F24" w:rsidRDefault="00BC1F24" w:rsidP="00152323">
            <w:pPr>
              <w:pStyle w:val="TAL"/>
              <w:rPr>
                <w:sz w:val="16"/>
                <w:szCs w:val="16"/>
                <w:lang w:eastAsia="zh-CN"/>
              </w:rPr>
            </w:pPr>
            <w:r>
              <w:rPr>
                <w:rFonts w:hint="eastAsia"/>
                <w:sz w:val="16"/>
                <w:szCs w:val="16"/>
                <w:lang w:eastAsia="zh-CN"/>
              </w:rPr>
              <w:t>A</w:t>
            </w:r>
            <w:r>
              <w:rPr>
                <w:sz w:val="16"/>
                <w:szCs w:val="16"/>
                <w:lang w:eastAsia="zh-CN"/>
              </w:rPr>
              <w:t>dd</w:t>
            </w:r>
            <w:r w:rsidR="00152323">
              <w:rPr>
                <w:sz w:val="16"/>
                <w:szCs w:val="16"/>
                <w:lang w:eastAsia="zh-CN"/>
              </w:rPr>
              <w:t xml:space="preserve"> QoE-related activity in the </w:t>
            </w:r>
            <w:r>
              <w:rPr>
                <w:sz w:val="16"/>
                <w:szCs w:val="16"/>
                <w:lang w:eastAsia="zh-CN"/>
              </w:rPr>
              <w:t xml:space="preserve">external </w:t>
            </w:r>
            <w:r w:rsidR="00152323">
              <w:rPr>
                <w:sz w:val="16"/>
                <w:szCs w:val="16"/>
                <w:lang w:eastAsia="zh-CN"/>
              </w:rPr>
              <w:t>standardizations</w:t>
            </w:r>
          </w:p>
        </w:tc>
        <w:tc>
          <w:tcPr>
            <w:tcW w:w="708" w:type="dxa"/>
            <w:shd w:val="solid" w:color="FFFFFF" w:fill="auto"/>
          </w:tcPr>
          <w:p w14:paraId="0E652601" w14:textId="51CF17D4" w:rsidR="00BC1F24" w:rsidRDefault="00BC1F24" w:rsidP="00D11B70">
            <w:pPr>
              <w:pStyle w:val="TAC"/>
              <w:rPr>
                <w:sz w:val="16"/>
                <w:szCs w:val="16"/>
                <w:lang w:eastAsia="zh-CN"/>
              </w:rPr>
            </w:pPr>
            <w:r>
              <w:rPr>
                <w:sz w:val="16"/>
                <w:szCs w:val="16"/>
                <w:lang w:eastAsia="zh-CN"/>
              </w:rPr>
              <w:t>0.2.0</w:t>
            </w:r>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43C81" w14:textId="77777777" w:rsidR="00247373" w:rsidRDefault="00247373">
      <w:r>
        <w:separator/>
      </w:r>
    </w:p>
  </w:endnote>
  <w:endnote w:type="continuationSeparator" w:id="0">
    <w:p w14:paraId="68F9EDC2" w14:textId="77777777" w:rsidR="00247373" w:rsidRDefault="0024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C0FE7" w:rsidRDefault="00EC0F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65A50" w14:textId="77777777" w:rsidR="00247373" w:rsidRDefault="00247373">
      <w:r>
        <w:separator/>
      </w:r>
    </w:p>
  </w:footnote>
  <w:footnote w:type="continuationSeparator" w:id="0">
    <w:p w14:paraId="621A457C" w14:textId="77777777" w:rsidR="00247373" w:rsidRDefault="00247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6CC3D8" w:rsidR="00EC0FE7" w:rsidRDefault="00EC0F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0510">
      <w:rPr>
        <w:rFonts w:ascii="Arial" w:hAnsi="Arial" w:cs="Arial"/>
        <w:b/>
        <w:noProof/>
        <w:sz w:val="18"/>
        <w:szCs w:val="18"/>
      </w:rPr>
      <w:t>3GPP TR 26.812 V0.2.0 (2022-11)</w:t>
    </w:r>
    <w:r>
      <w:rPr>
        <w:rFonts w:ascii="Arial" w:hAnsi="Arial" w:cs="Arial"/>
        <w:b/>
        <w:sz w:val="18"/>
        <w:szCs w:val="18"/>
      </w:rPr>
      <w:fldChar w:fldCharType="end"/>
    </w:r>
  </w:p>
  <w:p w14:paraId="7A6BC72E" w14:textId="77777777" w:rsidR="00EC0FE7" w:rsidRDefault="00EC0F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0893">
      <w:rPr>
        <w:rFonts w:ascii="Arial" w:hAnsi="Arial" w:cs="Arial"/>
        <w:b/>
        <w:noProof/>
        <w:sz w:val="18"/>
        <w:szCs w:val="18"/>
      </w:rPr>
      <w:t>10</w:t>
    </w:r>
    <w:r>
      <w:rPr>
        <w:rFonts w:ascii="Arial" w:hAnsi="Arial" w:cs="Arial"/>
        <w:b/>
        <w:sz w:val="18"/>
        <w:szCs w:val="18"/>
      </w:rPr>
      <w:fldChar w:fldCharType="end"/>
    </w:r>
  </w:p>
  <w:p w14:paraId="13C538E8" w14:textId="103ECB6D" w:rsidR="00EC0FE7" w:rsidRDefault="00EC0F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0510">
      <w:rPr>
        <w:rFonts w:ascii="Arial" w:hAnsi="Arial" w:cs="Arial"/>
        <w:b/>
        <w:noProof/>
        <w:sz w:val="18"/>
        <w:szCs w:val="18"/>
      </w:rPr>
      <w:t>Release 18</w:t>
    </w:r>
    <w:r>
      <w:rPr>
        <w:rFonts w:ascii="Arial" w:hAnsi="Arial" w:cs="Arial"/>
        <w:b/>
        <w:sz w:val="18"/>
        <w:szCs w:val="18"/>
      </w:rPr>
      <w:fldChar w:fldCharType="end"/>
    </w:r>
  </w:p>
  <w:p w14:paraId="1024E63D" w14:textId="77777777" w:rsidR="00EC0FE7" w:rsidRDefault="00EC0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3091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B871F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C0F5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E0657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9C40D4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4038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22CA7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FA7F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8418D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8C076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11881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71189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6590688">
    <w:abstractNumId w:val="11"/>
  </w:num>
  <w:num w:numId="4" w16cid:durableId="699669156">
    <w:abstractNumId w:val="16"/>
  </w:num>
  <w:num w:numId="5" w16cid:durableId="350839547">
    <w:abstractNumId w:val="13"/>
  </w:num>
  <w:num w:numId="6" w16cid:durableId="355815574">
    <w:abstractNumId w:val="14"/>
  </w:num>
  <w:num w:numId="7" w16cid:durableId="1914465920">
    <w:abstractNumId w:val="12"/>
  </w:num>
  <w:num w:numId="8" w16cid:durableId="886647113">
    <w:abstractNumId w:val="15"/>
  </w:num>
  <w:num w:numId="9" w16cid:durableId="163518410">
    <w:abstractNumId w:val="9"/>
  </w:num>
  <w:num w:numId="10" w16cid:durableId="1418942221">
    <w:abstractNumId w:val="7"/>
  </w:num>
  <w:num w:numId="11" w16cid:durableId="1687362013">
    <w:abstractNumId w:val="6"/>
  </w:num>
  <w:num w:numId="12" w16cid:durableId="1350721865">
    <w:abstractNumId w:val="5"/>
  </w:num>
  <w:num w:numId="13" w16cid:durableId="727075702">
    <w:abstractNumId w:val="4"/>
  </w:num>
  <w:num w:numId="14" w16cid:durableId="2009285377">
    <w:abstractNumId w:val="8"/>
  </w:num>
  <w:num w:numId="15" w16cid:durableId="1731269432">
    <w:abstractNumId w:val="3"/>
  </w:num>
  <w:num w:numId="16" w16cid:durableId="1497384222">
    <w:abstractNumId w:val="2"/>
  </w:num>
  <w:num w:numId="17" w16cid:durableId="1340739595">
    <w:abstractNumId w:val="1"/>
  </w:num>
  <w:num w:numId="18" w16cid:durableId="1347751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DB0"/>
    <w:rsid w:val="00026E6D"/>
    <w:rsid w:val="00030510"/>
    <w:rsid w:val="00033397"/>
    <w:rsid w:val="00040095"/>
    <w:rsid w:val="00047DD4"/>
    <w:rsid w:val="00051834"/>
    <w:rsid w:val="00054A18"/>
    <w:rsid w:val="00054A22"/>
    <w:rsid w:val="00062023"/>
    <w:rsid w:val="000655A6"/>
    <w:rsid w:val="00080512"/>
    <w:rsid w:val="000C47C3"/>
    <w:rsid w:val="000D58AB"/>
    <w:rsid w:val="000E3EC4"/>
    <w:rsid w:val="000F6135"/>
    <w:rsid w:val="001141A3"/>
    <w:rsid w:val="00133525"/>
    <w:rsid w:val="00152323"/>
    <w:rsid w:val="00155AEC"/>
    <w:rsid w:val="00160165"/>
    <w:rsid w:val="00160302"/>
    <w:rsid w:val="00190030"/>
    <w:rsid w:val="001A4C42"/>
    <w:rsid w:val="001A7420"/>
    <w:rsid w:val="001B6637"/>
    <w:rsid w:val="001C21C3"/>
    <w:rsid w:val="001D02C2"/>
    <w:rsid w:val="001D4652"/>
    <w:rsid w:val="001F0C1D"/>
    <w:rsid w:val="001F1132"/>
    <w:rsid w:val="001F168B"/>
    <w:rsid w:val="002347A2"/>
    <w:rsid w:val="00247373"/>
    <w:rsid w:val="002675F0"/>
    <w:rsid w:val="002760EE"/>
    <w:rsid w:val="002B6339"/>
    <w:rsid w:val="002C5D1E"/>
    <w:rsid w:val="002E00EE"/>
    <w:rsid w:val="002E5C63"/>
    <w:rsid w:val="00307C1B"/>
    <w:rsid w:val="003126CD"/>
    <w:rsid w:val="003172DC"/>
    <w:rsid w:val="00343919"/>
    <w:rsid w:val="0035462D"/>
    <w:rsid w:val="00356555"/>
    <w:rsid w:val="0036100B"/>
    <w:rsid w:val="00362199"/>
    <w:rsid w:val="003765B8"/>
    <w:rsid w:val="00387095"/>
    <w:rsid w:val="003A3613"/>
    <w:rsid w:val="003A398C"/>
    <w:rsid w:val="003B2FE6"/>
    <w:rsid w:val="003C3971"/>
    <w:rsid w:val="003C7C12"/>
    <w:rsid w:val="003D3DE1"/>
    <w:rsid w:val="00414538"/>
    <w:rsid w:val="00423334"/>
    <w:rsid w:val="004249C7"/>
    <w:rsid w:val="004345EC"/>
    <w:rsid w:val="00447CF6"/>
    <w:rsid w:val="00453653"/>
    <w:rsid w:val="00454787"/>
    <w:rsid w:val="00465515"/>
    <w:rsid w:val="00470E64"/>
    <w:rsid w:val="00490254"/>
    <w:rsid w:val="0049751D"/>
    <w:rsid w:val="004B53FE"/>
    <w:rsid w:val="004B75D7"/>
    <w:rsid w:val="004C30AC"/>
    <w:rsid w:val="004D3578"/>
    <w:rsid w:val="004E213A"/>
    <w:rsid w:val="004F0988"/>
    <w:rsid w:val="004F3340"/>
    <w:rsid w:val="0053388B"/>
    <w:rsid w:val="00535773"/>
    <w:rsid w:val="00536ABA"/>
    <w:rsid w:val="00543E6C"/>
    <w:rsid w:val="00545CB7"/>
    <w:rsid w:val="00565087"/>
    <w:rsid w:val="0059777F"/>
    <w:rsid w:val="00597B11"/>
    <w:rsid w:val="005B4252"/>
    <w:rsid w:val="005C0251"/>
    <w:rsid w:val="005D2E01"/>
    <w:rsid w:val="005D7526"/>
    <w:rsid w:val="005E4BB2"/>
    <w:rsid w:val="005F788A"/>
    <w:rsid w:val="00602AEA"/>
    <w:rsid w:val="00602FBE"/>
    <w:rsid w:val="00614FDF"/>
    <w:rsid w:val="00615327"/>
    <w:rsid w:val="00622A13"/>
    <w:rsid w:val="0063543D"/>
    <w:rsid w:val="006436FD"/>
    <w:rsid w:val="00647114"/>
    <w:rsid w:val="00667B60"/>
    <w:rsid w:val="00690D50"/>
    <w:rsid w:val="006912E9"/>
    <w:rsid w:val="00692CFF"/>
    <w:rsid w:val="006A323F"/>
    <w:rsid w:val="006B30D0"/>
    <w:rsid w:val="006C3D95"/>
    <w:rsid w:val="006E5C86"/>
    <w:rsid w:val="006F454E"/>
    <w:rsid w:val="006F5E83"/>
    <w:rsid w:val="006F6070"/>
    <w:rsid w:val="00701116"/>
    <w:rsid w:val="00702E4A"/>
    <w:rsid w:val="0071174C"/>
    <w:rsid w:val="00713C44"/>
    <w:rsid w:val="00724D7A"/>
    <w:rsid w:val="00734A5B"/>
    <w:rsid w:val="0074026F"/>
    <w:rsid w:val="007429F6"/>
    <w:rsid w:val="00744E76"/>
    <w:rsid w:val="007533C9"/>
    <w:rsid w:val="00764FFB"/>
    <w:rsid w:val="00765EA3"/>
    <w:rsid w:val="00774DA4"/>
    <w:rsid w:val="00781F0F"/>
    <w:rsid w:val="007955CE"/>
    <w:rsid w:val="007A768A"/>
    <w:rsid w:val="007B600E"/>
    <w:rsid w:val="007B625F"/>
    <w:rsid w:val="007D5803"/>
    <w:rsid w:val="007D739D"/>
    <w:rsid w:val="007F0F4A"/>
    <w:rsid w:val="007F34B2"/>
    <w:rsid w:val="008028A4"/>
    <w:rsid w:val="008142F3"/>
    <w:rsid w:val="00820272"/>
    <w:rsid w:val="008209FC"/>
    <w:rsid w:val="00826072"/>
    <w:rsid w:val="00830747"/>
    <w:rsid w:val="0084101A"/>
    <w:rsid w:val="008420AE"/>
    <w:rsid w:val="00843E09"/>
    <w:rsid w:val="008768CA"/>
    <w:rsid w:val="008821C2"/>
    <w:rsid w:val="008C0CBA"/>
    <w:rsid w:val="008C232B"/>
    <w:rsid w:val="008C384C"/>
    <w:rsid w:val="008E2D68"/>
    <w:rsid w:val="008E6756"/>
    <w:rsid w:val="008F069B"/>
    <w:rsid w:val="0090080D"/>
    <w:rsid w:val="0090271F"/>
    <w:rsid w:val="00902E23"/>
    <w:rsid w:val="009114D7"/>
    <w:rsid w:val="0091348E"/>
    <w:rsid w:val="00917CCB"/>
    <w:rsid w:val="00930F73"/>
    <w:rsid w:val="00933FB0"/>
    <w:rsid w:val="00942EC2"/>
    <w:rsid w:val="0094626E"/>
    <w:rsid w:val="00956046"/>
    <w:rsid w:val="0098361B"/>
    <w:rsid w:val="00984BA1"/>
    <w:rsid w:val="009A1F59"/>
    <w:rsid w:val="009A752C"/>
    <w:rsid w:val="009B24F8"/>
    <w:rsid w:val="009B2747"/>
    <w:rsid w:val="009B526B"/>
    <w:rsid w:val="009C2262"/>
    <w:rsid w:val="009E275F"/>
    <w:rsid w:val="009F37B7"/>
    <w:rsid w:val="00A1009E"/>
    <w:rsid w:val="00A10F02"/>
    <w:rsid w:val="00A11D15"/>
    <w:rsid w:val="00A164B4"/>
    <w:rsid w:val="00A22783"/>
    <w:rsid w:val="00A24CA8"/>
    <w:rsid w:val="00A26956"/>
    <w:rsid w:val="00A27486"/>
    <w:rsid w:val="00A53724"/>
    <w:rsid w:val="00A56066"/>
    <w:rsid w:val="00A73129"/>
    <w:rsid w:val="00A804E7"/>
    <w:rsid w:val="00A82346"/>
    <w:rsid w:val="00A84EF8"/>
    <w:rsid w:val="00A92BA1"/>
    <w:rsid w:val="00A95A32"/>
    <w:rsid w:val="00AB4A5D"/>
    <w:rsid w:val="00AC011C"/>
    <w:rsid w:val="00AC6BC6"/>
    <w:rsid w:val="00AE65E2"/>
    <w:rsid w:val="00AF11B4"/>
    <w:rsid w:val="00AF1460"/>
    <w:rsid w:val="00B10090"/>
    <w:rsid w:val="00B15449"/>
    <w:rsid w:val="00B1654A"/>
    <w:rsid w:val="00B17888"/>
    <w:rsid w:val="00B30E9F"/>
    <w:rsid w:val="00B35B46"/>
    <w:rsid w:val="00B37551"/>
    <w:rsid w:val="00B40E16"/>
    <w:rsid w:val="00B4131C"/>
    <w:rsid w:val="00B55F68"/>
    <w:rsid w:val="00B627CA"/>
    <w:rsid w:val="00B70477"/>
    <w:rsid w:val="00B72DC4"/>
    <w:rsid w:val="00B93086"/>
    <w:rsid w:val="00BA19ED"/>
    <w:rsid w:val="00BA45A8"/>
    <w:rsid w:val="00BA4B8D"/>
    <w:rsid w:val="00BC0F7D"/>
    <w:rsid w:val="00BC1F24"/>
    <w:rsid w:val="00BD7D31"/>
    <w:rsid w:val="00BE2231"/>
    <w:rsid w:val="00BE3255"/>
    <w:rsid w:val="00BF128E"/>
    <w:rsid w:val="00C05006"/>
    <w:rsid w:val="00C05485"/>
    <w:rsid w:val="00C055D7"/>
    <w:rsid w:val="00C074DD"/>
    <w:rsid w:val="00C1496A"/>
    <w:rsid w:val="00C33079"/>
    <w:rsid w:val="00C41110"/>
    <w:rsid w:val="00C45231"/>
    <w:rsid w:val="00C551FF"/>
    <w:rsid w:val="00C72833"/>
    <w:rsid w:val="00C80F1D"/>
    <w:rsid w:val="00C91962"/>
    <w:rsid w:val="00C93F40"/>
    <w:rsid w:val="00CA1DF6"/>
    <w:rsid w:val="00CA33D4"/>
    <w:rsid w:val="00CA3D0C"/>
    <w:rsid w:val="00CB19E9"/>
    <w:rsid w:val="00CB70CB"/>
    <w:rsid w:val="00CC3C19"/>
    <w:rsid w:val="00CD4626"/>
    <w:rsid w:val="00CD4924"/>
    <w:rsid w:val="00CE4A0C"/>
    <w:rsid w:val="00D11B70"/>
    <w:rsid w:val="00D57972"/>
    <w:rsid w:val="00D675A9"/>
    <w:rsid w:val="00D738D6"/>
    <w:rsid w:val="00D755EB"/>
    <w:rsid w:val="00D76048"/>
    <w:rsid w:val="00D82E6F"/>
    <w:rsid w:val="00D87D22"/>
    <w:rsid w:val="00D87E00"/>
    <w:rsid w:val="00D9134D"/>
    <w:rsid w:val="00D918B2"/>
    <w:rsid w:val="00DA7A03"/>
    <w:rsid w:val="00DB1818"/>
    <w:rsid w:val="00DB6259"/>
    <w:rsid w:val="00DC309B"/>
    <w:rsid w:val="00DC4DA2"/>
    <w:rsid w:val="00DD4C17"/>
    <w:rsid w:val="00DD74A5"/>
    <w:rsid w:val="00DE2B74"/>
    <w:rsid w:val="00DF2B1F"/>
    <w:rsid w:val="00DF62CD"/>
    <w:rsid w:val="00E16509"/>
    <w:rsid w:val="00E30893"/>
    <w:rsid w:val="00E44582"/>
    <w:rsid w:val="00E77645"/>
    <w:rsid w:val="00E93F69"/>
    <w:rsid w:val="00EA15B0"/>
    <w:rsid w:val="00EA5EA7"/>
    <w:rsid w:val="00EC0FE7"/>
    <w:rsid w:val="00EC4A25"/>
    <w:rsid w:val="00EC7781"/>
    <w:rsid w:val="00ED2B12"/>
    <w:rsid w:val="00ED607B"/>
    <w:rsid w:val="00EF608C"/>
    <w:rsid w:val="00F025A2"/>
    <w:rsid w:val="00F04712"/>
    <w:rsid w:val="00F070F5"/>
    <w:rsid w:val="00F13360"/>
    <w:rsid w:val="00F22EC7"/>
    <w:rsid w:val="00F325C8"/>
    <w:rsid w:val="00F34DA5"/>
    <w:rsid w:val="00F47B99"/>
    <w:rsid w:val="00F653B8"/>
    <w:rsid w:val="00F9008D"/>
    <w:rsid w:val="00FA1266"/>
    <w:rsid w:val="00FB3692"/>
    <w:rsid w:val="00FB742B"/>
    <w:rsid w:val="00FC1192"/>
    <w:rsid w:val="00FD4BD2"/>
    <w:rsid w:val="00FE1528"/>
    <w:rsid w:val="00FE22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 w:type="character" w:customStyle="1" w:styleId="B1Char">
    <w:name w:val="B1 Char"/>
    <w:locked/>
    <w:rsid w:val="00FB742B"/>
    <w:rPr>
      <w:rFonts w:ascii="Times New Roman" w:hAnsi="Times New Roman"/>
      <w:noProof/>
      <w:lang w:val="en-GB" w:eastAsia="en-US"/>
    </w:rPr>
  </w:style>
  <w:style w:type="paragraph" w:styleId="Caption">
    <w:name w:val="caption"/>
    <w:basedOn w:val="Normal"/>
    <w:next w:val="Normal"/>
    <w:unhideWhenUsed/>
    <w:qFormat/>
    <w:rsid w:val="00FB742B"/>
    <w:pPr>
      <w:spacing w:after="200"/>
    </w:pPr>
    <w:rPr>
      <w:i/>
      <w:iCs/>
      <w:color w:val="44546A" w:themeColor="text2"/>
      <w:sz w:val="18"/>
      <w:szCs w:val="18"/>
    </w:rPr>
  </w:style>
  <w:style w:type="paragraph" w:styleId="ListParagraph">
    <w:name w:val="List Paragraph"/>
    <w:basedOn w:val="Normal"/>
    <w:uiPriority w:val="34"/>
    <w:qFormat/>
    <w:rsid w:val="00FB742B"/>
    <w:pPr>
      <w:ind w:left="720"/>
      <w:contextualSpacing/>
    </w:pPr>
  </w:style>
  <w:style w:type="character" w:customStyle="1" w:styleId="TFChar">
    <w:name w:val="TF Char"/>
    <w:link w:val="TF"/>
    <w:locked/>
    <w:rsid w:val="00FB742B"/>
    <w:rPr>
      <w:rFonts w:ascii="Arial" w:hAnsi="Arial"/>
      <w:b/>
      <w:lang w:eastAsia="en-US"/>
    </w:rPr>
  </w:style>
  <w:style w:type="character" w:customStyle="1" w:styleId="THChar">
    <w:name w:val="TH Char"/>
    <w:link w:val="TH"/>
    <w:locked/>
    <w:rsid w:val="001D4652"/>
    <w:rPr>
      <w:rFonts w:ascii="Arial" w:hAnsi="Arial"/>
      <w:b/>
      <w:lang w:eastAsia="en-US"/>
    </w:rPr>
  </w:style>
  <w:style w:type="character" w:styleId="CommentReference">
    <w:name w:val="annotation reference"/>
    <w:basedOn w:val="DefaultParagraphFont"/>
    <w:rsid w:val="0059777F"/>
    <w:rPr>
      <w:sz w:val="21"/>
      <w:szCs w:val="21"/>
    </w:rPr>
  </w:style>
  <w:style w:type="paragraph" w:styleId="CommentText">
    <w:name w:val="annotation text"/>
    <w:basedOn w:val="Normal"/>
    <w:link w:val="CommentTextChar"/>
    <w:rsid w:val="0059777F"/>
  </w:style>
  <w:style w:type="character" w:customStyle="1" w:styleId="CommentTextChar">
    <w:name w:val="Comment Text Char"/>
    <w:basedOn w:val="DefaultParagraphFont"/>
    <w:link w:val="CommentText"/>
    <w:rsid w:val="0059777F"/>
    <w:rPr>
      <w:lang w:eastAsia="en-US"/>
    </w:rPr>
  </w:style>
  <w:style w:type="paragraph" w:styleId="CommentSubject">
    <w:name w:val="annotation subject"/>
    <w:basedOn w:val="CommentText"/>
    <w:next w:val="CommentText"/>
    <w:link w:val="CommentSubjectChar"/>
    <w:rsid w:val="0059777F"/>
    <w:rPr>
      <w:b/>
      <w:bCs/>
    </w:rPr>
  </w:style>
  <w:style w:type="character" w:customStyle="1" w:styleId="CommentSubjectChar">
    <w:name w:val="Comment Subject Char"/>
    <w:basedOn w:val="CommentTextChar"/>
    <w:link w:val="CommentSubject"/>
    <w:rsid w:val="0059777F"/>
    <w:rPr>
      <w:b/>
      <w:bCs/>
      <w:lang w:eastAsia="en-US"/>
    </w:rPr>
  </w:style>
  <w:style w:type="character" w:customStyle="1" w:styleId="B2Char">
    <w:name w:val="B2 Char"/>
    <w:link w:val="B2"/>
    <w:rsid w:val="00B40E16"/>
    <w:rPr>
      <w:lang w:eastAsia="en-US"/>
    </w:rPr>
  </w:style>
  <w:style w:type="paragraph" w:styleId="Bibliography">
    <w:name w:val="Bibliography"/>
    <w:basedOn w:val="Normal"/>
    <w:next w:val="Normal"/>
    <w:uiPriority w:val="37"/>
    <w:semiHidden/>
    <w:unhideWhenUsed/>
    <w:rsid w:val="009B24F8"/>
  </w:style>
  <w:style w:type="paragraph" w:styleId="BlockText">
    <w:name w:val="Block Text"/>
    <w:basedOn w:val="Normal"/>
    <w:rsid w:val="009B24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9B24F8"/>
    <w:pPr>
      <w:spacing w:after="120"/>
    </w:pPr>
  </w:style>
  <w:style w:type="character" w:customStyle="1" w:styleId="BodyTextChar">
    <w:name w:val="Body Text Char"/>
    <w:basedOn w:val="DefaultParagraphFont"/>
    <w:link w:val="BodyText"/>
    <w:rsid w:val="009B24F8"/>
    <w:rPr>
      <w:lang w:eastAsia="en-US"/>
    </w:rPr>
  </w:style>
  <w:style w:type="paragraph" w:styleId="BodyText2">
    <w:name w:val="Body Text 2"/>
    <w:basedOn w:val="Normal"/>
    <w:link w:val="BodyText2Char"/>
    <w:rsid w:val="009B24F8"/>
    <w:pPr>
      <w:spacing w:after="120" w:line="480" w:lineRule="auto"/>
    </w:pPr>
  </w:style>
  <w:style w:type="character" w:customStyle="1" w:styleId="BodyText2Char">
    <w:name w:val="Body Text 2 Char"/>
    <w:basedOn w:val="DefaultParagraphFont"/>
    <w:link w:val="BodyText2"/>
    <w:rsid w:val="009B24F8"/>
    <w:rPr>
      <w:lang w:eastAsia="en-US"/>
    </w:rPr>
  </w:style>
  <w:style w:type="paragraph" w:styleId="BodyText3">
    <w:name w:val="Body Text 3"/>
    <w:basedOn w:val="Normal"/>
    <w:link w:val="BodyText3Char"/>
    <w:rsid w:val="009B24F8"/>
    <w:pPr>
      <w:spacing w:after="120"/>
    </w:pPr>
    <w:rPr>
      <w:sz w:val="16"/>
      <w:szCs w:val="16"/>
    </w:rPr>
  </w:style>
  <w:style w:type="character" w:customStyle="1" w:styleId="BodyText3Char">
    <w:name w:val="Body Text 3 Char"/>
    <w:basedOn w:val="DefaultParagraphFont"/>
    <w:link w:val="BodyText3"/>
    <w:rsid w:val="009B24F8"/>
    <w:rPr>
      <w:sz w:val="16"/>
      <w:szCs w:val="16"/>
      <w:lang w:eastAsia="en-US"/>
    </w:rPr>
  </w:style>
  <w:style w:type="paragraph" w:styleId="BodyTextFirstIndent">
    <w:name w:val="Body Text First Indent"/>
    <w:basedOn w:val="BodyText"/>
    <w:link w:val="BodyTextFirstIndentChar"/>
    <w:rsid w:val="009B24F8"/>
    <w:pPr>
      <w:spacing w:after="180"/>
      <w:ind w:firstLine="360"/>
    </w:pPr>
  </w:style>
  <w:style w:type="character" w:customStyle="1" w:styleId="BodyTextFirstIndentChar">
    <w:name w:val="Body Text First Indent Char"/>
    <w:basedOn w:val="BodyTextChar"/>
    <w:link w:val="BodyTextFirstIndent"/>
    <w:rsid w:val="009B24F8"/>
    <w:rPr>
      <w:lang w:eastAsia="en-US"/>
    </w:rPr>
  </w:style>
  <w:style w:type="paragraph" w:styleId="BodyTextIndent">
    <w:name w:val="Body Text Indent"/>
    <w:basedOn w:val="Normal"/>
    <w:link w:val="BodyTextIndentChar"/>
    <w:rsid w:val="009B24F8"/>
    <w:pPr>
      <w:spacing w:after="120"/>
      <w:ind w:left="283"/>
    </w:pPr>
  </w:style>
  <w:style w:type="character" w:customStyle="1" w:styleId="BodyTextIndentChar">
    <w:name w:val="Body Text Indent Char"/>
    <w:basedOn w:val="DefaultParagraphFont"/>
    <w:link w:val="BodyTextIndent"/>
    <w:rsid w:val="009B24F8"/>
    <w:rPr>
      <w:lang w:eastAsia="en-US"/>
    </w:rPr>
  </w:style>
  <w:style w:type="paragraph" w:styleId="BodyTextFirstIndent2">
    <w:name w:val="Body Text First Indent 2"/>
    <w:basedOn w:val="BodyTextIndent"/>
    <w:link w:val="BodyTextFirstIndent2Char"/>
    <w:rsid w:val="009B24F8"/>
    <w:pPr>
      <w:spacing w:after="180"/>
      <w:ind w:left="360" w:firstLine="360"/>
    </w:pPr>
  </w:style>
  <w:style w:type="character" w:customStyle="1" w:styleId="BodyTextFirstIndent2Char">
    <w:name w:val="Body Text First Indent 2 Char"/>
    <w:basedOn w:val="BodyTextIndentChar"/>
    <w:link w:val="BodyTextFirstIndent2"/>
    <w:rsid w:val="009B24F8"/>
    <w:rPr>
      <w:lang w:eastAsia="en-US"/>
    </w:rPr>
  </w:style>
  <w:style w:type="paragraph" w:styleId="BodyTextIndent2">
    <w:name w:val="Body Text Indent 2"/>
    <w:basedOn w:val="Normal"/>
    <w:link w:val="BodyTextIndent2Char"/>
    <w:rsid w:val="009B24F8"/>
    <w:pPr>
      <w:spacing w:after="120" w:line="480" w:lineRule="auto"/>
      <w:ind w:left="283"/>
    </w:pPr>
  </w:style>
  <w:style w:type="character" w:customStyle="1" w:styleId="BodyTextIndent2Char">
    <w:name w:val="Body Text Indent 2 Char"/>
    <w:basedOn w:val="DefaultParagraphFont"/>
    <w:link w:val="BodyTextIndent2"/>
    <w:rsid w:val="009B24F8"/>
    <w:rPr>
      <w:lang w:eastAsia="en-US"/>
    </w:rPr>
  </w:style>
  <w:style w:type="paragraph" w:styleId="BodyTextIndent3">
    <w:name w:val="Body Text Indent 3"/>
    <w:basedOn w:val="Normal"/>
    <w:link w:val="BodyTextIndent3Char"/>
    <w:rsid w:val="009B24F8"/>
    <w:pPr>
      <w:spacing w:after="120"/>
      <w:ind w:left="283"/>
    </w:pPr>
    <w:rPr>
      <w:sz w:val="16"/>
      <w:szCs w:val="16"/>
    </w:rPr>
  </w:style>
  <w:style w:type="character" w:customStyle="1" w:styleId="BodyTextIndent3Char">
    <w:name w:val="Body Text Indent 3 Char"/>
    <w:basedOn w:val="DefaultParagraphFont"/>
    <w:link w:val="BodyTextIndent3"/>
    <w:rsid w:val="009B24F8"/>
    <w:rPr>
      <w:sz w:val="16"/>
      <w:szCs w:val="16"/>
      <w:lang w:eastAsia="en-US"/>
    </w:rPr>
  </w:style>
  <w:style w:type="paragraph" w:styleId="Closing">
    <w:name w:val="Closing"/>
    <w:basedOn w:val="Normal"/>
    <w:link w:val="ClosingChar"/>
    <w:rsid w:val="009B24F8"/>
    <w:pPr>
      <w:spacing w:after="0"/>
      <w:ind w:left="4252"/>
    </w:pPr>
  </w:style>
  <w:style w:type="character" w:customStyle="1" w:styleId="ClosingChar">
    <w:name w:val="Closing Char"/>
    <w:basedOn w:val="DefaultParagraphFont"/>
    <w:link w:val="Closing"/>
    <w:rsid w:val="009B24F8"/>
    <w:rPr>
      <w:lang w:eastAsia="en-US"/>
    </w:rPr>
  </w:style>
  <w:style w:type="paragraph" w:styleId="Date">
    <w:name w:val="Date"/>
    <w:basedOn w:val="Normal"/>
    <w:next w:val="Normal"/>
    <w:link w:val="DateChar"/>
    <w:rsid w:val="009B24F8"/>
  </w:style>
  <w:style w:type="character" w:customStyle="1" w:styleId="DateChar">
    <w:name w:val="Date Char"/>
    <w:basedOn w:val="DefaultParagraphFont"/>
    <w:link w:val="Date"/>
    <w:rsid w:val="009B24F8"/>
    <w:rPr>
      <w:lang w:eastAsia="en-US"/>
    </w:rPr>
  </w:style>
  <w:style w:type="paragraph" w:styleId="DocumentMap">
    <w:name w:val="Document Map"/>
    <w:basedOn w:val="Normal"/>
    <w:link w:val="DocumentMapChar"/>
    <w:rsid w:val="009B24F8"/>
    <w:pPr>
      <w:spacing w:after="0"/>
    </w:pPr>
    <w:rPr>
      <w:rFonts w:ascii="Segoe UI" w:hAnsi="Segoe UI" w:cs="Segoe UI"/>
      <w:sz w:val="16"/>
      <w:szCs w:val="16"/>
    </w:rPr>
  </w:style>
  <w:style w:type="character" w:customStyle="1" w:styleId="DocumentMapChar">
    <w:name w:val="Document Map Char"/>
    <w:basedOn w:val="DefaultParagraphFont"/>
    <w:link w:val="DocumentMap"/>
    <w:rsid w:val="009B24F8"/>
    <w:rPr>
      <w:rFonts w:ascii="Segoe UI" w:hAnsi="Segoe UI" w:cs="Segoe UI"/>
      <w:sz w:val="16"/>
      <w:szCs w:val="16"/>
      <w:lang w:eastAsia="en-US"/>
    </w:rPr>
  </w:style>
  <w:style w:type="paragraph" w:styleId="E-mailSignature">
    <w:name w:val="E-mail Signature"/>
    <w:basedOn w:val="Normal"/>
    <w:link w:val="E-mailSignatureChar"/>
    <w:rsid w:val="009B24F8"/>
    <w:pPr>
      <w:spacing w:after="0"/>
    </w:pPr>
  </w:style>
  <w:style w:type="character" w:customStyle="1" w:styleId="E-mailSignatureChar">
    <w:name w:val="E-mail Signature Char"/>
    <w:basedOn w:val="DefaultParagraphFont"/>
    <w:link w:val="E-mailSignature"/>
    <w:rsid w:val="009B24F8"/>
    <w:rPr>
      <w:lang w:eastAsia="en-US"/>
    </w:rPr>
  </w:style>
  <w:style w:type="paragraph" w:styleId="EndnoteText">
    <w:name w:val="endnote text"/>
    <w:basedOn w:val="Normal"/>
    <w:link w:val="EndnoteTextChar"/>
    <w:rsid w:val="009B24F8"/>
    <w:pPr>
      <w:spacing w:after="0"/>
    </w:pPr>
  </w:style>
  <w:style w:type="character" w:customStyle="1" w:styleId="EndnoteTextChar">
    <w:name w:val="Endnote Text Char"/>
    <w:basedOn w:val="DefaultParagraphFont"/>
    <w:link w:val="EndnoteText"/>
    <w:rsid w:val="009B24F8"/>
    <w:rPr>
      <w:lang w:eastAsia="en-US"/>
    </w:rPr>
  </w:style>
  <w:style w:type="paragraph" w:styleId="EnvelopeAddress">
    <w:name w:val="envelope address"/>
    <w:basedOn w:val="Normal"/>
    <w:rsid w:val="009B24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B24F8"/>
    <w:pPr>
      <w:spacing w:after="0"/>
    </w:pPr>
    <w:rPr>
      <w:rFonts w:asciiTheme="majorHAnsi" w:eastAsiaTheme="majorEastAsia" w:hAnsiTheme="majorHAnsi" w:cstheme="majorBidi"/>
    </w:rPr>
  </w:style>
  <w:style w:type="paragraph" w:styleId="FootnoteText">
    <w:name w:val="footnote text"/>
    <w:basedOn w:val="Normal"/>
    <w:link w:val="FootnoteTextChar"/>
    <w:rsid w:val="009B24F8"/>
    <w:pPr>
      <w:spacing w:after="0"/>
    </w:pPr>
  </w:style>
  <w:style w:type="character" w:customStyle="1" w:styleId="FootnoteTextChar">
    <w:name w:val="Footnote Text Char"/>
    <w:basedOn w:val="DefaultParagraphFont"/>
    <w:link w:val="FootnoteText"/>
    <w:rsid w:val="009B24F8"/>
    <w:rPr>
      <w:lang w:eastAsia="en-US"/>
    </w:rPr>
  </w:style>
  <w:style w:type="paragraph" w:styleId="HTMLAddress">
    <w:name w:val="HTML Address"/>
    <w:basedOn w:val="Normal"/>
    <w:link w:val="HTMLAddressChar"/>
    <w:rsid w:val="009B24F8"/>
    <w:pPr>
      <w:spacing w:after="0"/>
    </w:pPr>
    <w:rPr>
      <w:i/>
      <w:iCs/>
    </w:rPr>
  </w:style>
  <w:style w:type="character" w:customStyle="1" w:styleId="HTMLAddressChar">
    <w:name w:val="HTML Address Char"/>
    <w:basedOn w:val="DefaultParagraphFont"/>
    <w:link w:val="HTMLAddress"/>
    <w:rsid w:val="009B24F8"/>
    <w:rPr>
      <w:i/>
      <w:iCs/>
      <w:lang w:eastAsia="en-US"/>
    </w:rPr>
  </w:style>
  <w:style w:type="paragraph" w:styleId="HTMLPreformatted">
    <w:name w:val="HTML Preformatted"/>
    <w:basedOn w:val="Normal"/>
    <w:link w:val="HTMLPreformattedChar"/>
    <w:rsid w:val="009B24F8"/>
    <w:pPr>
      <w:spacing w:after="0"/>
    </w:pPr>
    <w:rPr>
      <w:rFonts w:ascii="Consolas" w:hAnsi="Consolas"/>
    </w:rPr>
  </w:style>
  <w:style w:type="character" w:customStyle="1" w:styleId="HTMLPreformattedChar">
    <w:name w:val="HTML Preformatted Char"/>
    <w:basedOn w:val="DefaultParagraphFont"/>
    <w:link w:val="HTMLPreformatted"/>
    <w:rsid w:val="009B24F8"/>
    <w:rPr>
      <w:rFonts w:ascii="Consolas" w:hAnsi="Consolas"/>
      <w:lang w:eastAsia="en-US"/>
    </w:rPr>
  </w:style>
  <w:style w:type="paragraph" w:styleId="Index1">
    <w:name w:val="index 1"/>
    <w:basedOn w:val="Normal"/>
    <w:next w:val="Normal"/>
    <w:rsid w:val="009B24F8"/>
    <w:pPr>
      <w:spacing w:after="0"/>
      <w:ind w:left="200" w:hanging="200"/>
    </w:pPr>
  </w:style>
  <w:style w:type="paragraph" w:styleId="Index2">
    <w:name w:val="index 2"/>
    <w:basedOn w:val="Normal"/>
    <w:next w:val="Normal"/>
    <w:rsid w:val="009B24F8"/>
    <w:pPr>
      <w:spacing w:after="0"/>
      <w:ind w:left="400" w:hanging="200"/>
    </w:pPr>
  </w:style>
  <w:style w:type="paragraph" w:styleId="Index3">
    <w:name w:val="index 3"/>
    <w:basedOn w:val="Normal"/>
    <w:next w:val="Normal"/>
    <w:rsid w:val="009B24F8"/>
    <w:pPr>
      <w:spacing w:after="0"/>
      <w:ind w:left="600" w:hanging="200"/>
    </w:pPr>
  </w:style>
  <w:style w:type="paragraph" w:styleId="Index4">
    <w:name w:val="index 4"/>
    <w:basedOn w:val="Normal"/>
    <w:next w:val="Normal"/>
    <w:rsid w:val="009B24F8"/>
    <w:pPr>
      <w:spacing w:after="0"/>
      <w:ind w:left="800" w:hanging="200"/>
    </w:pPr>
  </w:style>
  <w:style w:type="paragraph" w:styleId="Index5">
    <w:name w:val="index 5"/>
    <w:basedOn w:val="Normal"/>
    <w:next w:val="Normal"/>
    <w:rsid w:val="009B24F8"/>
    <w:pPr>
      <w:spacing w:after="0"/>
      <w:ind w:left="1000" w:hanging="200"/>
    </w:pPr>
  </w:style>
  <w:style w:type="paragraph" w:styleId="Index6">
    <w:name w:val="index 6"/>
    <w:basedOn w:val="Normal"/>
    <w:next w:val="Normal"/>
    <w:rsid w:val="009B24F8"/>
    <w:pPr>
      <w:spacing w:after="0"/>
      <w:ind w:left="1200" w:hanging="200"/>
    </w:pPr>
  </w:style>
  <w:style w:type="paragraph" w:styleId="Index7">
    <w:name w:val="index 7"/>
    <w:basedOn w:val="Normal"/>
    <w:next w:val="Normal"/>
    <w:rsid w:val="009B24F8"/>
    <w:pPr>
      <w:spacing w:after="0"/>
      <w:ind w:left="1400" w:hanging="200"/>
    </w:pPr>
  </w:style>
  <w:style w:type="paragraph" w:styleId="Index8">
    <w:name w:val="index 8"/>
    <w:basedOn w:val="Normal"/>
    <w:next w:val="Normal"/>
    <w:rsid w:val="009B24F8"/>
    <w:pPr>
      <w:spacing w:after="0"/>
      <w:ind w:left="1600" w:hanging="200"/>
    </w:pPr>
  </w:style>
  <w:style w:type="paragraph" w:styleId="Index9">
    <w:name w:val="index 9"/>
    <w:basedOn w:val="Normal"/>
    <w:next w:val="Normal"/>
    <w:rsid w:val="009B24F8"/>
    <w:pPr>
      <w:spacing w:after="0"/>
      <w:ind w:left="1800" w:hanging="200"/>
    </w:pPr>
  </w:style>
  <w:style w:type="paragraph" w:styleId="IndexHeading">
    <w:name w:val="index heading"/>
    <w:basedOn w:val="Normal"/>
    <w:next w:val="Index1"/>
    <w:rsid w:val="009B24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24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24F8"/>
    <w:rPr>
      <w:i/>
      <w:iCs/>
      <w:color w:val="4472C4" w:themeColor="accent1"/>
      <w:lang w:eastAsia="en-US"/>
    </w:rPr>
  </w:style>
  <w:style w:type="paragraph" w:styleId="List">
    <w:name w:val="List"/>
    <w:basedOn w:val="Normal"/>
    <w:rsid w:val="009B24F8"/>
    <w:pPr>
      <w:ind w:left="283" w:hanging="283"/>
      <w:contextualSpacing/>
    </w:pPr>
  </w:style>
  <w:style w:type="paragraph" w:styleId="List2">
    <w:name w:val="List 2"/>
    <w:basedOn w:val="Normal"/>
    <w:rsid w:val="009B24F8"/>
    <w:pPr>
      <w:ind w:left="566" w:hanging="283"/>
      <w:contextualSpacing/>
    </w:pPr>
  </w:style>
  <w:style w:type="paragraph" w:styleId="List3">
    <w:name w:val="List 3"/>
    <w:basedOn w:val="Normal"/>
    <w:rsid w:val="009B24F8"/>
    <w:pPr>
      <w:ind w:left="849" w:hanging="283"/>
      <w:contextualSpacing/>
    </w:pPr>
  </w:style>
  <w:style w:type="paragraph" w:styleId="List4">
    <w:name w:val="List 4"/>
    <w:basedOn w:val="Normal"/>
    <w:rsid w:val="009B24F8"/>
    <w:pPr>
      <w:ind w:left="1132" w:hanging="283"/>
      <w:contextualSpacing/>
    </w:pPr>
  </w:style>
  <w:style w:type="paragraph" w:styleId="List5">
    <w:name w:val="List 5"/>
    <w:basedOn w:val="Normal"/>
    <w:rsid w:val="009B24F8"/>
    <w:pPr>
      <w:ind w:left="1415" w:hanging="283"/>
      <w:contextualSpacing/>
    </w:pPr>
  </w:style>
  <w:style w:type="paragraph" w:styleId="ListBullet">
    <w:name w:val="List Bullet"/>
    <w:basedOn w:val="Normal"/>
    <w:rsid w:val="009B24F8"/>
    <w:pPr>
      <w:numPr>
        <w:numId w:val="9"/>
      </w:numPr>
      <w:contextualSpacing/>
    </w:pPr>
  </w:style>
  <w:style w:type="paragraph" w:styleId="ListBullet2">
    <w:name w:val="List Bullet 2"/>
    <w:basedOn w:val="Normal"/>
    <w:rsid w:val="009B24F8"/>
    <w:pPr>
      <w:numPr>
        <w:numId w:val="10"/>
      </w:numPr>
      <w:contextualSpacing/>
    </w:pPr>
  </w:style>
  <w:style w:type="paragraph" w:styleId="ListBullet3">
    <w:name w:val="List Bullet 3"/>
    <w:basedOn w:val="Normal"/>
    <w:rsid w:val="009B24F8"/>
    <w:pPr>
      <w:numPr>
        <w:numId w:val="11"/>
      </w:numPr>
      <w:contextualSpacing/>
    </w:pPr>
  </w:style>
  <w:style w:type="paragraph" w:styleId="ListBullet4">
    <w:name w:val="List Bullet 4"/>
    <w:basedOn w:val="Normal"/>
    <w:rsid w:val="009B24F8"/>
    <w:pPr>
      <w:numPr>
        <w:numId w:val="12"/>
      </w:numPr>
      <w:contextualSpacing/>
    </w:pPr>
  </w:style>
  <w:style w:type="paragraph" w:styleId="ListBullet5">
    <w:name w:val="List Bullet 5"/>
    <w:basedOn w:val="Normal"/>
    <w:rsid w:val="009B24F8"/>
    <w:pPr>
      <w:numPr>
        <w:numId w:val="13"/>
      </w:numPr>
      <w:contextualSpacing/>
    </w:pPr>
  </w:style>
  <w:style w:type="paragraph" w:styleId="ListContinue">
    <w:name w:val="List Continue"/>
    <w:basedOn w:val="Normal"/>
    <w:rsid w:val="009B24F8"/>
    <w:pPr>
      <w:spacing w:after="120"/>
      <w:ind w:left="283"/>
      <w:contextualSpacing/>
    </w:pPr>
  </w:style>
  <w:style w:type="paragraph" w:styleId="ListContinue2">
    <w:name w:val="List Continue 2"/>
    <w:basedOn w:val="Normal"/>
    <w:rsid w:val="009B24F8"/>
    <w:pPr>
      <w:spacing w:after="120"/>
      <w:ind w:left="566"/>
      <w:contextualSpacing/>
    </w:pPr>
  </w:style>
  <w:style w:type="paragraph" w:styleId="ListContinue3">
    <w:name w:val="List Continue 3"/>
    <w:basedOn w:val="Normal"/>
    <w:rsid w:val="009B24F8"/>
    <w:pPr>
      <w:spacing w:after="120"/>
      <w:ind w:left="849"/>
      <w:contextualSpacing/>
    </w:pPr>
  </w:style>
  <w:style w:type="paragraph" w:styleId="ListContinue4">
    <w:name w:val="List Continue 4"/>
    <w:basedOn w:val="Normal"/>
    <w:rsid w:val="009B24F8"/>
    <w:pPr>
      <w:spacing w:after="120"/>
      <w:ind w:left="1132"/>
      <w:contextualSpacing/>
    </w:pPr>
  </w:style>
  <w:style w:type="paragraph" w:styleId="ListContinue5">
    <w:name w:val="List Continue 5"/>
    <w:basedOn w:val="Normal"/>
    <w:rsid w:val="009B24F8"/>
    <w:pPr>
      <w:spacing w:after="120"/>
      <w:ind w:left="1415"/>
      <w:contextualSpacing/>
    </w:pPr>
  </w:style>
  <w:style w:type="paragraph" w:styleId="ListNumber">
    <w:name w:val="List Number"/>
    <w:basedOn w:val="Normal"/>
    <w:rsid w:val="009B24F8"/>
    <w:pPr>
      <w:numPr>
        <w:numId w:val="14"/>
      </w:numPr>
      <w:contextualSpacing/>
    </w:pPr>
  </w:style>
  <w:style w:type="paragraph" w:styleId="ListNumber2">
    <w:name w:val="List Number 2"/>
    <w:basedOn w:val="Normal"/>
    <w:rsid w:val="009B24F8"/>
    <w:pPr>
      <w:numPr>
        <w:numId w:val="15"/>
      </w:numPr>
      <w:contextualSpacing/>
    </w:pPr>
  </w:style>
  <w:style w:type="paragraph" w:styleId="ListNumber3">
    <w:name w:val="List Number 3"/>
    <w:basedOn w:val="Normal"/>
    <w:rsid w:val="009B24F8"/>
    <w:pPr>
      <w:numPr>
        <w:numId w:val="16"/>
      </w:numPr>
      <w:contextualSpacing/>
    </w:pPr>
  </w:style>
  <w:style w:type="paragraph" w:styleId="ListNumber4">
    <w:name w:val="List Number 4"/>
    <w:basedOn w:val="Normal"/>
    <w:rsid w:val="009B24F8"/>
    <w:pPr>
      <w:numPr>
        <w:numId w:val="17"/>
      </w:numPr>
      <w:contextualSpacing/>
    </w:pPr>
  </w:style>
  <w:style w:type="paragraph" w:styleId="ListNumber5">
    <w:name w:val="List Number 5"/>
    <w:basedOn w:val="Normal"/>
    <w:rsid w:val="009B24F8"/>
    <w:pPr>
      <w:numPr>
        <w:numId w:val="18"/>
      </w:numPr>
      <w:contextualSpacing/>
    </w:pPr>
  </w:style>
  <w:style w:type="paragraph" w:styleId="MacroText">
    <w:name w:val="macro"/>
    <w:link w:val="MacroTextChar"/>
    <w:rsid w:val="009B24F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B24F8"/>
    <w:rPr>
      <w:rFonts w:ascii="Consolas" w:hAnsi="Consolas"/>
      <w:lang w:eastAsia="en-US"/>
    </w:rPr>
  </w:style>
  <w:style w:type="paragraph" w:styleId="MessageHeader">
    <w:name w:val="Message Header"/>
    <w:basedOn w:val="Normal"/>
    <w:link w:val="MessageHeaderChar"/>
    <w:rsid w:val="009B24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24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B24F8"/>
    <w:rPr>
      <w:lang w:eastAsia="en-US"/>
    </w:rPr>
  </w:style>
  <w:style w:type="paragraph" w:styleId="NormalWeb">
    <w:name w:val="Normal (Web)"/>
    <w:basedOn w:val="Normal"/>
    <w:rsid w:val="009B24F8"/>
    <w:rPr>
      <w:sz w:val="24"/>
      <w:szCs w:val="24"/>
    </w:rPr>
  </w:style>
  <w:style w:type="paragraph" w:styleId="NormalIndent">
    <w:name w:val="Normal Indent"/>
    <w:basedOn w:val="Normal"/>
    <w:rsid w:val="009B24F8"/>
    <w:pPr>
      <w:ind w:left="720"/>
    </w:pPr>
  </w:style>
  <w:style w:type="paragraph" w:styleId="NoteHeading">
    <w:name w:val="Note Heading"/>
    <w:basedOn w:val="Normal"/>
    <w:next w:val="Normal"/>
    <w:link w:val="NoteHeadingChar"/>
    <w:rsid w:val="009B24F8"/>
    <w:pPr>
      <w:spacing w:after="0"/>
    </w:pPr>
  </w:style>
  <w:style w:type="character" w:customStyle="1" w:styleId="NoteHeadingChar">
    <w:name w:val="Note Heading Char"/>
    <w:basedOn w:val="DefaultParagraphFont"/>
    <w:link w:val="NoteHeading"/>
    <w:rsid w:val="009B24F8"/>
    <w:rPr>
      <w:lang w:eastAsia="en-US"/>
    </w:rPr>
  </w:style>
  <w:style w:type="paragraph" w:styleId="PlainText">
    <w:name w:val="Plain Text"/>
    <w:basedOn w:val="Normal"/>
    <w:link w:val="PlainTextChar"/>
    <w:rsid w:val="009B24F8"/>
    <w:pPr>
      <w:spacing w:after="0"/>
    </w:pPr>
    <w:rPr>
      <w:rFonts w:ascii="Consolas" w:hAnsi="Consolas"/>
      <w:sz w:val="21"/>
      <w:szCs w:val="21"/>
    </w:rPr>
  </w:style>
  <w:style w:type="character" w:customStyle="1" w:styleId="PlainTextChar">
    <w:name w:val="Plain Text Char"/>
    <w:basedOn w:val="DefaultParagraphFont"/>
    <w:link w:val="PlainText"/>
    <w:rsid w:val="009B24F8"/>
    <w:rPr>
      <w:rFonts w:ascii="Consolas" w:hAnsi="Consolas"/>
      <w:sz w:val="21"/>
      <w:szCs w:val="21"/>
      <w:lang w:eastAsia="en-US"/>
    </w:rPr>
  </w:style>
  <w:style w:type="paragraph" w:styleId="Quote">
    <w:name w:val="Quote"/>
    <w:basedOn w:val="Normal"/>
    <w:next w:val="Normal"/>
    <w:link w:val="QuoteChar"/>
    <w:uiPriority w:val="29"/>
    <w:qFormat/>
    <w:rsid w:val="009B24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24F8"/>
    <w:rPr>
      <w:i/>
      <w:iCs/>
      <w:color w:val="404040" w:themeColor="text1" w:themeTint="BF"/>
      <w:lang w:eastAsia="en-US"/>
    </w:rPr>
  </w:style>
  <w:style w:type="paragraph" w:styleId="Salutation">
    <w:name w:val="Salutation"/>
    <w:basedOn w:val="Normal"/>
    <w:next w:val="Normal"/>
    <w:link w:val="SalutationChar"/>
    <w:rsid w:val="009B24F8"/>
  </w:style>
  <w:style w:type="character" w:customStyle="1" w:styleId="SalutationChar">
    <w:name w:val="Salutation Char"/>
    <w:basedOn w:val="DefaultParagraphFont"/>
    <w:link w:val="Salutation"/>
    <w:rsid w:val="009B24F8"/>
    <w:rPr>
      <w:lang w:eastAsia="en-US"/>
    </w:rPr>
  </w:style>
  <w:style w:type="paragraph" w:styleId="Signature">
    <w:name w:val="Signature"/>
    <w:basedOn w:val="Normal"/>
    <w:link w:val="SignatureChar"/>
    <w:rsid w:val="009B24F8"/>
    <w:pPr>
      <w:spacing w:after="0"/>
      <w:ind w:left="4252"/>
    </w:pPr>
  </w:style>
  <w:style w:type="character" w:customStyle="1" w:styleId="SignatureChar">
    <w:name w:val="Signature Char"/>
    <w:basedOn w:val="DefaultParagraphFont"/>
    <w:link w:val="Signature"/>
    <w:rsid w:val="009B24F8"/>
    <w:rPr>
      <w:lang w:eastAsia="en-US"/>
    </w:rPr>
  </w:style>
  <w:style w:type="paragraph" w:styleId="Subtitle">
    <w:name w:val="Subtitle"/>
    <w:basedOn w:val="Normal"/>
    <w:next w:val="Normal"/>
    <w:link w:val="SubtitleChar"/>
    <w:qFormat/>
    <w:rsid w:val="009B24F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24F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B24F8"/>
    <w:pPr>
      <w:spacing w:after="0"/>
      <w:ind w:left="200" w:hanging="200"/>
    </w:pPr>
  </w:style>
  <w:style w:type="paragraph" w:styleId="TableofFigures">
    <w:name w:val="table of figures"/>
    <w:basedOn w:val="Normal"/>
    <w:next w:val="Normal"/>
    <w:rsid w:val="009B24F8"/>
    <w:pPr>
      <w:spacing w:after="0"/>
    </w:pPr>
  </w:style>
  <w:style w:type="paragraph" w:styleId="Title">
    <w:name w:val="Title"/>
    <w:basedOn w:val="Normal"/>
    <w:next w:val="Normal"/>
    <w:link w:val="TitleChar"/>
    <w:qFormat/>
    <w:rsid w:val="009B24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24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B24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B24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17957">
      <w:bodyDiv w:val="1"/>
      <w:marLeft w:val="0"/>
      <w:marRight w:val="0"/>
      <w:marTop w:val="0"/>
      <w:marBottom w:val="0"/>
      <w:divBdr>
        <w:top w:val="none" w:sz="0" w:space="0" w:color="auto"/>
        <w:left w:val="none" w:sz="0" w:space="0" w:color="auto"/>
        <w:bottom w:val="none" w:sz="0" w:space="0" w:color="auto"/>
        <w:right w:val="none" w:sz="0" w:space="0" w:color="auto"/>
      </w:divBdr>
    </w:div>
    <w:div w:id="1168398549">
      <w:bodyDiv w:val="1"/>
      <w:marLeft w:val="0"/>
      <w:marRight w:val="0"/>
      <w:marTop w:val="0"/>
      <w:marBottom w:val="0"/>
      <w:divBdr>
        <w:top w:val="none" w:sz="0" w:space="0" w:color="auto"/>
        <w:left w:val="none" w:sz="0" w:space="0" w:color="auto"/>
        <w:bottom w:val="none" w:sz="0" w:space="0" w:color="auto"/>
        <w:right w:val="none" w:sz="0" w:space="0" w:color="auto"/>
      </w:divBdr>
      <w:divsChild>
        <w:div w:id="1121000395">
          <w:marLeft w:val="0"/>
          <w:marRight w:val="0"/>
          <w:marTop w:val="0"/>
          <w:marBottom w:val="0"/>
          <w:divBdr>
            <w:top w:val="none" w:sz="0" w:space="0" w:color="auto"/>
            <w:left w:val="none" w:sz="0" w:space="0" w:color="auto"/>
            <w:bottom w:val="none" w:sz="0" w:space="0" w:color="auto"/>
            <w:right w:val="none" w:sz="0" w:space="0" w:color="auto"/>
          </w:divBdr>
        </w:div>
      </w:divsChild>
    </w:div>
    <w:div w:id="1204826595">
      <w:bodyDiv w:val="1"/>
      <w:marLeft w:val="0"/>
      <w:marRight w:val="0"/>
      <w:marTop w:val="0"/>
      <w:marBottom w:val="0"/>
      <w:divBdr>
        <w:top w:val="none" w:sz="0" w:space="0" w:color="auto"/>
        <w:left w:val="none" w:sz="0" w:space="0" w:color="auto"/>
        <w:bottom w:val="none" w:sz="0" w:space="0" w:color="auto"/>
        <w:right w:val="none" w:sz="0" w:space="0" w:color="auto"/>
      </w:divBdr>
    </w:div>
    <w:div w:id="1933395534">
      <w:bodyDiv w:val="1"/>
      <w:marLeft w:val="0"/>
      <w:marRight w:val="0"/>
      <w:marTop w:val="0"/>
      <w:marBottom w:val="0"/>
      <w:divBdr>
        <w:top w:val="none" w:sz="0" w:space="0" w:color="auto"/>
        <w:left w:val="none" w:sz="0" w:space="0" w:color="auto"/>
        <w:bottom w:val="none" w:sz="0" w:space="0" w:color="auto"/>
        <w:right w:val="none" w:sz="0" w:space="0" w:color="auto"/>
      </w:divBdr>
    </w:div>
    <w:div w:id="19545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A554D-6E40-44E6-8C4E-DC158735B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Pages>
  <Words>3682</Words>
  <Characters>20993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26.512_CR0027R2_(Rel-16)_5GMS3</cp:lastModifiedBy>
  <cp:revision>25</cp:revision>
  <cp:lastPrinted>2019-02-25T14:05:00Z</cp:lastPrinted>
  <dcterms:created xsi:type="dcterms:W3CDTF">2022-08-25T07:39:00Z</dcterms:created>
  <dcterms:modified xsi:type="dcterms:W3CDTF">2023-01-06T15:26:00Z</dcterms:modified>
</cp:coreProperties>
</file>