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Aggregation of two or more component carriers in order to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sensitivity for an isotropic directivity device equivalent to the sensitivity of the discussed device exposed to an incoming wave from a defined AoA</w:t>
      </w:r>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Isotropic directivity is equal in all directions (i.e. 0 dBi).</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AoA from the view point of the UE, as described in Annex N.</w:t>
      </w:r>
      <w:r w:rsidR="009B3E9D" w:rsidRPr="00ED07A4">
        <w:t xml:space="preserve"> If the beam lock function is used to lock the UE beam(s), the link angle can become any arbitrary AoA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61663699" w:rsidR="00A3510C" w:rsidRDefault="00A3510C">
      <w:pPr>
        <w:rPr>
          <w:b/>
        </w:rPr>
      </w:pPr>
      <w:r w:rsidRPr="00A3510C">
        <w:rPr>
          <w:b/>
        </w:rPr>
        <w:t xml:space="preserve">RedCap UE: </w:t>
      </w:r>
      <w:r w:rsidR="0000013F" w:rsidRPr="0000013F">
        <w:rPr>
          <w:b/>
        </w:rPr>
        <w:t>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r w:rsidRPr="00ED07A4">
        <w:t>ΔF</w:t>
      </w:r>
      <w:r w:rsidRPr="00ED07A4">
        <w:rPr>
          <w:vertAlign w:val="subscript"/>
        </w:rPr>
        <w:t>Global</w:t>
      </w:r>
      <w:r w:rsidRPr="00ED07A4">
        <w:tab/>
        <w:t>Granularity of the global frequency raster</w:t>
      </w:r>
      <w:bookmarkStart w:id="79" w:name="_Hlk501040408"/>
    </w:p>
    <w:p w14:paraId="3C092513" w14:textId="77777777" w:rsidR="0032234A" w:rsidRPr="00ED07A4" w:rsidRDefault="00272252">
      <w:pPr>
        <w:pStyle w:val="EW"/>
      </w:pPr>
      <w:r w:rsidRPr="00ED07A4">
        <w:rPr>
          <w:rFonts w:eastAsia="Yu Mincho"/>
        </w:rPr>
        <w:t>ΔF</w:t>
      </w:r>
      <w:r w:rsidRPr="00ED07A4">
        <w:rPr>
          <w:rFonts w:eastAsia="Yu Mincho"/>
          <w:vertAlign w:val="subscript"/>
        </w:rPr>
        <w:t>Raster</w:t>
      </w:r>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r w:rsidRPr="00ED07A4">
        <w:t>Δf</w:t>
      </w:r>
      <w:r w:rsidRPr="00ED07A4">
        <w:rPr>
          <w:vertAlign w:val="subscript"/>
        </w:rPr>
        <w:t>OOB</w:t>
      </w:r>
      <w:r w:rsidRPr="00ED07A4">
        <w:rPr>
          <w:vertAlign w:val="subscript"/>
        </w:rPr>
        <w:tab/>
      </w:r>
      <w:r w:rsidRPr="00ED07A4">
        <w:t>Δ Frequency of Out Of Band emission</w:t>
      </w:r>
    </w:p>
    <w:p w14:paraId="43F2F43F" w14:textId="77777777" w:rsidR="0032234A" w:rsidRPr="00ED07A4" w:rsidRDefault="0032234A">
      <w:pPr>
        <w:pStyle w:val="EW"/>
      </w:pPr>
      <w:r w:rsidRPr="00ED07A4">
        <w:t>ΔMB</w:t>
      </w:r>
      <w:r w:rsidRPr="00ED07A4">
        <w:rPr>
          <w:vertAlign w:val="subscript"/>
        </w:rPr>
        <w:t>P,n</w:t>
      </w:r>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r w:rsidRPr="00ED07A4">
        <w:t>ΔMB</w:t>
      </w:r>
      <w:r w:rsidRPr="00ED07A4">
        <w:rPr>
          <w:vertAlign w:val="subscript"/>
        </w:rPr>
        <w:t>S,n</w:t>
      </w:r>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r w:rsidRPr="00ED07A4">
        <w:t>ΔR</w:t>
      </w:r>
      <w:r w:rsidRPr="00ED07A4">
        <w:rPr>
          <w:vertAlign w:val="subscript"/>
        </w:rPr>
        <w:t>IB,P,n</w:t>
      </w:r>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r>
        <w:t>ΔTIB,P,n</w:t>
      </w:r>
      <w:r>
        <w:tab/>
        <w:t>Allowed relaxation to peak EIRP requirements due to support for inter-band CA operation, per supported band in a combination.</w:t>
      </w:r>
    </w:p>
    <w:p w14:paraId="062E4B26" w14:textId="5A49D65B" w:rsidR="00497758" w:rsidRPr="00ED07A4" w:rsidRDefault="0000013F" w:rsidP="0000013F">
      <w:pPr>
        <w:pStyle w:val="EW"/>
      </w:pPr>
      <w:r>
        <w:t>ΔTIB,S,n</w:t>
      </w:r>
      <w:r>
        <w:tab/>
        <w:t>Allowed relaxation to EIRP spherical coverage due to support for inter-band CA operation, per supported band in a combination.</w:t>
      </w:r>
    </w:p>
    <w:p w14:paraId="5DA50951" w14:textId="3DF26B15" w:rsidR="00497758" w:rsidRPr="00ED07A4" w:rsidRDefault="00497758" w:rsidP="00497758">
      <w:pPr>
        <w:pStyle w:val="EW"/>
      </w:pPr>
      <w:r w:rsidRPr="00ED07A4">
        <w:t>ΔR</w:t>
      </w:r>
      <w:r w:rsidRPr="00ED07A4">
        <w:rPr>
          <w:vertAlign w:val="subscript"/>
        </w:rPr>
        <w:t>IB,S,n</w:t>
      </w:r>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r w:rsidRPr="00ED07A4">
        <w:t>BW</w:t>
      </w:r>
      <w:r w:rsidRPr="00ED07A4">
        <w:rPr>
          <w:vertAlign w:val="subscript"/>
        </w:rPr>
        <w:t>Channel</w:t>
      </w:r>
      <w:r w:rsidRPr="00ED07A4">
        <w:tab/>
        <w:t>Channel bandwidth</w:t>
      </w:r>
    </w:p>
    <w:p w14:paraId="52F4E9E4" w14:textId="77777777" w:rsidR="0032234A" w:rsidRPr="00ED07A4" w:rsidRDefault="0032234A">
      <w:pPr>
        <w:pStyle w:val="EW"/>
      </w:pPr>
      <w:r w:rsidRPr="00ED07A4">
        <w:t>BW</w:t>
      </w:r>
      <w:r w:rsidRPr="00ED07A4">
        <w:rPr>
          <w:vertAlign w:val="subscript"/>
        </w:rPr>
        <w:t>Channel_CA</w:t>
      </w:r>
      <w:r w:rsidRPr="00ED07A4">
        <w:tab/>
        <w:t>Aggregated channel bandwidth, expressed in MHz.</w:t>
      </w:r>
    </w:p>
    <w:p w14:paraId="18BDA9E5" w14:textId="77777777" w:rsidR="0032234A" w:rsidRPr="00ED07A4" w:rsidRDefault="0032234A">
      <w:pPr>
        <w:pStyle w:val="EW"/>
      </w:pPr>
      <w:r w:rsidRPr="00ED07A4">
        <w:t>BW</w:t>
      </w:r>
      <w:r w:rsidRPr="00ED07A4">
        <w:rPr>
          <w:vertAlign w:val="subscript"/>
        </w:rPr>
        <w:t>GB</w:t>
      </w:r>
      <w:r w:rsidRPr="00ED07A4">
        <w:tab/>
        <w:t>max( BW</w:t>
      </w:r>
      <w:r w:rsidRPr="00ED07A4">
        <w:rPr>
          <w:rFonts w:eastAsia="SimSun"/>
          <w:vertAlign w:val="subscript"/>
          <w:lang w:eastAsia="en-US"/>
        </w:rPr>
        <w:t>GB,Channel(k)</w:t>
      </w:r>
      <w:r w:rsidRPr="00ED07A4">
        <w:t xml:space="preserve"> )</w:t>
      </w:r>
    </w:p>
    <w:p w14:paraId="3F2B7668" w14:textId="77777777" w:rsidR="0032234A" w:rsidRPr="00ED07A4" w:rsidRDefault="0032234A">
      <w:pPr>
        <w:pStyle w:val="EW"/>
      </w:pPr>
      <w:r w:rsidRPr="00ED07A4">
        <w:t>BW</w:t>
      </w:r>
      <w:r w:rsidRPr="00ED07A4">
        <w:rPr>
          <w:vertAlign w:val="subscript"/>
        </w:rPr>
        <w:t>GB,Channel(k)</w:t>
      </w:r>
      <w:r w:rsidRPr="00ED07A4">
        <w:tab/>
        <w:t>Minimum guardband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r w:rsidRPr="00ED07A4">
        <w:t>BW</w:t>
      </w:r>
      <w:r w:rsidRPr="00ED07A4">
        <w:rPr>
          <w:vertAlign w:val="subscript"/>
        </w:rPr>
        <w:t>interferer</w:t>
      </w:r>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r w:rsidRPr="00ED07A4">
        <w:t>EIRP</w:t>
      </w:r>
      <w:r w:rsidRPr="00ED07A4">
        <w:rPr>
          <w:vertAlign w:val="subscript"/>
        </w:rPr>
        <w:t>max</w:t>
      </w:r>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The measured total EIRP based on the beam yielding highest EIRP in a given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center </w:t>
      </w:r>
      <w:r w:rsidRPr="00ED07A4">
        <w:t>on the channel raster, given in table 5.4.2.2-1</w:t>
      </w:r>
    </w:p>
    <w:p w14:paraId="77A06162" w14:textId="77777777" w:rsidR="0032234A" w:rsidRPr="00ED07A4" w:rsidRDefault="0032234A">
      <w:pPr>
        <w:pStyle w:val="EW"/>
        <w:rPr>
          <w:vertAlign w:val="subscript"/>
        </w:rPr>
      </w:pPr>
      <w:r w:rsidRPr="00ED07A4">
        <w:rPr>
          <w:bCs/>
        </w:rPr>
        <w:t>F</w:t>
      </w:r>
      <w:r w:rsidRPr="00ED07A4">
        <w:rPr>
          <w:bCs/>
          <w:vertAlign w:val="subscript"/>
        </w:rPr>
        <w:t>C,block,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r w:rsidRPr="00ED07A4">
        <w:rPr>
          <w:bCs/>
        </w:rPr>
        <w:t>F</w:t>
      </w:r>
      <w:r w:rsidRPr="00ED07A4">
        <w:rPr>
          <w:bCs/>
          <w:vertAlign w:val="subscript"/>
        </w:rPr>
        <w:t>C,block,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The Fc of the highest carrier, expressed in MHz.</w:t>
      </w:r>
    </w:p>
    <w:p w14:paraId="21F1C705" w14:textId="1645A895" w:rsidR="008E501C" w:rsidRPr="00ED07A4" w:rsidRDefault="0032234A" w:rsidP="008E501C">
      <w:pPr>
        <w:pStyle w:val="EW"/>
      </w:pPr>
      <w:r w:rsidRPr="00ED07A4">
        <w:t>F</w:t>
      </w:r>
      <w:r w:rsidRPr="00ED07A4">
        <w:rPr>
          <w:vertAlign w:val="subscript"/>
        </w:rPr>
        <w:t>C, low</w:t>
      </w:r>
      <w:r w:rsidRPr="00ED07A4">
        <w:tab/>
        <w:t>The Fc of the lowest carrier, expressed in MHz.</w:t>
      </w:r>
    </w:p>
    <w:p w14:paraId="536CCE8D" w14:textId="77777777" w:rsidR="008E501C" w:rsidRPr="00ED07A4" w:rsidRDefault="008E501C" w:rsidP="008E501C">
      <w:pPr>
        <w:pStyle w:val="EW"/>
        <w:rPr>
          <w:i/>
          <w:lang w:eastAsia="zh-CN"/>
        </w:rPr>
      </w:pPr>
      <w:r w:rsidRPr="00ED07A4">
        <w:t>F</w:t>
      </w:r>
      <w:r w:rsidRPr="00ED07A4">
        <w:rPr>
          <w:vertAlign w:val="subscript"/>
        </w:rPr>
        <w:t>DL_high</w:t>
      </w:r>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r w:rsidRPr="00ED07A4">
        <w:t>F</w:t>
      </w:r>
      <w:r w:rsidRPr="00ED07A4">
        <w:rPr>
          <w:vertAlign w:val="subscript"/>
        </w:rPr>
        <w:t>DL_low</w:t>
      </w:r>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r w:rsidRPr="00ED07A4">
        <w:lastRenderedPageBreak/>
        <w:t>F</w:t>
      </w:r>
      <w:r w:rsidRPr="00ED07A4">
        <w:rPr>
          <w:vertAlign w:val="subscript"/>
        </w:rPr>
        <w:t>edge,block,high</w:t>
      </w:r>
      <w:r w:rsidRPr="00ED07A4">
        <w:tab/>
        <w:t>The upper sub-block edge, where F</w:t>
      </w:r>
      <w:r w:rsidRPr="00ED07A4">
        <w:rPr>
          <w:vertAlign w:val="subscript"/>
        </w:rPr>
        <w:t xml:space="preserve">edge,block,high </w:t>
      </w:r>
      <w:r w:rsidRPr="00ED07A4">
        <w:t>= F</w:t>
      </w:r>
      <w:r w:rsidRPr="00ED07A4">
        <w:rPr>
          <w:vertAlign w:val="subscript"/>
        </w:rPr>
        <w:t xml:space="preserve">C,block,high </w:t>
      </w:r>
      <w:r w:rsidRPr="00ED07A4">
        <w:t>+ F</w:t>
      </w:r>
      <w:r w:rsidRPr="00ED07A4">
        <w:rPr>
          <w:vertAlign w:val="subscript"/>
        </w:rPr>
        <w:t>offset, high.</w:t>
      </w:r>
    </w:p>
    <w:p w14:paraId="13788711" w14:textId="77777777" w:rsidR="008E501C" w:rsidRPr="00ED07A4" w:rsidRDefault="008E501C" w:rsidP="008E501C">
      <w:pPr>
        <w:pStyle w:val="EW"/>
        <w:rPr>
          <w:i/>
          <w:lang w:eastAsia="zh-CN"/>
        </w:rPr>
      </w:pPr>
      <w:r w:rsidRPr="00ED07A4">
        <w:t>F</w:t>
      </w:r>
      <w:r w:rsidRPr="00ED07A4">
        <w:rPr>
          <w:vertAlign w:val="subscript"/>
        </w:rPr>
        <w:t>edge,block,low</w:t>
      </w:r>
      <w:r w:rsidRPr="00ED07A4">
        <w:tab/>
        <w:t>The lower sub-block edge, where F</w:t>
      </w:r>
      <w:r w:rsidRPr="00ED07A4">
        <w:rPr>
          <w:vertAlign w:val="subscript"/>
        </w:rPr>
        <w:t xml:space="preserve">edge,block,low </w:t>
      </w:r>
      <w:r w:rsidRPr="00ED07A4">
        <w:t>= F</w:t>
      </w:r>
      <w:r w:rsidRPr="00ED07A4">
        <w:rPr>
          <w:vertAlign w:val="subscript"/>
        </w:rPr>
        <w:t xml:space="preserve">C,block,low </w:t>
      </w:r>
      <w:r w:rsidRPr="00ED07A4">
        <w:t>- F</w:t>
      </w:r>
      <w:r w:rsidRPr="00ED07A4">
        <w:rPr>
          <w:vertAlign w:val="subscript"/>
        </w:rPr>
        <w:t>offset, low.</w:t>
      </w:r>
    </w:p>
    <w:p w14:paraId="11E26601" w14:textId="77777777" w:rsidR="0032234A" w:rsidRPr="00ED07A4" w:rsidRDefault="008E501C" w:rsidP="008E501C">
      <w:pPr>
        <w:pStyle w:val="EW"/>
      </w:pPr>
      <w:r w:rsidRPr="00ED07A4">
        <w:t>F</w:t>
      </w:r>
      <w:r w:rsidRPr="00ED07A4">
        <w:rPr>
          <w:vertAlign w:val="subscript"/>
        </w:rPr>
        <w:t>edge,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expressed in MHz. F</w:t>
      </w:r>
      <w:r w:rsidRPr="00ED07A4">
        <w:rPr>
          <w:vertAlign w:val="subscript"/>
        </w:rPr>
        <w:t xml:space="preserve">edge, high </w:t>
      </w:r>
      <w:r w:rsidRPr="00ED07A4">
        <w:t>= F</w:t>
      </w:r>
      <w:r w:rsidRPr="00ED07A4">
        <w:rPr>
          <w:vertAlign w:val="subscript"/>
        </w:rPr>
        <w:t xml:space="preserve">C, high </w:t>
      </w:r>
      <w:r w:rsidRPr="00ED07A4">
        <w:t>+ F</w:t>
      </w:r>
      <w:r w:rsidRPr="00ED07A4">
        <w:rPr>
          <w:vertAlign w:val="subscript"/>
        </w:rPr>
        <w:t>offset, high.</w:t>
      </w:r>
    </w:p>
    <w:p w14:paraId="356FEB23" w14:textId="77777777" w:rsidR="0032234A" w:rsidRPr="00ED07A4" w:rsidRDefault="0032234A">
      <w:pPr>
        <w:pStyle w:val="EW"/>
        <w:rPr>
          <w:i/>
          <w:iCs/>
        </w:rPr>
      </w:pPr>
      <w:r w:rsidRPr="00ED07A4">
        <w:t>F</w:t>
      </w:r>
      <w:r w:rsidRPr="00ED07A4">
        <w:rPr>
          <w:vertAlign w:val="subscript"/>
        </w:rPr>
        <w:t>edge, low</w:t>
      </w:r>
      <w:r w:rsidRPr="00ED07A4">
        <w:tab/>
        <w:t xml:space="preserve">The lower edge of </w:t>
      </w:r>
      <w:r w:rsidRPr="00ED07A4">
        <w:rPr>
          <w:i/>
          <w:iCs/>
        </w:rPr>
        <w:t>Aggregated Channel Bandwidth</w:t>
      </w:r>
      <w:r w:rsidRPr="00ED07A4">
        <w:t>, expressed in MHz. F</w:t>
      </w:r>
      <w:r w:rsidRPr="00ED07A4">
        <w:rPr>
          <w:vertAlign w:val="subscript"/>
        </w:rPr>
        <w:t xml:space="preserve">edge, low </w:t>
      </w:r>
      <w:r w:rsidRPr="00ED07A4">
        <w:t>= F</w:t>
      </w:r>
      <w:r w:rsidRPr="00ED07A4">
        <w:rPr>
          <w:vertAlign w:val="subscript"/>
        </w:rPr>
        <w:t xml:space="preserve">C, low </w:t>
      </w:r>
      <w:r w:rsidRPr="00ED07A4">
        <w:t>- F</w:t>
      </w:r>
      <w:r w:rsidRPr="00ED07A4">
        <w:rPr>
          <w:vertAlign w:val="subscript"/>
        </w:rPr>
        <w:t>offset,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r w:rsidRPr="00ED07A4">
        <w:t>F</w:t>
      </w:r>
      <w:r w:rsidRPr="00ED07A4">
        <w:rPr>
          <w:vertAlign w:val="subscript"/>
        </w:rPr>
        <w:t>Interferer</w:t>
      </w:r>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r w:rsidRPr="00ED07A4">
        <w:t>F</w:t>
      </w:r>
      <w:r w:rsidRPr="00ED07A4">
        <w:rPr>
          <w:vertAlign w:val="subscript"/>
        </w:rPr>
        <w:t xml:space="preserve">Interferer </w:t>
      </w:r>
      <w:r w:rsidRPr="00ED07A4">
        <w:t>(offset)</w:t>
      </w:r>
      <w:r w:rsidRPr="00ED07A4">
        <w:tab/>
        <w:t>Frequency offset of the interferer (between the center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r w:rsidRPr="00ED07A4">
        <w:t>F</w:t>
      </w:r>
      <w:r w:rsidRPr="00ED07A4">
        <w:rPr>
          <w:vertAlign w:val="subscript"/>
        </w:rPr>
        <w:t>Ioffset</w:t>
      </w:r>
      <w:r w:rsidRPr="00ED07A4">
        <w:rPr>
          <w:vertAlign w:val="subscript"/>
        </w:rPr>
        <w:tab/>
      </w:r>
      <w:r w:rsidRPr="00ED07A4">
        <w:rPr>
          <w:vertAlign w:val="subscript"/>
        </w:rPr>
        <w:tab/>
      </w:r>
      <w:r w:rsidRPr="00ED07A4">
        <w:rPr>
          <w:vertAlign w:val="subscript"/>
        </w:rPr>
        <w:tab/>
      </w:r>
      <w:r w:rsidRPr="00ED07A4">
        <w:rPr>
          <w:vertAlign w:val="subscript"/>
        </w:rPr>
        <w:tab/>
      </w:r>
      <w:r w:rsidRPr="00ED07A4">
        <w:t>Frequency offset of the interferer (between the center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r w:rsidRPr="00ED07A4">
        <w:t>F</w:t>
      </w:r>
      <w:r w:rsidRPr="00ED07A4">
        <w:rPr>
          <w:vertAlign w:val="subscript"/>
        </w:rPr>
        <w:t>offset,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r w:rsidRPr="00ED07A4">
        <w:rPr>
          <w:bCs/>
        </w:rPr>
        <w:t>F</w:t>
      </w:r>
      <w:r w:rsidRPr="00ED07A4">
        <w:rPr>
          <w:bCs/>
          <w:vertAlign w:val="subscript"/>
        </w:rPr>
        <w:t xml:space="preserve">C,block, high </w:t>
      </w:r>
      <w:r w:rsidRPr="00ED07A4">
        <w:t>to the upper sub-block edge</w:t>
      </w:r>
    </w:p>
    <w:p w14:paraId="05E10368" w14:textId="77777777" w:rsidR="0032234A" w:rsidRPr="00ED07A4" w:rsidRDefault="0032234A">
      <w:pPr>
        <w:pStyle w:val="EW"/>
      </w:pPr>
      <w:r w:rsidRPr="00ED07A4">
        <w:t>F</w:t>
      </w:r>
      <w:r w:rsidRPr="00ED07A4">
        <w:rPr>
          <w:vertAlign w:val="subscript"/>
        </w:rPr>
        <w:t>offset,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r w:rsidRPr="00ED07A4">
        <w:rPr>
          <w:bCs/>
        </w:rPr>
        <w:t>F</w:t>
      </w:r>
      <w:r w:rsidRPr="00ED07A4">
        <w:rPr>
          <w:bCs/>
          <w:vertAlign w:val="subscript"/>
        </w:rPr>
        <w:t xml:space="preserve">C,block,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r w:rsidRPr="00ED07A4">
        <w:rPr>
          <w:rFonts w:cs="Arial"/>
        </w:rPr>
        <w:t>F</w:t>
      </w:r>
      <w:r w:rsidRPr="00ED07A4">
        <w:rPr>
          <w:rFonts w:cs="Arial"/>
          <w:vertAlign w:val="subscript"/>
        </w:rPr>
        <w:t>UL_high</w:t>
      </w:r>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r w:rsidRPr="00ED07A4">
        <w:t>F</w:t>
      </w:r>
      <w:r w:rsidRPr="00ED07A4">
        <w:rPr>
          <w:vertAlign w:val="subscript"/>
        </w:rPr>
        <w:t>UL_low</w:t>
      </w:r>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r w:rsidRPr="00ED07A4">
        <w:rPr>
          <w:rFonts w:cs="Arial"/>
        </w:rPr>
        <w:t>F</w:t>
      </w:r>
      <w:r w:rsidRPr="00ED07A4">
        <w:rPr>
          <w:rFonts w:cs="Arial"/>
          <w:vertAlign w:val="subscript"/>
        </w:rPr>
        <w:t>UL_Meas</w:t>
      </w:r>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r w:rsidRPr="00ED07A4">
        <w:t>F_center</w:t>
      </w:r>
      <w:r w:rsidRPr="00ED07A4">
        <w:tab/>
        <w:t>The center frequency of an allocated block of PRBs</w:t>
      </w:r>
    </w:p>
    <w:p w14:paraId="2D8747F3" w14:textId="2F7FD577" w:rsidR="0032234A" w:rsidRPr="00ED07A4" w:rsidRDefault="0032234A">
      <w:pPr>
        <w:pStyle w:val="EW"/>
      </w:pPr>
      <w:r w:rsidRPr="00ED07A4">
        <w:t>GB</w:t>
      </w:r>
      <w:r w:rsidRPr="00ED07A4">
        <w:rPr>
          <w:vertAlign w:val="subscript"/>
        </w:rPr>
        <w:t>Channel</w:t>
      </w:r>
      <w:r w:rsidRPr="00ED07A4">
        <w:rPr>
          <w:vertAlign w:val="subscript"/>
        </w:rPr>
        <w:tab/>
      </w:r>
      <w:r w:rsidRPr="00ED07A4">
        <w:t>Minimum guardband defined in clause 5.3.3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r w:rsidRPr="00ED07A4">
        <w:t>L</w:t>
      </w:r>
      <w:r w:rsidRPr="00ED07A4">
        <w:rPr>
          <w:vertAlign w:val="subscript"/>
        </w:rPr>
        <w:t>CRB,Max</w:t>
      </w:r>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r w:rsidRPr="00ED07A4">
        <w:t>MPR</w:t>
      </w:r>
      <w:r w:rsidRPr="00ED07A4">
        <w:rPr>
          <w:vertAlign w:val="subscript"/>
        </w:rPr>
        <w:t>f,c</w:t>
      </w:r>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narrow</w:t>
      </w:r>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r w:rsidRPr="00ED07A4">
        <w:t>N</w:t>
      </w:r>
      <w:r w:rsidRPr="00ED07A4">
        <w:rPr>
          <w:vertAlign w:val="subscript"/>
        </w:rPr>
        <w:t>RB,high</w:t>
      </w:r>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r w:rsidRPr="00ED07A4">
        <w:t>N</w:t>
      </w:r>
      <w:r w:rsidRPr="00ED07A4">
        <w:rPr>
          <w:vertAlign w:val="subscript"/>
        </w:rPr>
        <w:t>RB,low</w:t>
      </w:r>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r w:rsidRPr="00ED07A4">
        <w:rPr>
          <w:rFonts w:eastAsia="Yu Mincho"/>
          <w:i/>
        </w:rPr>
        <w:t>n</w:t>
      </w:r>
      <w:r w:rsidRPr="00ED07A4">
        <w:rPr>
          <w:rFonts w:eastAsia="Yu Mincho"/>
          <w:vertAlign w:val="subscript"/>
        </w:rPr>
        <w:t>PRB</w:t>
      </w:r>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r w:rsidRPr="00ED07A4">
        <w:t>P</w:t>
      </w:r>
      <w:r w:rsidRPr="00ED07A4">
        <w:rPr>
          <w:vertAlign w:val="subscript"/>
        </w:rPr>
        <w:t>Interferer</w:t>
      </w:r>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r w:rsidRPr="00ED07A4">
        <w:t>P</w:t>
      </w:r>
      <w:r w:rsidRPr="00ED07A4">
        <w:rPr>
          <w:vertAlign w:val="subscript"/>
        </w:rPr>
        <w:t>min</w:t>
      </w:r>
      <w:r w:rsidRPr="00ED07A4">
        <w:tab/>
        <w:t>The minimum UE output power as specified in clause 6.3.1</w:t>
      </w:r>
    </w:p>
    <w:p w14:paraId="5D1FD06C" w14:textId="77777777" w:rsidR="0032234A" w:rsidRPr="00ED07A4" w:rsidRDefault="0032234A">
      <w:pPr>
        <w:pStyle w:val="EW"/>
      </w:pPr>
      <w:r w:rsidRPr="00ED07A4">
        <w:t>P</w:t>
      </w:r>
      <w:r w:rsidRPr="00ED07A4">
        <w:rPr>
          <w:vertAlign w:val="subscript"/>
        </w:rPr>
        <w:t>PowerClass</w:t>
      </w:r>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r w:rsidRPr="00ED07A4">
        <w:t>P</w:t>
      </w:r>
      <w:r w:rsidRPr="00ED07A4">
        <w:rPr>
          <w:vertAlign w:val="subscript"/>
        </w:rPr>
        <w:t>TMAX,f,c</w:t>
      </w:r>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P-MPR</w:t>
      </w:r>
      <w:r w:rsidRPr="00ED07A4">
        <w:rPr>
          <w:vertAlign w:val="subscript"/>
        </w:rPr>
        <w:t>f,c</w:t>
      </w:r>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r w:rsidRPr="00ED07A4">
        <w:t>RB</w:t>
      </w:r>
      <w:r w:rsidRPr="00ED07A4">
        <w:rPr>
          <w:vertAlign w:val="subscript"/>
        </w:rPr>
        <w:t>start</w:t>
      </w:r>
      <w:r w:rsidRPr="00ED07A4">
        <w:tab/>
        <w:t>Indicates the lowest RB index of transmitted resource blocks</w:t>
      </w:r>
    </w:p>
    <w:p w14:paraId="43EF9F00" w14:textId="28184974" w:rsidR="008E501C" w:rsidRPr="00ED07A4" w:rsidRDefault="008E501C" w:rsidP="008E501C">
      <w:pPr>
        <w:pStyle w:val="EW"/>
      </w:pPr>
      <w:r w:rsidRPr="00ED07A4">
        <w:t>SCS</w:t>
      </w:r>
      <w:r w:rsidRPr="00ED07A4">
        <w:rPr>
          <w:vertAlign w:val="subscript"/>
        </w:rPr>
        <w:t>high</w:t>
      </w:r>
      <w:r w:rsidRPr="00ED07A4">
        <w:tab/>
        <w:t xml:space="preserve">SCS for the highest assigned component carrier in </w:t>
      </w:r>
      <w:r w:rsidR="00BE5897" w:rsidRPr="00ED07A4">
        <w:t>clause</w:t>
      </w:r>
      <w:r w:rsidRPr="00ED07A4">
        <w:t xml:space="preserve"> 5.3A.1</w:t>
      </w:r>
      <w:r w:rsidR="003D625C" w:rsidRPr="003D625C">
        <w:t>, expressed in kHz</w:t>
      </w:r>
    </w:p>
    <w:p w14:paraId="5AB38F20" w14:textId="5F1BA5CB" w:rsidR="0032234A" w:rsidRPr="00ED07A4" w:rsidRDefault="0032234A">
      <w:pPr>
        <w:pStyle w:val="EW"/>
      </w:pPr>
      <w:r w:rsidRPr="00ED07A4">
        <w:t>SCS</w:t>
      </w:r>
      <w:r w:rsidRPr="00ED07A4">
        <w:rPr>
          <w:vertAlign w:val="subscript"/>
        </w:rPr>
        <w:t>low</w:t>
      </w:r>
      <w:r w:rsidRPr="00ED07A4">
        <w:tab/>
        <w:t xml:space="preserve">SCS for the lowest assigned component carrier in </w:t>
      </w:r>
      <w:r w:rsidR="00BE5897" w:rsidRPr="00ED07A4">
        <w:t>clause</w:t>
      </w:r>
      <w:r w:rsidRPr="00ED07A4">
        <w:t xml:space="preserve"> 5.3A.1</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r w:rsidRPr="00ED07A4">
        <w:t>TRP</w:t>
      </w:r>
      <w:r w:rsidRPr="00ED07A4">
        <w:rPr>
          <w:vertAlign w:val="subscript"/>
        </w:rPr>
        <w:t>max</w:t>
      </w:r>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lastRenderedPageBreak/>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r w:rsidRPr="00ED07A4">
        <w:t>AoA</w:t>
      </w:r>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r w:rsidRPr="00ED07A4">
        <w:t>CA_nX-nY</w:t>
      </w:r>
      <w:r w:rsidRPr="00ED07A4">
        <w:tab/>
        <w:t xml:space="preserve">Inter-band CA of component carrier(s) in one sub-block within Band </w:t>
      </w:r>
      <w:r w:rsidR="00C31DAD" w:rsidRPr="00ED07A4">
        <w:t>n</w:t>
      </w:r>
      <w:r w:rsidRPr="00ED07A4">
        <w:t xml:space="preserve">X and component carrier(s) in one sub-block within Band </w:t>
      </w:r>
      <w:r w:rsidR="00C31DAD" w:rsidRPr="00ED07A4">
        <w:t>n</w:t>
      </w:r>
      <w:r w:rsidRPr="00ED07A4">
        <w:t xml:space="preserve">Y where </w:t>
      </w:r>
      <w:r w:rsidR="00C31DAD" w:rsidRPr="00ED07A4">
        <w:t>n</w:t>
      </w:r>
      <w:r w:rsidRPr="00ED07A4">
        <w:t xml:space="preserve">X and </w:t>
      </w:r>
      <w:r w:rsidR="00C31DAD" w:rsidRPr="00ED07A4">
        <w:t>n</w:t>
      </w:r>
      <w:r w:rsidRPr="00ED07A4">
        <w:t xml:space="preserve">Y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r w:rsidRPr="0000013F">
        <w:t>RedCap</w:t>
      </w:r>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lastRenderedPageBreak/>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TDD-UL-DL-Config</w:t>
      </w:r>
      <w:r w:rsidR="00512E38" w:rsidRPr="00ED07A4">
        <w:t>urationCommon and TDD-UL-DL-ConfigurationDedicated</w:t>
      </w:r>
      <w:r w:rsidRPr="00ED07A4">
        <w:rPr>
          <w:rFonts w:eastAsia="PMingLiU"/>
          <w:lang w:eastAsia="zh-TW"/>
        </w:rPr>
        <w:t xml:space="preserve"> in the PCell and SCells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lastRenderedPageBreak/>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r w:rsidRPr="00ED07A4">
        <w:rPr>
          <w:rFonts w:eastAsia="SimSun"/>
          <w:lang w:eastAsia="zh-CN"/>
        </w:rPr>
        <w:t>For the purpose of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r w:rsidRPr="00ED07A4">
              <w:rPr>
                <w:rFonts w:cs="Arial"/>
              </w:rPr>
              <w:t>F</w:t>
            </w:r>
            <w:r w:rsidRPr="00ED07A4">
              <w:rPr>
                <w:rFonts w:cs="Arial"/>
                <w:vertAlign w:val="subscript"/>
              </w:rPr>
              <w:t>UL_low</w:t>
            </w:r>
            <w:r w:rsidRPr="00ED07A4">
              <w:rPr>
                <w:rFonts w:cs="Arial"/>
              </w:rPr>
              <w:t xml:space="preserve"> – F</w:t>
            </w:r>
            <w:r w:rsidRPr="00ED07A4">
              <w:rPr>
                <w:rFonts w:cs="Arial"/>
                <w:vertAlign w:val="subscript"/>
              </w:rPr>
              <w:t>UL_high</w:t>
            </w:r>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r w:rsidRPr="00ED07A4">
              <w:rPr>
                <w:rFonts w:cs="Arial"/>
              </w:rPr>
              <w:t>F</w:t>
            </w:r>
            <w:r w:rsidRPr="00ED07A4">
              <w:rPr>
                <w:rFonts w:cs="Arial"/>
                <w:vertAlign w:val="subscript"/>
              </w:rPr>
              <w:t>DL_low</w:t>
            </w:r>
            <w:r w:rsidRPr="00ED07A4">
              <w:rPr>
                <w:rFonts w:cs="Arial"/>
              </w:rPr>
              <w:t xml:space="preserve"> – F</w:t>
            </w:r>
            <w:r w:rsidRPr="00ED07A4">
              <w:rPr>
                <w:rFonts w:cs="Arial"/>
                <w:vertAlign w:val="subscript"/>
              </w:rPr>
              <w:t>DL_high</w:t>
            </w:r>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6E18F6">
            <w:pPr>
              <w:pStyle w:val="TAC"/>
              <w:ind w:left="851" w:hanging="851"/>
              <w:jc w:val="both"/>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lastRenderedPageBreak/>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lastRenderedPageBreak/>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The relationship between the channel bandwidth, the guardband and the transmission bandwidth configuration is shown in Figure 5.3.1-1.</w:t>
      </w:r>
    </w:p>
    <w:p w14:paraId="5035A351" w14:textId="77777777" w:rsidR="0032234A" w:rsidRPr="00ED07A4" w:rsidRDefault="00F264BF">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Minimum guardband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The minimum guardband for each UE channel bandwidth and SCS is specified in Table 5.3.3-1</w:t>
      </w:r>
      <w:r w:rsidRPr="00ED07A4">
        <w:rPr>
          <w:rFonts w:eastAsia="SimSun"/>
        </w:rPr>
        <w:t>.</w:t>
      </w:r>
    </w:p>
    <w:p w14:paraId="26FBD70B" w14:textId="77777777" w:rsidR="0032234A" w:rsidRPr="00ED07A4" w:rsidRDefault="0032234A">
      <w:pPr>
        <w:pStyle w:val="TH"/>
      </w:pPr>
      <w:r w:rsidRPr="00ED07A4">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guardbands have been calculated using the following equation: </w:t>
      </w:r>
      <w:r w:rsidR="003D625C" w:rsidRPr="003D625C">
        <w:t xml:space="preserve">GBchannel = </w:t>
      </w:r>
      <w:r w:rsidRPr="00ED07A4">
        <w:t>(BW</w:t>
      </w:r>
      <w:r w:rsidRPr="00ED07A4">
        <w:rPr>
          <w:vertAlign w:val="subscript"/>
        </w:rPr>
        <w:t>Channel</w:t>
      </w:r>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GBchannel expressed in kHz</w:t>
      </w:r>
      <w:r w:rsidRPr="00ED07A4">
        <w:t>.</w:t>
      </w:r>
    </w:p>
    <w:p w14:paraId="26E089FF" w14:textId="77777777" w:rsidR="0032234A" w:rsidRPr="00ED07A4" w:rsidRDefault="0032234A">
      <w:r w:rsidRPr="00ED07A4">
        <w:t>The minimum guardband of receiving BS SCS 240 kHz SS/PBCH block for each UE channel bandwidth is specified in table 5.3.3-2 for FR2.</w:t>
      </w:r>
    </w:p>
    <w:p w14:paraId="0F1AB82F" w14:textId="77777777" w:rsidR="0032234A" w:rsidRPr="00ED07A4" w:rsidRDefault="0032234A">
      <w:pPr>
        <w:pStyle w:val="TH"/>
      </w:pPr>
      <w:r w:rsidRPr="00ED07A4">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The minimum guardband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The number of RBs configured in any channel bandwidth shall ensure that the minimum guardband specified in this clause is met.</w:t>
      </w:r>
    </w:p>
    <w:p w14:paraId="3FAC4302" w14:textId="77777777" w:rsidR="0032234A" w:rsidRPr="00ED07A4" w:rsidRDefault="00F264BF">
      <w:pPr>
        <w:pStyle w:val="TH"/>
        <w:rPr>
          <w:rFonts w:eastAsia="SimSun"/>
        </w:rPr>
      </w:pPr>
      <w:r>
        <w:pict w14:anchorId="720ED3CD">
          <v:shape id="Picture 15" o:spid="_x0000_i1026" type="#_x0000_t75" style="width:331.5pt;height:180.5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guardband </w:t>
      </w:r>
      <w:r w:rsidRPr="00ED07A4">
        <w:rPr>
          <w:rFonts w:eastAsia="Yu Mincho"/>
        </w:rPr>
        <w:t>on each side of the carrier is the guardband applied at the configured channel bandwidth for the numerology that is transmitted immediately adjacent to the guardband</w:t>
      </w:r>
      <w:r w:rsidRPr="00ED07A4">
        <w:rPr>
          <w:rFonts w:eastAsia="SimSun"/>
        </w:rPr>
        <w:t>.</w:t>
      </w:r>
    </w:p>
    <w:p w14:paraId="47DCCD55" w14:textId="77777777" w:rsidR="0032234A" w:rsidRPr="00ED07A4" w:rsidRDefault="0032234A">
      <w:pPr>
        <w:rPr>
          <w:rFonts w:eastAsia="SimSun"/>
        </w:rPr>
      </w:pPr>
      <w:r w:rsidRPr="00ED07A4">
        <w:t>If multiple numerologies are multiplexed in the same symbol and the UE channel bandwidth is &gt;200 MHz, the minimum guardband applied adjacent to 60</w:t>
      </w:r>
      <w:r w:rsidRPr="00ED07A4">
        <w:rPr>
          <w:rFonts w:eastAsia="SimSun"/>
        </w:rPr>
        <w:t xml:space="preserve"> </w:t>
      </w:r>
      <w:r w:rsidRPr="00ED07A4">
        <w:t>kHz SCS shall be the same as the minimum guardband defined for 120</w:t>
      </w:r>
      <w:r w:rsidRPr="00ED07A4">
        <w:rPr>
          <w:rFonts w:eastAsia="SimSun"/>
        </w:rPr>
        <w:t xml:space="preserve"> </w:t>
      </w:r>
      <w:r w:rsidRPr="00ED07A4">
        <w:t>kHz SCS for the same UE channel bandwidth.</w:t>
      </w:r>
    </w:p>
    <w:p w14:paraId="7CBE04ED" w14:textId="77777777" w:rsidR="0032234A" w:rsidRPr="00ED07A4" w:rsidRDefault="00F264BF">
      <w:pPr>
        <w:pStyle w:val="TH"/>
        <w:rPr>
          <w:rFonts w:eastAsia="SimSun"/>
        </w:rPr>
      </w:pPr>
      <w:r>
        <w:lastRenderedPageBreak/>
        <w:pict w14:anchorId="3DE05F60">
          <v:shape id="Picture 2" o:spid="_x0000_i1027" type="#_x0000_t75" style="width:329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Guardband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Figure 5.3.3-3 is not intended to imply the size of any guard between the two numerologies. Inter-numerology guardband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r w:rsidRPr="00ED07A4">
        <w:rPr>
          <w:rFonts w:eastAsia="Yu Mincho"/>
          <w:i/>
        </w:rPr>
        <w:t>carrierBandwidth</w:t>
      </w:r>
      <w:r w:rsidRPr="00ED07A4">
        <w:rPr>
          <w:rFonts w:eastAsia="Yu Mincho"/>
          <w:iCs/>
        </w:rPr>
        <w:t xml:space="preserve"> [19] and will</w:t>
      </w:r>
      <w:r w:rsidRPr="00ED07A4">
        <w:t xml:space="preserve"> fulfil the minimum UE guardband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lastRenderedPageBreak/>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Minimum guardband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6pt;height:219.5pt" o:ole="">
            <v:imagedata r:id="rId16" o:title=""/>
          </v:shape>
          <o:OLEObject Type="Embed" ProgID="Word.Document.12" ShapeID="_x0000_i1028" DrawAspect="Content" ObjectID="_1781984115"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r w:rsidRPr="00ED07A4">
        <w:rPr>
          <w:bCs/>
        </w:rPr>
        <w:t>BW</w:t>
      </w:r>
      <w:r w:rsidRPr="00ED07A4">
        <w:rPr>
          <w:bCs/>
          <w:vertAlign w:val="subscript"/>
        </w:rPr>
        <w:t>Channel_CA</w:t>
      </w:r>
      <w:r w:rsidRPr="00ED07A4">
        <w:t>, is defined as</w:t>
      </w:r>
    </w:p>
    <w:p w14:paraId="5D7CCFEA" w14:textId="77777777" w:rsidR="0032234A" w:rsidRPr="00ED07A4" w:rsidRDefault="0032234A">
      <w:pPr>
        <w:pStyle w:val="EQ"/>
        <w:rPr>
          <w:noProof w:val="0"/>
          <w:vertAlign w:val="subscript"/>
        </w:rPr>
      </w:pPr>
      <w:r w:rsidRPr="00ED07A4">
        <w:rPr>
          <w:noProof w:val="0"/>
        </w:rPr>
        <w:tab/>
        <w:t>BW</w:t>
      </w:r>
      <w:r w:rsidRPr="00ED07A4">
        <w:rPr>
          <w:noProof w:val="0"/>
          <w:vertAlign w:val="subscript"/>
        </w:rPr>
        <w:t xml:space="preserve">Channel_CA </w:t>
      </w:r>
      <w:r w:rsidRPr="00ED07A4">
        <w:rPr>
          <w:noProof w:val="0"/>
        </w:rPr>
        <w:t>= F</w:t>
      </w:r>
      <w:r w:rsidRPr="00ED07A4">
        <w:rPr>
          <w:noProof w:val="0"/>
          <w:vertAlign w:val="subscript"/>
        </w:rPr>
        <w:t xml:space="preserve">edge,high </w:t>
      </w:r>
      <w:r w:rsidRPr="00ED07A4">
        <w:rPr>
          <w:noProof w:val="0"/>
        </w:rPr>
        <w:t>- F</w:t>
      </w:r>
      <w:r w:rsidRPr="00ED07A4">
        <w:rPr>
          <w:noProof w:val="0"/>
          <w:vertAlign w:val="subscript"/>
        </w:rPr>
        <w:t>edge,low</w:t>
      </w:r>
      <w:r w:rsidRPr="00ED07A4">
        <w:rPr>
          <w:noProof w:val="0"/>
        </w:rPr>
        <w:t xml:space="preserve"> (MHz).</w:t>
      </w:r>
    </w:p>
    <w:p w14:paraId="18411E60" w14:textId="77777777" w:rsidR="0032234A" w:rsidRPr="00ED07A4" w:rsidRDefault="0032234A">
      <w:r w:rsidRPr="00ED07A4">
        <w:t>The lower bandwidth edge F</w:t>
      </w:r>
      <w:r w:rsidRPr="00ED07A4">
        <w:rPr>
          <w:vertAlign w:val="subscript"/>
        </w:rPr>
        <w:t>edge, low</w:t>
      </w:r>
      <w:r w:rsidRPr="00ED07A4">
        <w:t xml:space="preserve"> and the upper bandwidth edge F</w:t>
      </w:r>
      <w:r w:rsidRPr="00ED07A4">
        <w:rPr>
          <w:vertAlign w:val="subscript"/>
        </w:rPr>
        <w:t xml:space="preserve">edge,high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edge,low </w:t>
      </w:r>
      <w:r w:rsidRPr="00ED07A4">
        <w:rPr>
          <w:noProof w:val="0"/>
        </w:rPr>
        <w:t>= F</w:t>
      </w:r>
      <w:r w:rsidRPr="00ED07A4">
        <w:rPr>
          <w:noProof w:val="0"/>
          <w:vertAlign w:val="subscript"/>
        </w:rPr>
        <w:t xml:space="preserve">C,low </w:t>
      </w:r>
      <w:r w:rsidRPr="00ED07A4">
        <w:rPr>
          <w:noProof w:val="0"/>
        </w:rPr>
        <w:t>- F</w:t>
      </w:r>
      <w:r w:rsidRPr="00ED07A4">
        <w:rPr>
          <w:noProof w:val="0"/>
          <w:vertAlign w:val="subscript"/>
        </w:rPr>
        <w:t>offset,low</w:t>
      </w:r>
    </w:p>
    <w:p w14:paraId="79D2167C"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edge,high </w:t>
      </w:r>
      <w:r w:rsidRPr="00ED07A4">
        <w:rPr>
          <w:noProof w:val="0"/>
        </w:rPr>
        <w:t>= F</w:t>
      </w:r>
      <w:r w:rsidRPr="00ED07A4">
        <w:rPr>
          <w:noProof w:val="0"/>
          <w:vertAlign w:val="subscript"/>
        </w:rPr>
        <w:t xml:space="preserve">C,high </w:t>
      </w:r>
      <w:r w:rsidRPr="00ED07A4">
        <w:rPr>
          <w:noProof w:val="0"/>
        </w:rPr>
        <w:t>+ F</w:t>
      </w:r>
      <w:r w:rsidRPr="00ED07A4">
        <w:rPr>
          <w:noProof w:val="0"/>
          <w:vertAlign w:val="subscript"/>
        </w:rPr>
        <w:t>offset,high</w:t>
      </w:r>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2DB7A1E0" w14:textId="77777777" w:rsidR="0032234A" w:rsidRPr="00ED07A4" w:rsidRDefault="0032234A">
      <w:r w:rsidRPr="00ED07A4">
        <w:t>N</w:t>
      </w:r>
      <w:r w:rsidRPr="00ED07A4">
        <w:rPr>
          <w:vertAlign w:val="subscript"/>
        </w:rPr>
        <w:t xml:space="preserve">RB,low </w:t>
      </w:r>
      <w:r w:rsidRPr="00ED07A4">
        <w:t>and N</w:t>
      </w:r>
      <w:r w:rsidRPr="00ED07A4">
        <w:rPr>
          <w:vertAlign w:val="subscript"/>
        </w:rPr>
        <w:t xml:space="preserve">RB,high </w:t>
      </w:r>
      <w:r w:rsidRPr="00ED07A4">
        <w:t>are the transmission bandwidth configurations according to Table 5.3.2-1 for the lowest and highest assigned component carrier, SCS</w:t>
      </w:r>
      <w:r w:rsidRPr="00ED07A4">
        <w:rPr>
          <w:vertAlign w:val="subscript"/>
        </w:rPr>
        <w:t xml:space="preserve">low </w:t>
      </w:r>
      <w:r w:rsidRPr="00ED07A4">
        <w:t>and SCS</w:t>
      </w:r>
      <w:r w:rsidRPr="00ED07A4">
        <w:rPr>
          <w:vertAlign w:val="subscript"/>
        </w:rPr>
        <w:t xml:space="preserve">high </w:t>
      </w:r>
      <w:r w:rsidRPr="00ED07A4">
        <w:t>are the sub-carrier spacing for the lowest and highest assigned component carrier respectively.</w:t>
      </w:r>
      <w:r w:rsidR="00137014" w:rsidRPr="00ED07A4">
        <w:rPr>
          <w:rFonts w:ascii="SimSun" w:eastAsia="SimSun" w:hAnsi="SimSun"/>
          <w:lang w:eastAsia="zh-CN"/>
        </w:rPr>
        <w:t xml:space="preserve">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lastRenderedPageBreak/>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3pt" o:ole="">
            <v:imagedata r:id="rId18" o:title=""/>
          </v:shape>
          <o:OLEObject Type="Embed" ProgID="Word.Document.12" ShapeID="_x0000_i1029" DrawAspect="Content" ObjectID="_1781984116"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(BW</w:t>
      </w:r>
      <w:r w:rsidRPr="00ED07A4">
        <w:rPr>
          <w:vertAlign w:val="subscript"/>
        </w:rPr>
        <w:t>Channel,block</w:t>
      </w:r>
      <w:r w:rsidRPr="00ED07A4">
        <w:t>) is defined as</w:t>
      </w:r>
    </w:p>
    <w:p w14:paraId="32E17FA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 low </w:t>
      </w:r>
      <w:r w:rsidRPr="00ED07A4">
        <w:rPr>
          <w:noProof w:val="0"/>
        </w:rPr>
        <w:t>= F</w:t>
      </w:r>
      <w:r w:rsidRPr="00ED07A4">
        <w:rPr>
          <w:noProof w:val="0"/>
          <w:vertAlign w:val="subscript"/>
        </w:rPr>
        <w:t xml:space="preserve">C,block,low </w:t>
      </w:r>
      <w:r w:rsidRPr="00ED07A4">
        <w:rPr>
          <w:noProof w:val="0"/>
        </w:rPr>
        <w:t>- F</w:t>
      </w:r>
      <w:r w:rsidRPr="00ED07A4">
        <w:rPr>
          <w:noProof w:val="0"/>
          <w:vertAlign w:val="subscript"/>
        </w:rPr>
        <w:t>offset,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edge,block,high </w:t>
      </w:r>
      <w:r w:rsidRPr="00ED07A4">
        <w:rPr>
          <w:noProof w:val="0"/>
        </w:rPr>
        <w:t>= F</w:t>
      </w:r>
      <w:r w:rsidRPr="00ED07A4">
        <w:rPr>
          <w:noProof w:val="0"/>
          <w:vertAlign w:val="subscript"/>
        </w:rPr>
        <w:t xml:space="preserve">C,block,high </w:t>
      </w:r>
      <w:r w:rsidRPr="00ED07A4">
        <w:rPr>
          <w:noProof w:val="0"/>
        </w:rPr>
        <w:t>+ F</w:t>
      </w:r>
      <w:r w:rsidRPr="00ED07A4">
        <w:rPr>
          <w:noProof w:val="0"/>
          <w:vertAlign w:val="subscript"/>
        </w:rPr>
        <w:t>offset, high.</w:t>
      </w:r>
    </w:p>
    <w:p w14:paraId="490982CF" w14:textId="77777777" w:rsidR="0032234A" w:rsidRPr="00ED07A4" w:rsidRDefault="0032234A">
      <w:r w:rsidRPr="00ED07A4">
        <w:t>The Sub-block Bandwidth, BW</w:t>
      </w:r>
      <w:r w:rsidRPr="00ED07A4">
        <w:rPr>
          <w:vertAlign w:val="subscript"/>
        </w:rPr>
        <w:t>Channel,block</w:t>
      </w:r>
      <w:r w:rsidRPr="00ED07A4">
        <w:t>, is defined as follows:</w:t>
      </w:r>
    </w:p>
    <w:p w14:paraId="0CEC0B7B" w14:textId="77777777" w:rsidR="0032234A" w:rsidRPr="00ED07A4" w:rsidRDefault="0032234A">
      <w:pPr>
        <w:pStyle w:val="EQ"/>
        <w:jc w:val="center"/>
        <w:rPr>
          <w:noProof w:val="0"/>
        </w:rPr>
      </w:pPr>
      <w:r w:rsidRPr="00ED07A4">
        <w:rPr>
          <w:noProof w:val="0"/>
        </w:rPr>
        <w:t>BW</w:t>
      </w:r>
      <w:r w:rsidRPr="00ED07A4">
        <w:rPr>
          <w:noProof w:val="0"/>
          <w:vertAlign w:val="subscript"/>
        </w:rPr>
        <w:t xml:space="preserve">Channel,block </w:t>
      </w:r>
      <w:r w:rsidRPr="00ED07A4">
        <w:rPr>
          <w:noProof w:val="0"/>
        </w:rPr>
        <w:t>= F</w:t>
      </w:r>
      <w:r w:rsidRPr="00ED07A4">
        <w:rPr>
          <w:noProof w:val="0"/>
          <w:vertAlign w:val="subscript"/>
        </w:rPr>
        <w:t>edge,block,high -</w:t>
      </w:r>
      <w:r w:rsidRPr="00ED07A4">
        <w:rPr>
          <w:noProof w:val="0"/>
        </w:rPr>
        <w:t xml:space="preserve"> F</w:t>
      </w:r>
      <w:r w:rsidRPr="00ED07A4">
        <w:rPr>
          <w:noProof w:val="0"/>
          <w:vertAlign w:val="subscript"/>
        </w:rPr>
        <w:t xml:space="preserve">edge,block,low </w:t>
      </w:r>
      <w:r w:rsidRPr="00ED07A4">
        <w:rPr>
          <w:noProof w:val="0"/>
        </w:rPr>
        <w:t>(MHz)</w:t>
      </w:r>
    </w:p>
    <w:p w14:paraId="56811DB6" w14:textId="77777777" w:rsidR="0032234A" w:rsidRPr="00ED07A4" w:rsidRDefault="0032234A">
      <w:r w:rsidRPr="00ED07A4">
        <w:t>The lower and upper frequency offsets F</w:t>
      </w:r>
      <w:r w:rsidRPr="00ED07A4">
        <w:rPr>
          <w:vertAlign w:val="subscript"/>
        </w:rPr>
        <w:t xml:space="preserve">offset,block,low </w:t>
      </w:r>
      <w:r w:rsidRPr="00ED07A4">
        <w:t>and F</w:t>
      </w:r>
      <w:r w:rsidRPr="00ED07A4">
        <w:rPr>
          <w:vertAlign w:val="subscript"/>
        </w:rPr>
        <w:t>offset,block,high</w:t>
      </w:r>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14D12D33" w14:textId="77777777" w:rsidR="0032234A" w:rsidRPr="00ED07A4" w:rsidRDefault="0032234A">
      <w:r w:rsidRPr="00ED07A4">
        <w:t>where N</w:t>
      </w:r>
      <w:r w:rsidRPr="00ED07A4">
        <w:rPr>
          <w:vertAlign w:val="subscript"/>
        </w:rPr>
        <w:t xml:space="preserve">RB,low </w:t>
      </w:r>
      <w:r w:rsidRPr="00ED07A4">
        <w:t>and N</w:t>
      </w:r>
      <w:r w:rsidRPr="00ED07A4">
        <w:rPr>
          <w:vertAlign w:val="subscript"/>
        </w:rPr>
        <w:t xml:space="preserve">RB,high </w:t>
      </w:r>
      <w:r w:rsidRPr="00ED07A4">
        <w:t xml:space="preserve">are the transmission bandwidth configurations according to Table 5.3.2-1 for the lowest and highest assigned component carrier within a sub-block, respectively.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r w:rsidRPr="00ED07A4">
        <w:t>SCS</w:t>
      </w:r>
      <w:r w:rsidRPr="00ED07A4">
        <w:rPr>
          <w:vertAlign w:val="subscript"/>
        </w:rPr>
        <w:t xml:space="preserve">low </w:t>
      </w:r>
      <w:r w:rsidRPr="00ED07A4">
        <w:t>and SCS</w:t>
      </w:r>
      <w:r w:rsidRPr="00ED07A4">
        <w:rPr>
          <w:vertAlign w:val="subscript"/>
        </w:rPr>
        <w:t xml:space="preserve">high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The sub-block gap size between two consecutive sub-blocks W</w:t>
      </w:r>
      <w:r w:rsidRPr="00ED07A4">
        <w:rPr>
          <w:vertAlign w:val="subscript"/>
        </w:rPr>
        <w:t>gap</w:t>
      </w:r>
      <w:r w:rsidRPr="00ED07A4">
        <w:t xml:space="preserve"> is defined as</w:t>
      </w:r>
    </w:p>
    <w:p w14:paraId="51F30E25" w14:textId="77777777" w:rsidR="0032234A" w:rsidRPr="00ED07A4" w:rsidRDefault="0032234A">
      <w:pPr>
        <w:pStyle w:val="EQ"/>
        <w:jc w:val="center"/>
        <w:rPr>
          <w:noProof w:val="0"/>
        </w:rPr>
      </w:pPr>
      <w:r w:rsidRPr="00ED07A4">
        <w:rPr>
          <w:noProof w:val="0"/>
        </w:rPr>
        <w:t>W</w:t>
      </w:r>
      <w:r w:rsidRPr="00ED07A4">
        <w:rPr>
          <w:noProof w:val="0"/>
          <w:vertAlign w:val="subscript"/>
        </w:rPr>
        <w:t>gap</w:t>
      </w:r>
      <w:r w:rsidRPr="00ED07A4">
        <w:rPr>
          <w:noProof w:val="0"/>
        </w:rPr>
        <w:t xml:space="preserve"> = F</w:t>
      </w:r>
      <w:r w:rsidRPr="00ED07A4">
        <w:rPr>
          <w:noProof w:val="0"/>
          <w:vertAlign w:val="subscript"/>
        </w:rPr>
        <w:t>edge,block n+1,low -</w:t>
      </w:r>
      <w:r w:rsidRPr="00ED07A4">
        <w:rPr>
          <w:noProof w:val="0"/>
        </w:rPr>
        <w:t xml:space="preserve"> F</w:t>
      </w:r>
      <w:r w:rsidRPr="00ED07A4">
        <w:rPr>
          <w:noProof w:val="0"/>
          <w:vertAlign w:val="subscript"/>
        </w:rPr>
        <w:t>edge,block n,high</w:t>
      </w:r>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lastRenderedPageBreak/>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r w:rsidRPr="00ED07A4">
              <w:t>BW</w:t>
            </w:r>
            <w:r w:rsidRPr="00ED07A4">
              <w:rPr>
                <w:vertAlign w:val="subscript"/>
              </w:rPr>
              <w:t>Channel</w:t>
            </w:r>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800 MHz &lt; BW</w:t>
            </w:r>
            <w:r w:rsidRPr="00ED07A4">
              <w:rPr>
                <w:vertAlign w:val="subscript"/>
              </w:rPr>
              <w:t>Channel_CA</w:t>
            </w:r>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100 MHz &lt; BW</w:t>
            </w:r>
            <w:r w:rsidRPr="00ED07A4">
              <w:rPr>
                <w:vertAlign w:val="subscript"/>
              </w:rPr>
              <w:t>Channel_CA</w:t>
            </w:r>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300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500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700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100 MHz ≤ BW</w:t>
            </w:r>
            <w:r w:rsidRPr="00ED07A4">
              <w:rPr>
                <w:vertAlign w:val="subscript"/>
              </w:rPr>
              <w:t>Channel_CA</w:t>
            </w:r>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150 MHz ≤ BW</w:t>
            </w:r>
            <w:r w:rsidRPr="00ED07A4">
              <w:rPr>
                <w:vertAlign w:val="subscript"/>
              </w:rPr>
              <w:t>Channel_CA</w:t>
            </w:r>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200 MHz ≤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{-20 kHz, 0 kHz, 20 kHz} for ∆F</w:t>
      </w:r>
      <w:r w:rsidRPr="00ED07A4">
        <w:rPr>
          <w:noProof w:val="0"/>
          <w:vertAlign w:val="subscript"/>
          <w:lang w:eastAsia="zh-CN"/>
        </w:rPr>
        <w:t>Raster</w:t>
      </w:r>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{-40 kHz, 0 kHz, 40 kHz} for ∆F</w:t>
      </w:r>
      <w:r w:rsidRPr="00ED07A4">
        <w:rPr>
          <w:noProof w:val="0"/>
          <w:vertAlign w:val="subscript"/>
          <w:lang w:eastAsia="zh-CN"/>
        </w:rPr>
        <w:t>Raster</w:t>
      </w:r>
      <w:r w:rsidRPr="00ED07A4">
        <w:rPr>
          <w:noProof w:val="0"/>
          <w:lang w:eastAsia="zh-CN"/>
        </w:rPr>
        <w:t xml:space="preserve"> equals to 120 kHz</w:t>
      </w:r>
    </w:p>
    <w:p w14:paraId="32D22027" w14:textId="77777777" w:rsidR="0032234A" w:rsidRPr="00ED07A4" w:rsidRDefault="0032234A">
      <w:r w:rsidRPr="00ED07A4">
        <w:t>where BW</w:t>
      </w:r>
      <w:r w:rsidRPr="00ED07A4">
        <w:rPr>
          <w:vertAlign w:val="subscript"/>
        </w:rPr>
        <w:t>Channel(1)</w:t>
      </w:r>
      <w:r w:rsidRPr="00ED07A4">
        <w:t xml:space="preserve"> and BW</w:t>
      </w:r>
      <w:r w:rsidRPr="00ED07A4">
        <w:rPr>
          <w:vertAlign w:val="subscript"/>
        </w:rPr>
        <w:t>Channel(2)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lastRenderedPageBreak/>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The global frequency raster is defined for all frequencies from 0 to 100 GHz. The granularity of the global frequency raster is ΔF</w:t>
      </w:r>
      <w:r w:rsidRPr="00ED07A4">
        <w:rPr>
          <w:rFonts w:eastAsia="Yu Mincho"/>
          <w:vertAlign w:val="subscript"/>
        </w:rPr>
        <w:t>Global</w:t>
      </w:r>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N</w:t>
      </w:r>
      <w:r w:rsidRPr="00ED07A4">
        <w:rPr>
          <w:rFonts w:eastAsia="Yu Mincho"/>
          <w:vertAlign w:val="subscript"/>
        </w:rPr>
        <w:t>Ref-Offs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ΔF</w:t>
      </w:r>
      <w:r w:rsidRPr="00ED07A4">
        <w:rPr>
          <w:noProof w:val="0"/>
          <w:vertAlign w:val="subscript"/>
        </w:rPr>
        <w:t>Global</w:t>
      </w:r>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r w:rsidRPr="00ED07A4">
              <w:t>ΔF</w:t>
            </w:r>
            <w:r w:rsidRPr="00ED07A4">
              <w:rPr>
                <w:vertAlign w:val="subscript"/>
              </w:rPr>
              <w:t>Global</w:t>
            </w:r>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ED07A4">
        <w:rPr>
          <w:rFonts w:eastAsia="Yu Mincho"/>
          <w:vertAlign w:val="subscript"/>
        </w:rPr>
        <w:t>Raster</w:t>
      </w:r>
      <w:r w:rsidRPr="00ED07A4">
        <w:rPr>
          <w:rFonts w:eastAsia="Yu Mincho"/>
        </w:rPr>
        <w:t>, which may be equal to or larger than ΔF</w:t>
      </w:r>
      <w:r w:rsidRPr="00ED07A4">
        <w:rPr>
          <w:rFonts w:eastAsia="Yu Mincho"/>
          <w:vertAlign w:val="subscript"/>
        </w:rPr>
        <w:t>Global</w:t>
      </w:r>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5pt;height:19pt" o:ole="">
                  <v:imagedata r:id="rId20" o:title=""/>
                </v:shape>
                <o:OLEObject Type="Embed" ProgID="Equation.3" ShapeID="_x0000_i1030" DrawAspect="Content" ObjectID="_1781984117"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5pt;height:19pt" o:ole="">
                  <v:imagedata r:id="rId22" o:title=""/>
                </v:shape>
                <o:OLEObject Type="Embed" ProgID="Equation.3" ShapeID="_x0000_i1031" DrawAspect="Content" ObjectID="_1781984118"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9pt;height:13.5pt" o:ole="">
                  <v:imagedata r:id="rId24" o:title=""/>
                </v:shape>
                <o:OLEObject Type="Embed" ProgID="Equation.3" ShapeID="_x0000_i1032" DrawAspect="Content" ObjectID="_1781984119"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2pt;height:17.5pt" o:ole="">
                  <v:imagedata r:id="rId26" o:title=""/>
                </v:shape>
                <o:OLEObject Type="Embed" ProgID="Equation.3" ShapeID="_x0000_i1033" DrawAspect="Content" ObjectID="_1781984120"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5pt;height:36.5pt" o:ole="">
                  <v:imagedata r:id="rId28" o:title=""/>
                </v:shape>
                <o:OLEObject Type="Embed" ProgID="Equation.3" ShapeID="_x0000_i1034" DrawAspect="Content" ObjectID="_1781984121"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5pt;height:36.5pt" o:ole="">
                  <v:imagedata r:id="rId30" o:title=""/>
                </v:shape>
                <o:OLEObject Type="Embed" ProgID="Equation.3" ShapeID="_x0000_i1035" DrawAspect="Content" ObjectID="_1781984122"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9pt;height:13.5pt" o:ole="">
            <v:imagedata r:id="rId24" o:title=""/>
          </v:shape>
          <o:OLEObject Type="Embed" ProgID="Equation.3" ShapeID="_x0000_i1036" DrawAspect="Content" ObjectID="_1781984123" r:id="rId32"/>
        </w:object>
      </w:r>
      <w:r w:rsidRPr="00ED07A4">
        <w:t xml:space="preserve">, </w:t>
      </w:r>
      <w:r w:rsidRPr="00ED07A4">
        <w:rPr>
          <w:position w:val="-10"/>
        </w:rPr>
        <w:object w:dxaOrig="440" w:dyaOrig="300" w14:anchorId="27889223">
          <v:shape id="_x0000_i1037" type="#_x0000_t75" style="width:22pt;height:17.5pt" o:ole="">
            <v:imagedata r:id="rId26" o:title=""/>
          </v:shape>
          <o:OLEObject Type="Embed" ProgID="Equation.3" ShapeID="_x0000_i1037" DrawAspect="Content" ObjectID="_1781984124" r:id="rId33"/>
        </w:object>
      </w:r>
      <w:r w:rsidRPr="00ED07A4">
        <w:t xml:space="preserve"> , </w:t>
      </w:r>
      <w:r w:rsidRPr="00ED07A4">
        <w:rPr>
          <w:position w:val="-10"/>
        </w:rPr>
        <w:object w:dxaOrig="460" w:dyaOrig="360" w14:anchorId="3D5B124B">
          <v:shape id="_x0000_i1038" type="#_x0000_t75" style="width:24.5pt;height:19pt" o:ole="">
            <v:imagedata r:id="rId34" o:title=""/>
          </v:shape>
          <o:OLEObject Type="Embed" ProgID="Equation.3" ShapeID="_x0000_i1038" DrawAspect="Content" ObjectID="_1781984125"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For NR operating bands with 60 kHz channel raster above 24 GHz, ΔF</w:t>
      </w:r>
      <w:r w:rsidRPr="00ED07A4">
        <w:rPr>
          <w:vertAlign w:val="subscript"/>
        </w:rPr>
        <w:t>Raster</w:t>
      </w:r>
      <w:r w:rsidRPr="00ED07A4">
        <w:t xml:space="preserve"> = </w:t>
      </w:r>
      <w:r w:rsidRPr="00ED07A4">
        <w:rPr>
          <w:i/>
        </w:rPr>
        <w:t>I</w:t>
      </w:r>
      <w:r w:rsidRPr="00ED07A4">
        <w:t xml:space="preserve"> ×ΔF</w:t>
      </w:r>
      <w:r w:rsidRPr="00ED07A4">
        <w:rPr>
          <w:vertAlign w:val="subscript"/>
        </w:rPr>
        <w:t>Global</w:t>
      </w:r>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r w:rsidRPr="00ED07A4">
        <w:rPr>
          <w:rFonts w:eastAsia="Yu Mincho"/>
          <w:i/>
        </w:rPr>
        <w:t>I</w:t>
      </w:r>
      <w:r w:rsidRPr="00ED07A4">
        <w:rPr>
          <w:rFonts w:eastAsia="Yu Mincho"/>
          <w:i/>
          <w:vertAlign w:val="superscript"/>
        </w:rPr>
        <w:t>th</w:t>
      </w:r>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In frequency bands with two ΔF</w:t>
      </w:r>
      <w:r w:rsidRPr="00ED07A4">
        <w:rPr>
          <w:rFonts w:eastAsia="Yu Mincho"/>
          <w:vertAlign w:val="subscript"/>
        </w:rPr>
        <w:t>Raster</w:t>
      </w:r>
      <w:r w:rsidRPr="00ED07A4">
        <w:rPr>
          <w:rFonts w:eastAsia="Yu Mincho"/>
        </w:rPr>
        <w:t>, the higher ΔF</w:t>
      </w:r>
      <w:r w:rsidRPr="00ED07A4">
        <w:rPr>
          <w:rFonts w:eastAsia="Yu Mincho"/>
          <w:vertAlign w:val="subscript"/>
        </w:rPr>
        <w:t>Raster</w:t>
      </w:r>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the higher ΔF</w:t>
      </w:r>
      <w:r w:rsidRPr="00ED07A4">
        <w:rPr>
          <w:rFonts w:eastAsia="Yu Mincho"/>
          <w:vertAlign w:val="subscript"/>
        </w:rPr>
        <w:t>Raster</w:t>
      </w:r>
      <w:r w:rsidR="008E501C" w:rsidRPr="00ED07A4">
        <w:rPr>
          <w:vertAlign w:val="subscript"/>
          <w:lang w:eastAsia="zh-CN"/>
        </w:rPr>
        <w:t xml:space="preserve"> </w:t>
      </w:r>
      <w:r w:rsidR="008E501C" w:rsidRPr="00ED07A4">
        <w:rPr>
          <w:rFonts w:eastAsia="Yu Mincho"/>
        </w:rPr>
        <w:t>and the SSB SCS that is equal to or larger than the higher ΔF</w:t>
      </w:r>
      <w:r w:rsidR="008E501C" w:rsidRPr="00ED07A4">
        <w:rPr>
          <w:rFonts w:eastAsia="Yu Mincho"/>
          <w:vertAlign w:val="subscript"/>
        </w:rPr>
        <w:t>Raster</w:t>
      </w:r>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r w:rsidRPr="00ED07A4">
              <w:t>ΔF</w:t>
            </w:r>
            <w:r w:rsidRPr="00ED07A4">
              <w:rPr>
                <w:bCs/>
                <w:vertAlign w:val="subscript"/>
              </w:rPr>
              <w:t>Raster</w:t>
            </w:r>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7.5pt;mso-position-horizontal-relative:page;mso-position-vertical-relative:page" o:ole="">
            <v:fill o:detectmouseclick="t"/>
            <v:imagedata r:id="rId36" o:title=""/>
          </v:shape>
          <o:OLEObject Type="Embed" ProgID="Equation.3" ShapeID="对象 7" DrawAspect="Content" ObjectID="_1781984126"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where BW</w:t>
      </w:r>
      <w:r w:rsidRPr="00ED07A4">
        <w:rPr>
          <w:rFonts w:eastAsia="Yu Mincho"/>
          <w:vertAlign w:val="subscript"/>
        </w:rPr>
        <w:t xml:space="preserve">Channel(1) </w:t>
      </w:r>
      <w:r w:rsidRPr="00ED07A4">
        <w:rPr>
          <w:rFonts w:eastAsia="Yu Mincho"/>
        </w:rPr>
        <w:t>and BW</w:t>
      </w:r>
      <w:r w:rsidRPr="00ED07A4">
        <w:rPr>
          <w:rFonts w:eastAsia="Yu Mincho"/>
          <w:vertAlign w:val="subscript"/>
        </w:rPr>
        <w:t>Channel(2)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r w:rsidRPr="00ED07A4">
        <w:rPr>
          <w:rFonts w:eastAsia="Yu Mincho"/>
          <w:i/>
          <w:lang w:eastAsia="ko-KR"/>
        </w:rPr>
        <w:t>GB</w:t>
      </w:r>
      <w:r w:rsidRPr="00ED07A4">
        <w:rPr>
          <w:rFonts w:ascii="Times New Roman Italic" w:eastAsia="Yu Mincho" w:hAnsi="Times New Roman Italic"/>
          <w:i/>
          <w:vertAlign w:val="subscript"/>
          <w:lang w:eastAsia="ko-KR"/>
        </w:rPr>
        <w:t>Channel(i)</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the minimum guardband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F264BF">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6" w:right="1133" w:bottom="1133" w:left="1133" w:header="850" w:footer="340" w:gutter="0"/>
          <w:pgNumType w:start="16"/>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lastRenderedPageBreak/>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66F36FE9" w14:textId="7D28523C" w:rsidR="0032234A" w:rsidRDefault="0032234A" w:rsidP="00172246">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5B3529F"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2B7592A7"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887D1EE" w14:textId="77777777" w:rsidR="00422A2F" w:rsidRPr="00ED07A4" w:rsidRDefault="00422A2F" w:rsidP="001A30F2">
            <w:pPr>
              <w:pStyle w:val="TAH"/>
            </w:pPr>
            <w:r w:rsidRPr="00ED07A4">
              <w:t>BW</w:t>
            </w:r>
            <w:r w:rsidRPr="00ED07A4">
              <w:rPr>
                <w:vertAlign w:val="subscript"/>
              </w:rPr>
              <w:t>Channel</w:t>
            </w:r>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73FACE"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699DB4"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9D3FFAB"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r w:rsidRPr="00672287">
              <w:rPr>
                <w:lang w:val="fr-FR" w:eastAsia="fi-FI"/>
              </w:rPr>
              <w:t>Void</w:t>
            </w:r>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r w:rsidRPr="00672287">
              <w:rPr>
                <w:lang w:val="fr-FR" w:eastAsia="fi-FI"/>
              </w:rPr>
              <w:t>Void</w:t>
            </w:r>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r w:rsidRPr="00672287">
              <w:rPr>
                <w:lang w:val="fr-FR" w:eastAsia="fi-FI"/>
              </w:rPr>
              <w:t>Void</w:t>
            </w:r>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rsidSect="00F80958">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t>Void.</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t>Void.</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t>Void.</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rsidSect="00F80958">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lastRenderedPageBreak/>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40E251" w14:textId="77777777" w:rsidR="00F80958" w:rsidRDefault="00F80958">
      <w:r>
        <w:separator/>
      </w:r>
    </w:p>
    <w:p w14:paraId="5B3711F2" w14:textId="77777777" w:rsidR="00F80958" w:rsidRDefault="00F80958"/>
  </w:endnote>
  <w:endnote w:type="continuationSeparator" w:id="0">
    <w:p w14:paraId="3A77A707" w14:textId="77777777" w:rsidR="00F80958" w:rsidRDefault="00F80958">
      <w:r>
        <w:continuationSeparator/>
      </w:r>
    </w:p>
    <w:p w14:paraId="1B4F9189" w14:textId="77777777" w:rsidR="00F80958" w:rsidRDefault="00F809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altName w:val="游明朝"/>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B18323" w14:textId="77777777" w:rsidR="00F264BF" w:rsidRDefault="00F264B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3EB377" w14:textId="77777777" w:rsidR="00337C57" w:rsidRDefault="00337C5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1E9203" w14:textId="77777777" w:rsidR="00F264BF" w:rsidRDefault="00F264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E1C4E2" w14:textId="77777777" w:rsidR="00F80958" w:rsidRDefault="00F80958">
      <w:r>
        <w:separator/>
      </w:r>
    </w:p>
    <w:p w14:paraId="104AE3C7" w14:textId="77777777" w:rsidR="00F80958" w:rsidRDefault="00F80958"/>
  </w:footnote>
  <w:footnote w:type="continuationSeparator" w:id="0">
    <w:p w14:paraId="3AACA404" w14:textId="77777777" w:rsidR="00F80958" w:rsidRDefault="00F80958">
      <w:r>
        <w:continuationSeparator/>
      </w:r>
    </w:p>
    <w:p w14:paraId="0C1CF936" w14:textId="77777777" w:rsidR="00F80958" w:rsidRDefault="00F8095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8A9983" w14:textId="77777777" w:rsidR="00F264BF" w:rsidRDefault="00F264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E0AA82" w14:textId="74B70D7D"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1A29C6">
      <w:rPr>
        <w:rFonts w:ascii="Arial" w:hAnsi="Arial" w:cs="Arial"/>
        <w:b/>
        <w:sz w:val="18"/>
        <w:szCs w:val="18"/>
      </w:rPr>
      <w:t>8</w:t>
    </w:r>
    <w:r>
      <w:rPr>
        <w:rFonts w:ascii="Arial" w:hAnsi="Arial" w:cs="Arial"/>
        <w:b/>
        <w:sz w:val="18"/>
        <w:szCs w:val="18"/>
      </w:rPr>
      <w:t>.</w:t>
    </w:r>
    <w:r w:rsidR="00890408">
      <w:rPr>
        <w:rFonts w:ascii="Arial" w:hAnsi="Arial" w:cs="Arial"/>
        <w:b/>
        <w:sz w:val="18"/>
        <w:szCs w:val="18"/>
      </w:rPr>
      <w:t>3</w:t>
    </w:r>
    <w:r>
      <w:rPr>
        <w:rFonts w:ascii="Arial" w:hAnsi="Arial" w:cs="Arial"/>
        <w:b/>
        <w:sz w:val="18"/>
        <w:szCs w:val="18"/>
      </w:rPr>
      <w:t>.0 (202</w:t>
    </w:r>
    <w:r w:rsidR="0034290F">
      <w:rPr>
        <w:rFonts w:ascii="Arial" w:hAnsi="Arial" w:cs="Arial"/>
        <w:b/>
        <w:sz w:val="18"/>
        <w:szCs w:val="18"/>
      </w:rPr>
      <w:t>4</w:t>
    </w:r>
    <w:r>
      <w:rPr>
        <w:rFonts w:ascii="Arial" w:hAnsi="Arial" w:cs="Arial"/>
        <w:b/>
        <w:sz w:val="18"/>
        <w:szCs w:val="18"/>
      </w:rPr>
      <w:t>-</w:t>
    </w:r>
    <w:r w:rsidR="0034290F">
      <w:rPr>
        <w:rFonts w:ascii="Arial" w:hAnsi="Arial" w:cs="Arial"/>
        <w:b/>
        <w:sz w:val="18"/>
        <w:szCs w:val="18"/>
      </w:rPr>
      <w:t>0</w:t>
    </w:r>
    <w:r w:rsidR="00890408">
      <w:rPr>
        <w:rFonts w:ascii="Arial" w:hAnsi="Arial" w:cs="Arial"/>
        <w:b/>
        <w:sz w:val="18"/>
        <w:szCs w:val="18"/>
      </w:rPr>
      <w:t>6</w:t>
    </w:r>
    <w:r w:rsidR="00CB7CE0">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DC93399"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1A29C6">
      <w:rPr>
        <w:rFonts w:ascii="Arial" w:hAnsi="Arial" w:cs="Arial"/>
        <w:b/>
        <w:sz w:val="18"/>
        <w:szCs w:val="18"/>
      </w:rPr>
      <w:t>8</w:t>
    </w:r>
  </w:p>
  <w:p w14:paraId="192FCE9F" w14:textId="77777777" w:rsidR="00337C57" w:rsidRDefault="00337C57">
    <w:pPr>
      <w:pStyle w:val="Header"/>
    </w:pPr>
  </w:p>
  <w:p w14:paraId="5A1667BA" w14:textId="77777777" w:rsidR="00337C57" w:rsidRDefault="00337C5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2AA305" w14:textId="77777777" w:rsidR="00F264BF" w:rsidRDefault="00F264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65">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17DC"/>
    <w:rsid w:val="001038B5"/>
    <w:rsid w:val="00104A2E"/>
    <w:rsid w:val="001100C4"/>
    <w:rsid w:val="00110FCC"/>
    <w:rsid w:val="00111184"/>
    <w:rsid w:val="001129C4"/>
    <w:rsid w:val="00113B43"/>
    <w:rsid w:val="00115E3F"/>
    <w:rsid w:val="001224FD"/>
    <w:rsid w:val="0013066F"/>
    <w:rsid w:val="00130C23"/>
    <w:rsid w:val="0013318C"/>
    <w:rsid w:val="00133DC0"/>
    <w:rsid w:val="00137014"/>
    <w:rsid w:val="00137E5E"/>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29C6"/>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43819"/>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B48AE"/>
    <w:rsid w:val="002C2D4B"/>
    <w:rsid w:val="002C2F57"/>
    <w:rsid w:val="002C39F5"/>
    <w:rsid w:val="002C5046"/>
    <w:rsid w:val="002D08BC"/>
    <w:rsid w:val="002D2AB4"/>
    <w:rsid w:val="002D3EAB"/>
    <w:rsid w:val="002D4DC9"/>
    <w:rsid w:val="002D58EB"/>
    <w:rsid w:val="002E528D"/>
    <w:rsid w:val="00300BFA"/>
    <w:rsid w:val="0030223F"/>
    <w:rsid w:val="00310D36"/>
    <w:rsid w:val="00314042"/>
    <w:rsid w:val="00314EA7"/>
    <w:rsid w:val="0032234A"/>
    <w:rsid w:val="00326C27"/>
    <w:rsid w:val="003302AA"/>
    <w:rsid w:val="00331A76"/>
    <w:rsid w:val="00337C57"/>
    <w:rsid w:val="0034290F"/>
    <w:rsid w:val="00343CD7"/>
    <w:rsid w:val="003514B3"/>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17AC5"/>
    <w:rsid w:val="004210A8"/>
    <w:rsid w:val="00422A2F"/>
    <w:rsid w:val="004271C6"/>
    <w:rsid w:val="0043126A"/>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4E0C"/>
    <w:rsid w:val="006269EB"/>
    <w:rsid w:val="006320DB"/>
    <w:rsid w:val="006359DE"/>
    <w:rsid w:val="0064092D"/>
    <w:rsid w:val="0064707C"/>
    <w:rsid w:val="00652F2C"/>
    <w:rsid w:val="00655865"/>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60A7"/>
    <w:rsid w:val="0089004D"/>
    <w:rsid w:val="00890408"/>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7CE0"/>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040"/>
    <w:rsid w:val="00D705E4"/>
    <w:rsid w:val="00D75AA3"/>
    <w:rsid w:val="00D76D48"/>
    <w:rsid w:val="00D773F2"/>
    <w:rsid w:val="00D853FB"/>
    <w:rsid w:val="00D95760"/>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C664C"/>
    <w:rsid w:val="00ED07A4"/>
    <w:rsid w:val="00ED2454"/>
    <w:rsid w:val="00ED4190"/>
    <w:rsid w:val="00ED4F7F"/>
    <w:rsid w:val="00ED646D"/>
    <w:rsid w:val="00ED7F02"/>
    <w:rsid w:val="00EE14FE"/>
    <w:rsid w:val="00EE179F"/>
    <w:rsid w:val="00EE1955"/>
    <w:rsid w:val="00EF0C46"/>
    <w:rsid w:val="00EF7B8F"/>
    <w:rsid w:val="00F0486A"/>
    <w:rsid w:val="00F055DD"/>
    <w:rsid w:val="00F059B0"/>
    <w:rsid w:val="00F11368"/>
    <w:rsid w:val="00F11B74"/>
    <w:rsid w:val="00F14A57"/>
    <w:rsid w:val="00F15E6F"/>
    <w:rsid w:val="00F264B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0958"/>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rsid w:val="00172246"/>
    <w:rPr>
      <w:b/>
    </w:rPr>
  </w:style>
  <w:style w:type="paragraph" w:customStyle="1" w:styleId="TAC">
    <w:name w:val="TAC"/>
    <w:basedOn w:val="TAL"/>
    <w:link w:val="TACChar"/>
    <w:qFormat/>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2991</TotalTime>
  <Pages>27</Pages>
  <Words>8678</Words>
  <Characters>49470</Characters>
  <Application>Microsoft Office Word</Application>
  <DocSecurity>0</DocSecurity>
  <Lines>412</Lines>
  <Paragraphs>116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58032</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IS</cp:lastModifiedBy>
  <cp:revision>105</cp:revision>
  <dcterms:created xsi:type="dcterms:W3CDTF">2022-01-03T09:11:00Z</dcterms:created>
  <dcterms:modified xsi:type="dcterms:W3CDTF">2024-07-08T20:44:00Z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