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6F3AB978" w:rsidR="000F7ECB" w:rsidRPr="006F2A41" w:rsidRDefault="002A5CB4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A5CB4">
        <w:rPr>
          <w:rFonts w:cs="Arial"/>
          <w:bCs/>
          <w:sz w:val="22"/>
          <w:lang w:eastAsia="ja-JP"/>
        </w:rPr>
        <w:t>3GPP TSG-RAN WG2 Meeting #131bis</w:t>
      </w:r>
      <w:r w:rsidR="000F7ECB" w:rsidRPr="006F2A41">
        <w:rPr>
          <w:rFonts w:cs="Arial"/>
          <w:bCs/>
          <w:sz w:val="22"/>
        </w:rPr>
        <w:tab/>
        <w:t xml:space="preserve">Tdoc </w:t>
      </w:r>
      <w:r w:rsidR="00945D8C" w:rsidRPr="00945D8C">
        <w:rPr>
          <w:rFonts w:cs="Arial"/>
          <w:bCs/>
          <w:sz w:val="22"/>
        </w:rPr>
        <w:t>R2-2507096</w:t>
      </w:r>
    </w:p>
    <w:p w14:paraId="437AE657" w14:textId="209CF5A5" w:rsidR="000F7ECB" w:rsidRPr="006F2A41" w:rsidRDefault="002A5CB4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2A5CB4">
        <w:rPr>
          <w:rFonts w:cs="Arial"/>
          <w:bCs/>
          <w:sz w:val="22"/>
          <w:lang w:eastAsia="ja-JP"/>
        </w:rPr>
        <w:t>Prague, Czech Republic, Oct. 13</w:t>
      </w:r>
      <w:r w:rsidRPr="002A5CB4">
        <w:rPr>
          <w:rFonts w:cs="Arial"/>
          <w:bCs/>
          <w:sz w:val="22"/>
          <w:vertAlign w:val="superscript"/>
          <w:lang w:eastAsia="ja-JP"/>
        </w:rPr>
        <w:t>th</w:t>
      </w:r>
      <w:r w:rsidRPr="002A5CB4">
        <w:rPr>
          <w:rFonts w:cs="Arial"/>
          <w:bCs/>
          <w:sz w:val="22"/>
          <w:lang w:eastAsia="ja-JP"/>
        </w:rPr>
        <w:t>-17</w:t>
      </w:r>
      <w:r w:rsidRPr="002A5CB4">
        <w:rPr>
          <w:rFonts w:cs="Arial"/>
          <w:bCs/>
          <w:sz w:val="22"/>
          <w:vertAlign w:val="superscript"/>
          <w:lang w:eastAsia="ja-JP"/>
        </w:rPr>
        <w:t>th</w:t>
      </w:r>
      <w:r w:rsidR="000F7ECB" w:rsidRPr="006F2A41">
        <w:rPr>
          <w:rFonts w:cs="Arial"/>
          <w:bCs/>
          <w:sz w:val="22"/>
        </w:rPr>
        <w:br/>
      </w:r>
    </w:p>
    <w:p w14:paraId="59D8A116" w14:textId="77777777" w:rsidR="006F2A41" w:rsidRPr="006F2A41" w:rsidRDefault="006F2A41" w:rsidP="006F2A41">
      <w:pPr>
        <w:spacing w:after="60"/>
        <w:ind w:left="1985" w:hanging="1985"/>
        <w:rPr>
          <w:rFonts w:ascii="Arial" w:hAnsi="Arial" w:cs="Arial"/>
          <w:b/>
        </w:rPr>
      </w:pPr>
      <w:r w:rsidRPr="006F2A41">
        <w:rPr>
          <w:rFonts w:ascii="Arial" w:hAnsi="Arial" w:cs="Arial"/>
          <w:b/>
        </w:rPr>
        <w:t>Source:</w:t>
      </w:r>
      <w:r w:rsidRPr="006F2A41">
        <w:rPr>
          <w:rFonts w:ascii="Arial" w:hAnsi="Arial" w:cs="Arial"/>
          <w:b/>
        </w:rPr>
        <w:tab/>
      </w:r>
      <w:r w:rsidRPr="006F2A41">
        <w:rPr>
          <w:rFonts w:ascii="Arial" w:hAnsi="Arial" w:cs="Arial" w:hint="eastAsia"/>
          <w:b/>
          <w:lang w:eastAsia="ja-JP"/>
        </w:rPr>
        <w:t>Panasonic</w:t>
      </w:r>
    </w:p>
    <w:p w14:paraId="5CE36382" w14:textId="180D6A55" w:rsidR="000F7ECB" w:rsidRPr="006F2A41" w:rsidRDefault="000F7ECB" w:rsidP="006F2A41">
      <w:pPr>
        <w:spacing w:after="60"/>
        <w:ind w:left="1985" w:hanging="1985"/>
        <w:rPr>
          <w:rFonts w:ascii="Arial" w:hAnsi="Arial" w:cs="Arial"/>
          <w:b/>
        </w:rPr>
      </w:pPr>
      <w:r w:rsidRPr="006F2A41">
        <w:rPr>
          <w:rFonts w:ascii="Arial" w:hAnsi="Arial" w:cs="Arial"/>
          <w:b/>
        </w:rPr>
        <w:t>Title:</w:t>
      </w:r>
      <w:r w:rsidRPr="006F2A41">
        <w:rPr>
          <w:rFonts w:ascii="Arial" w:hAnsi="Arial" w:cs="Arial"/>
          <w:b/>
        </w:rPr>
        <w:tab/>
      </w:r>
      <w:r w:rsidR="00A002D6" w:rsidRPr="00A002D6">
        <w:rPr>
          <w:rFonts w:ascii="Arial" w:hAnsi="Arial" w:cs="Arial"/>
          <w:b/>
        </w:rPr>
        <w:t xml:space="preserve">RRC Signaling Framework </w:t>
      </w:r>
      <w:r w:rsidR="00362F22">
        <w:rPr>
          <w:rFonts w:ascii="Arial" w:hAnsi="Arial" w:cs="Arial" w:hint="eastAsia"/>
          <w:b/>
          <w:lang w:eastAsia="ja-JP"/>
        </w:rPr>
        <w:t>with more close integration with the slices</w:t>
      </w:r>
    </w:p>
    <w:p w14:paraId="684461A1" w14:textId="3D38AF34" w:rsidR="004F5115" w:rsidRPr="006F2A41" w:rsidRDefault="00812091" w:rsidP="000F7ECB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6F2A41">
        <w:rPr>
          <w:rFonts w:ascii="Arial" w:hAnsi="Arial" w:cs="Arial"/>
          <w:b/>
        </w:rPr>
        <w:t>Agenda item</w:t>
      </w:r>
      <w:r w:rsidR="004F5115" w:rsidRPr="006F2A41">
        <w:rPr>
          <w:rFonts w:ascii="Arial" w:hAnsi="Arial" w:cs="Arial"/>
          <w:b/>
        </w:rPr>
        <w:t>:</w:t>
      </w:r>
      <w:r w:rsidR="004F5115" w:rsidRPr="006F2A41">
        <w:rPr>
          <w:rFonts w:ascii="Arial" w:hAnsi="Arial" w:cs="Arial"/>
          <w:b/>
        </w:rPr>
        <w:tab/>
      </w:r>
      <w:r w:rsidR="00A002D6" w:rsidRPr="00A002D6">
        <w:rPr>
          <w:rFonts w:ascii="Arial" w:hAnsi="Arial" w:cs="Arial"/>
          <w:b/>
          <w:lang w:eastAsia="ja-JP"/>
        </w:rPr>
        <w:t>10.3.2 Control Plane</w:t>
      </w:r>
    </w:p>
    <w:p w14:paraId="6E0ED9B7" w14:textId="63BE3B64" w:rsidR="00222D66" w:rsidRPr="006F2A41" w:rsidRDefault="00222D66" w:rsidP="000F7ECB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6F2A41">
        <w:rPr>
          <w:rFonts w:ascii="Arial" w:hAnsi="Arial" w:cs="Arial"/>
          <w:b/>
        </w:rPr>
        <w:t>Document for:</w:t>
      </w:r>
      <w:r w:rsidRPr="006F2A41">
        <w:rPr>
          <w:rFonts w:ascii="Arial" w:hAnsi="Arial" w:cs="Arial"/>
          <w:b/>
        </w:rPr>
        <w:tab/>
      </w:r>
      <w:r w:rsidR="006F2A41" w:rsidRPr="006F2A41">
        <w:rPr>
          <w:rFonts w:ascii="Arial" w:hAnsi="Arial" w:cs="Arial" w:hint="eastAsia"/>
          <w:b/>
          <w:lang w:eastAsia="ja-JP"/>
        </w:rPr>
        <w:t>Discussion and Decision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227933A9" w:rsidR="0045428D" w:rsidRPr="0017024E" w:rsidRDefault="0017024E" w:rsidP="0017024E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sz w:val="24"/>
        </w:rPr>
      </w:pPr>
      <w:r>
        <w:rPr>
          <w:rFonts w:hint="eastAsia"/>
          <w:b/>
          <w:sz w:val="24"/>
          <w:lang w:eastAsia="ja-JP"/>
        </w:rPr>
        <w:t>Introduction</w:t>
      </w:r>
      <w:r w:rsidR="0045428D" w:rsidRPr="0017024E">
        <w:rPr>
          <w:b/>
          <w:sz w:val="24"/>
        </w:rPr>
        <w:t>:</w:t>
      </w:r>
    </w:p>
    <w:p w14:paraId="3EA5C3E9" w14:textId="4FC0142A" w:rsidR="00A002D6" w:rsidRPr="00E565E8" w:rsidRDefault="00B61860" w:rsidP="00A002D6">
      <w:pPr>
        <w:tabs>
          <w:tab w:val="left" w:pos="3119"/>
        </w:tabs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The sli</w:t>
      </w:r>
      <w:r w:rsidR="00B74761">
        <w:rPr>
          <w:rFonts w:hint="eastAsia"/>
          <w:sz w:val="21"/>
          <w:szCs w:val="21"/>
          <w:lang w:eastAsia="ja-JP"/>
        </w:rPr>
        <w:t>ce</w:t>
      </w:r>
      <w:r>
        <w:rPr>
          <w:rFonts w:hint="eastAsia"/>
          <w:sz w:val="21"/>
          <w:szCs w:val="21"/>
          <w:lang w:eastAsia="ja-JP"/>
        </w:rPr>
        <w:t xml:space="preserve"> was supported from 5G but </w:t>
      </w:r>
      <w:r w:rsidR="00B74761">
        <w:rPr>
          <w:rFonts w:hint="eastAsia"/>
          <w:sz w:val="21"/>
          <w:szCs w:val="21"/>
          <w:lang w:eastAsia="ja-JP"/>
        </w:rPr>
        <w:t xml:space="preserve">there are some </w:t>
      </w:r>
      <w:r w:rsidR="000C1E80">
        <w:rPr>
          <w:sz w:val="21"/>
          <w:szCs w:val="21"/>
          <w:lang w:eastAsia="ja-JP"/>
        </w:rPr>
        <w:t>areas</w:t>
      </w:r>
      <w:r w:rsidR="00B74761">
        <w:rPr>
          <w:rFonts w:hint="eastAsia"/>
          <w:sz w:val="21"/>
          <w:szCs w:val="21"/>
          <w:lang w:eastAsia="ja-JP"/>
        </w:rPr>
        <w:t xml:space="preserve"> for the improvement. </w:t>
      </w:r>
      <w:r w:rsidR="00A002D6" w:rsidRPr="00E565E8">
        <w:rPr>
          <w:sz w:val="21"/>
          <w:szCs w:val="21"/>
          <w:lang w:eastAsia="ja-JP"/>
        </w:rPr>
        <w:t>As 6G aims to support a wide range of scenarios such as URLLC, massive IoT, XR, NTN, and industrial automation, the complexity of RRC signaling is expected to increase significantly compared to 5G.</w:t>
      </w:r>
    </w:p>
    <w:p w14:paraId="16C26244" w14:textId="77777777" w:rsidR="009B71D9" w:rsidRPr="00E063C7" w:rsidRDefault="009B71D9" w:rsidP="009B71D9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bCs/>
          <w:sz w:val="24"/>
          <w:szCs w:val="24"/>
          <w:lang w:eastAsia="ja-JP"/>
        </w:rPr>
      </w:pPr>
      <w:r w:rsidRPr="5C42269E">
        <w:rPr>
          <w:b/>
          <w:bCs/>
          <w:sz w:val="24"/>
          <w:szCs w:val="24"/>
          <w:lang w:eastAsia="ja-JP"/>
        </w:rPr>
        <w:t>Discussion:</w:t>
      </w:r>
    </w:p>
    <w:p w14:paraId="0B471C49" w14:textId="77777777" w:rsidR="00273D02" w:rsidRPr="00E565E8" w:rsidRDefault="00273D02" w:rsidP="00273D02">
      <w:pPr>
        <w:tabs>
          <w:tab w:val="left" w:pos="3119"/>
        </w:tabs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Limitations of 5G RRC Signaling</w:t>
      </w:r>
      <w:r w:rsidRPr="00E565E8">
        <w:rPr>
          <w:sz w:val="21"/>
          <w:szCs w:val="21"/>
          <w:u w:val="single"/>
          <w:lang w:eastAsia="ja-JP"/>
        </w:rPr>
        <w:br/>
      </w:r>
      <w:r w:rsidRPr="00E565E8">
        <w:rPr>
          <w:sz w:val="21"/>
          <w:szCs w:val="21"/>
          <w:lang w:eastAsia="ja-JP"/>
        </w:rPr>
        <w:t>Current 5G RRC signaling design is based on a generalized parameter set applied across all services. While this approach simplifies initial standardization, it introduces several inefficiencies and limitations when adapting to diverse service requirements in 6G:</w:t>
      </w:r>
    </w:p>
    <w:p w14:paraId="353CA722" w14:textId="77777777" w:rsidR="00273D02" w:rsidRPr="00E565E8" w:rsidRDefault="00273D02" w:rsidP="00273D02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u w:val="single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Redundant Signaling and Overhead</w:t>
      </w:r>
      <w:r w:rsidRPr="00E565E8">
        <w:rPr>
          <w:sz w:val="21"/>
          <w:szCs w:val="21"/>
          <w:u w:val="single"/>
          <w:lang w:eastAsia="ja-JP"/>
        </w:rPr>
        <w:br/>
      </w:r>
      <w:r w:rsidRPr="00E565E8">
        <w:rPr>
          <w:sz w:val="21"/>
          <w:szCs w:val="21"/>
          <w:lang w:eastAsia="ja-JP"/>
        </w:rPr>
        <w:t>Example: During RRCSetup or RRCReconfiguration, the network transmits full parameter sets (e.g., DRX, mobility, HARQ, security) even when most values are standard defaults. For Industrial IoT, only a few parameters differ, yet the entire configuration is signalled</w:t>
      </w:r>
      <w:r w:rsidRPr="00E565E8">
        <w:rPr>
          <w:rFonts w:hint="eastAsia"/>
          <w:sz w:val="21"/>
          <w:szCs w:val="21"/>
          <w:lang w:eastAsia="ja-JP"/>
        </w:rPr>
        <w:t>.</w:t>
      </w:r>
    </w:p>
    <w:p w14:paraId="6899FD21" w14:textId="5324A44D" w:rsidR="001F521D" w:rsidRPr="00E565E8" w:rsidRDefault="001F521D" w:rsidP="001F521D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u w:val="single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Lack of Scenario-Specific Optimization</w:t>
      </w:r>
      <w:r w:rsidRPr="00E565E8">
        <w:rPr>
          <w:sz w:val="21"/>
          <w:szCs w:val="21"/>
          <w:u w:val="single"/>
          <w:lang w:eastAsia="ja-JP"/>
        </w:rPr>
        <w:br/>
      </w:r>
      <w:r w:rsidRPr="00E565E8">
        <w:rPr>
          <w:sz w:val="21"/>
          <w:szCs w:val="21"/>
          <w:lang w:eastAsia="ja-JP"/>
        </w:rPr>
        <w:t>Example: URLLC</w:t>
      </w:r>
      <w:r w:rsidR="000C3F68">
        <w:rPr>
          <w:rFonts w:hint="eastAsia"/>
          <w:sz w:val="21"/>
          <w:szCs w:val="21"/>
          <w:lang w:eastAsia="ja-JP"/>
        </w:rPr>
        <w:t xml:space="preserve"> would </w:t>
      </w:r>
      <w:r w:rsidRPr="00E565E8">
        <w:rPr>
          <w:sz w:val="21"/>
          <w:szCs w:val="21"/>
          <w:lang w:eastAsia="ja-JP"/>
        </w:rPr>
        <w:t>require ultra-low latency and high reliability</w:t>
      </w:r>
      <w:r w:rsidR="000C3F68">
        <w:rPr>
          <w:rFonts w:hint="eastAsia"/>
          <w:sz w:val="21"/>
          <w:szCs w:val="21"/>
          <w:lang w:eastAsia="ja-JP"/>
        </w:rPr>
        <w:t xml:space="preserve"> and XR would </w:t>
      </w:r>
      <w:r w:rsidR="00196EB8">
        <w:rPr>
          <w:rFonts w:hint="eastAsia"/>
          <w:sz w:val="21"/>
          <w:szCs w:val="21"/>
          <w:lang w:eastAsia="ja-JP"/>
        </w:rPr>
        <w:t>require specific configuration</w:t>
      </w:r>
      <w:r w:rsidRPr="00E565E8">
        <w:rPr>
          <w:sz w:val="21"/>
          <w:szCs w:val="21"/>
          <w:lang w:eastAsia="ja-JP"/>
        </w:rPr>
        <w:t xml:space="preserve">, but initial configuration uses generic DRX and timer settings. Additional RRCReconfiguration messages are </w:t>
      </w:r>
      <w:r w:rsidR="00196EB8">
        <w:rPr>
          <w:rFonts w:hint="eastAsia"/>
          <w:sz w:val="21"/>
          <w:szCs w:val="21"/>
          <w:lang w:eastAsia="ja-JP"/>
        </w:rPr>
        <w:t xml:space="preserve">often </w:t>
      </w:r>
      <w:r w:rsidRPr="00E565E8">
        <w:rPr>
          <w:sz w:val="21"/>
          <w:szCs w:val="21"/>
          <w:lang w:eastAsia="ja-JP"/>
        </w:rPr>
        <w:t xml:space="preserve">needed to meet </w:t>
      </w:r>
      <w:r w:rsidR="00196EB8">
        <w:rPr>
          <w:rFonts w:hint="eastAsia"/>
          <w:sz w:val="21"/>
          <w:szCs w:val="21"/>
          <w:lang w:eastAsia="ja-JP"/>
        </w:rPr>
        <w:t xml:space="preserve">scenario specific </w:t>
      </w:r>
      <w:r w:rsidRPr="00E565E8">
        <w:rPr>
          <w:sz w:val="21"/>
          <w:szCs w:val="21"/>
          <w:lang w:eastAsia="ja-JP"/>
        </w:rPr>
        <w:t>requirements, increasing latency and signaling overhead.</w:t>
      </w:r>
    </w:p>
    <w:p w14:paraId="72E4A608" w14:textId="47DC5C9F" w:rsidR="00273D02" w:rsidRPr="00E565E8" w:rsidRDefault="00273D02" w:rsidP="00273D02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u w:val="single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Inefficient Handling of Multiple Services</w:t>
      </w:r>
      <w:r w:rsidRPr="00E565E8">
        <w:rPr>
          <w:sz w:val="21"/>
          <w:szCs w:val="21"/>
          <w:u w:val="single"/>
          <w:lang w:eastAsia="ja-JP"/>
        </w:rPr>
        <w:br/>
      </w:r>
      <w:r w:rsidRPr="00E565E8">
        <w:rPr>
          <w:sz w:val="21"/>
          <w:szCs w:val="21"/>
          <w:lang w:eastAsia="ja-JP"/>
        </w:rPr>
        <w:t xml:space="preserve">Example: When a UE switches from eMBB to </w:t>
      </w:r>
      <w:r w:rsidR="00C70803">
        <w:rPr>
          <w:rFonts w:hint="eastAsia"/>
          <w:sz w:val="21"/>
          <w:szCs w:val="21"/>
          <w:lang w:eastAsia="ja-JP"/>
        </w:rPr>
        <w:t xml:space="preserve">XR or </w:t>
      </w:r>
      <w:r w:rsidRPr="00E565E8">
        <w:rPr>
          <w:sz w:val="21"/>
          <w:szCs w:val="21"/>
          <w:lang w:eastAsia="ja-JP"/>
        </w:rPr>
        <w:t>URLLC, a full RRCReconfiguration is required instead of applying a pre-defined scenario profile, leading to unnecessary signaling and delay.</w:t>
      </w:r>
    </w:p>
    <w:p w14:paraId="48C26336" w14:textId="5142DA15" w:rsidR="00273D02" w:rsidRPr="00E565E8" w:rsidRDefault="00273D02" w:rsidP="00273D02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No Label-Based Parameter Association</w:t>
      </w:r>
      <w:r w:rsidRPr="00E565E8">
        <w:rPr>
          <w:sz w:val="21"/>
          <w:szCs w:val="21"/>
          <w:lang w:eastAsia="ja-JP"/>
        </w:rPr>
        <w:br/>
        <w:t xml:space="preserve">Example: A UE requesting </w:t>
      </w:r>
      <w:r w:rsidR="00E3702A">
        <w:rPr>
          <w:rFonts w:hint="eastAsia"/>
          <w:sz w:val="21"/>
          <w:szCs w:val="21"/>
          <w:lang w:eastAsia="ja-JP"/>
        </w:rPr>
        <w:t>eMBB</w:t>
      </w:r>
      <w:r w:rsidRPr="00E565E8">
        <w:rPr>
          <w:sz w:val="21"/>
          <w:szCs w:val="21"/>
          <w:lang w:eastAsia="ja-JP"/>
        </w:rPr>
        <w:t xml:space="preserve"> slice cannot simply indicate “apply </w:t>
      </w:r>
      <w:r w:rsidR="00E3702A">
        <w:rPr>
          <w:rFonts w:hint="eastAsia"/>
          <w:sz w:val="21"/>
          <w:szCs w:val="21"/>
          <w:lang w:eastAsia="ja-JP"/>
        </w:rPr>
        <w:t>eMBB</w:t>
      </w:r>
      <w:r w:rsidRPr="00E565E8">
        <w:rPr>
          <w:sz w:val="21"/>
          <w:szCs w:val="21"/>
          <w:lang w:eastAsia="ja-JP"/>
        </w:rPr>
        <w:t xml:space="preserve"> profile.” </w:t>
      </w:r>
      <w:r w:rsidR="00E3702A">
        <w:rPr>
          <w:rFonts w:hint="eastAsia"/>
          <w:sz w:val="21"/>
          <w:szCs w:val="21"/>
          <w:lang w:eastAsia="ja-JP"/>
        </w:rPr>
        <w:t>The same can be said for URLLC.</w:t>
      </w:r>
      <w:r w:rsidRPr="00E565E8">
        <w:rPr>
          <w:sz w:val="21"/>
          <w:szCs w:val="21"/>
          <w:lang w:eastAsia="ja-JP"/>
        </w:rPr>
        <w:t xml:space="preserve"> Instead, the network must explicitly signal all </w:t>
      </w:r>
      <w:r w:rsidR="00E3702A">
        <w:rPr>
          <w:rFonts w:hint="eastAsia"/>
          <w:sz w:val="21"/>
          <w:szCs w:val="21"/>
          <w:lang w:eastAsia="ja-JP"/>
        </w:rPr>
        <w:t xml:space="preserve">eMBB or </w:t>
      </w:r>
      <w:r w:rsidRPr="00E565E8">
        <w:rPr>
          <w:sz w:val="21"/>
          <w:szCs w:val="21"/>
          <w:lang w:eastAsia="ja-JP"/>
        </w:rPr>
        <w:t>URLLC-specific parameters.</w:t>
      </w:r>
    </w:p>
    <w:p w14:paraId="6464F471" w14:textId="0CB5469A" w:rsidR="00273D02" w:rsidRPr="00E565E8" w:rsidRDefault="00273D02" w:rsidP="00273D02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Limited Flexibility for Future Scenarios</w:t>
      </w:r>
      <w:r w:rsidRPr="00E565E8">
        <w:rPr>
          <w:sz w:val="21"/>
          <w:szCs w:val="21"/>
          <w:lang w:eastAsia="ja-JP"/>
        </w:rPr>
        <w:br/>
        <w:t xml:space="preserve">Example: New use cases such as XR, holographic telepresence </w:t>
      </w:r>
      <w:r w:rsidR="00A9710C">
        <w:rPr>
          <w:rFonts w:hint="eastAsia"/>
          <w:sz w:val="21"/>
          <w:szCs w:val="21"/>
          <w:lang w:eastAsia="ja-JP"/>
        </w:rPr>
        <w:t xml:space="preserve">would </w:t>
      </w:r>
      <w:r w:rsidRPr="00E565E8">
        <w:rPr>
          <w:sz w:val="21"/>
          <w:szCs w:val="21"/>
          <w:lang w:eastAsia="ja-JP"/>
        </w:rPr>
        <w:t>require additional parameters and signaling procedures, making the system complex and less scalable.</w:t>
      </w:r>
    </w:p>
    <w:p w14:paraId="10028D7D" w14:textId="77777777" w:rsidR="00273D02" w:rsidRPr="00E565E8" w:rsidRDefault="00273D02" w:rsidP="00273D02">
      <w:pPr>
        <w:tabs>
          <w:tab w:val="left" w:pos="3119"/>
        </w:tabs>
        <w:rPr>
          <w:sz w:val="21"/>
          <w:szCs w:val="21"/>
          <w:lang w:eastAsia="ja-JP"/>
        </w:rPr>
      </w:pPr>
      <w:r w:rsidRPr="00E565E8">
        <w:rPr>
          <w:sz w:val="21"/>
          <w:szCs w:val="21"/>
          <w:lang w:eastAsia="ja-JP"/>
        </w:rPr>
        <w:t>These limitations highlight the need for a more flexible and efficient RRC signaling framework in 6G.</w:t>
      </w:r>
    </w:p>
    <w:p w14:paraId="265FCF8E" w14:textId="6EF5B2E9" w:rsidR="00A002D6" w:rsidRPr="00E565E8" w:rsidRDefault="00A002D6" w:rsidP="00A002D6">
      <w:pPr>
        <w:tabs>
          <w:tab w:val="left" w:pos="3119"/>
        </w:tabs>
        <w:rPr>
          <w:sz w:val="21"/>
          <w:szCs w:val="21"/>
          <w:lang w:eastAsia="ja-JP"/>
        </w:rPr>
      </w:pPr>
      <w:r w:rsidRPr="00E565E8">
        <w:rPr>
          <w:sz w:val="21"/>
          <w:szCs w:val="21"/>
          <w:lang w:eastAsia="ja-JP"/>
        </w:rPr>
        <w:t>To address these challenges, we propose a scenario-oriented RRC signaling framework that introduces the following concepts:</w:t>
      </w:r>
    </w:p>
    <w:p w14:paraId="44AA2E96" w14:textId="77777777" w:rsidR="00A002D6" w:rsidRPr="00E565E8" w:rsidRDefault="00A002D6" w:rsidP="00A002D6">
      <w:pPr>
        <w:pStyle w:val="af0"/>
        <w:numPr>
          <w:ilvl w:val="0"/>
          <w:numId w:val="20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Separation of RRC signaling into two parts</w:t>
      </w:r>
      <w:r w:rsidRPr="00E565E8">
        <w:rPr>
          <w:sz w:val="21"/>
          <w:szCs w:val="21"/>
          <w:lang w:eastAsia="ja-JP"/>
        </w:rPr>
        <w:t>:</w:t>
      </w:r>
    </w:p>
    <w:p w14:paraId="15516CAD" w14:textId="77777777" w:rsidR="00A002D6" w:rsidRPr="00E565E8" w:rsidRDefault="00A002D6" w:rsidP="00A002D6">
      <w:pPr>
        <w:pStyle w:val="af0"/>
        <w:numPr>
          <w:ilvl w:val="0"/>
          <w:numId w:val="21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lang w:eastAsia="ja-JP"/>
        </w:rPr>
        <w:t>Generic part: Common baseline configuration applicable across scenarios.</w:t>
      </w:r>
    </w:p>
    <w:p w14:paraId="6FC2D354" w14:textId="77777777" w:rsidR="00A002D6" w:rsidRPr="00E565E8" w:rsidRDefault="00A002D6" w:rsidP="00A002D6">
      <w:pPr>
        <w:pStyle w:val="af0"/>
        <w:numPr>
          <w:ilvl w:val="0"/>
          <w:numId w:val="21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lang w:eastAsia="ja-JP"/>
        </w:rPr>
        <w:t>Scenario-oriented part: Additional or overriding parameters tailored to specific scenarios.</w:t>
      </w:r>
    </w:p>
    <w:p w14:paraId="31C588A2" w14:textId="6105CF3F" w:rsidR="00A002D6" w:rsidRPr="00E565E8" w:rsidRDefault="00A002D6" w:rsidP="00E6022E">
      <w:pPr>
        <w:pStyle w:val="af0"/>
        <w:numPr>
          <w:ilvl w:val="0"/>
          <w:numId w:val="20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Parameter set association with scenario identifiers</w:t>
      </w:r>
      <w:r w:rsidRPr="00E565E8">
        <w:rPr>
          <w:sz w:val="21"/>
          <w:szCs w:val="21"/>
          <w:lang w:eastAsia="ja-JP"/>
        </w:rPr>
        <w:br/>
        <w:t>Scenario-oriented parameter sets can be linked to identifiers such as Slice/Service Type (SST), QoS profiles, or other scenario-indicative information. This enables efficient signaling by applying predefined parameter sets rather than transmitting all parameters individually.</w:t>
      </w:r>
    </w:p>
    <w:p w14:paraId="58A2257A" w14:textId="77146060" w:rsidR="00A002D6" w:rsidRPr="00E565E8" w:rsidRDefault="00A002D6" w:rsidP="00D05ED4">
      <w:pPr>
        <w:pStyle w:val="af0"/>
        <w:numPr>
          <w:ilvl w:val="0"/>
          <w:numId w:val="20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lastRenderedPageBreak/>
        <w:t>Hierarchical overwrite mechanism</w:t>
      </w:r>
      <w:r w:rsidRPr="00E565E8">
        <w:rPr>
          <w:sz w:val="21"/>
          <w:szCs w:val="21"/>
          <w:lang w:eastAsia="ja-JP"/>
        </w:rPr>
        <w:br/>
        <w:t>Generic part values can be overridden by scenario-oriented values, and scenario-oriented values can be further refined by dedicated signaling when necessary. This layered approach minimizes redundant signaling while maintaining flexibility.</w:t>
      </w:r>
    </w:p>
    <w:p w14:paraId="55689D7D" w14:textId="63C234B0" w:rsidR="00A002D6" w:rsidRPr="00E565E8" w:rsidRDefault="00A002D6" w:rsidP="00A002D6">
      <w:pPr>
        <w:pStyle w:val="af0"/>
        <w:numPr>
          <w:ilvl w:val="0"/>
          <w:numId w:val="20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Label-based signaling</w:t>
      </w:r>
      <w:r w:rsidR="00DC6894" w:rsidRPr="00E565E8">
        <w:rPr>
          <w:sz w:val="21"/>
          <w:szCs w:val="21"/>
          <w:lang w:eastAsia="ja-JP"/>
        </w:rPr>
        <w:br/>
      </w:r>
      <w:r w:rsidRPr="00E565E8">
        <w:rPr>
          <w:sz w:val="21"/>
          <w:szCs w:val="21"/>
          <w:lang w:eastAsia="ja-JP"/>
        </w:rPr>
        <w:t>Using SST as a label for scenario-oriented parts allows efficient mapping between service requirements and RRC configurations.</w:t>
      </w:r>
      <w:r w:rsidR="00F328B5" w:rsidRPr="00E565E8">
        <w:rPr>
          <w:sz w:val="21"/>
          <w:szCs w:val="21"/>
          <w:lang w:eastAsia="ja-JP"/>
        </w:rPr>
        <w:t xml:space="preserve"> The standardised </w:t>
      </w:r>
      <w:proofErr w:type="gramStart"/>
      <w:r w:rsidR="00F328B5" w:rsidRPr="00E565E8">
        <w:rPr>
          <w:sz w:val="21"/>
          <w:szCs w:val="21"/>
          <w:lang w:eastAsia="ja-JP"/>
        </w:rPr>
        <w:t>labels</w:t>
      </w:r>
      <w:proofErr w:type="gramEnd"/>
      <w:r w:rsidR="00F328B5" w:rsidRPr="00E565E8">
        <w:rPr>
          <w:sz w:val="21"/>
          <w:szCs w:val="21"/>
          <w:lang w:eastAsia="ja-JP"/>
        </w:rPr>
        <w:t xml:space="preserve"> like SST ensures consistent interpretation across networks and devices.</w:t>
      </w:r>
    </w:p>
    <w:p w14:paraId="6376B06B" w14:textId="77F0207F" w:rsidR="00BB2B84" w:rsidRPr="00E565E8" w:rsidRDefault="00E565E8">
      <w:pPr>
        <w:tabs>
          <w:tab w:val="left" w:pos="3119"/>
        </w:tabs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>he potential advantages of the proposed approach are as follows.</w:t>
      </w:r>
    </w:p>
    <w:p w14:paraId="0C9ED22A" w14:textId="49FBEED2" w:rsidR="00E565E8" w:rsidRPr="00E565E8" w:rsidRDefault="00E565E8" w:rsidP="00E565E8">
      <w:pPr>
        <w:tabs>
          <w:tab w:val="left" w:pos="3119"/>
        </w:tabs>
        <w:rPr>
          <w:sz w:val="21"/>
          <w:szCs w:val="21"/>
          <w:u w:val="single"/>
          <w:lang w:val="en-US" w:eastAsia="ja-JP"/>
        </w:rPr>
      </w:pPr>
      <w:r w:rsidRPr="00E565E8">
        <w:rPr>
          <w:sz w:val="21"/>
          <w:szCs w:val="21"/>
          <w:u w:val="single"/>
          <w:lang w:val="en-US" w:eastAsia="ja-JP"/>
        </w:rPr>
        <w:t>Advantages of the Proposed Approach</w:t>
      </w:r>
    </w:p>
    <w:p w14:paraId="43F14D3B" w14:textId="77777777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 xml:space="preserve">Reduced Signaling Overhead: Predefined parameter </w:t>
      </w:r>
      <w:proofErr w:type="gramStart"/>
      <w:r w:rsidRPr="00E565E8">
        <w:rPr>
          <w:sz w:val="21"/>
          <w:szCs w:val="21"/>
          <w:lang w:val="en-US" w:eastAsia="ja-JP"/>
        </w:rPr>
        <w:t>sets</w:t>
      </w:r>
      <w:proofErr w:type="gramEnd"/>
      <w:r w:rsidRPr="00E565E8">
        <w:rPr>
          <w:sz w:val="21"/>
          <w:szCs w:val="21"/>
          <w:lang w:val="en-US" w:eastAsia="ja-JP"/>
        </w:rPr>
        <w:t xml:space="preserve"> and scenario labels minimize repetitive transmission of full configurations.</w:t>
      </w:r>
    </w:p>
    <w:p w14:paraId="1B2C9E36" w14:textId="77777777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>Faster Service Adaptation: Switching between scenarios (e.g., eMBB → URLLC) can be achieved by referencing a scenario profile instead of sending complete RRCReconfiguration messages.</w:t>
      </w:r>
    </w:p>
    <w:p w14:paraId="19BE45ED" w14:textId="77777777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>Improved Energy Efficiency: Less signaling reduces UE processing and radio activity, which is critical for energy-constrained devices.</w:t>
      </w:r>
    </w:p>
    <w:p w14:paraId="338D5370" w14:textId="77777777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>Enhanced Flexibility and Scalability: Supports future scenarios (e.g., XR, NTN) without major redesign, as new parameter sets can be added without impacting the generic structure.</w:t>
      </w:r>
    </w:p>
    <w:p w14:paraId="4D5031A3" w14:textId="4FC6CE52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>Better Interoperability: Using standardized labels like SST ensures consistent interpretation across networks and devices.</w:t>
      </w:r>
    </w:p>
    <w:p w14:paraId="6F085EB9" w14:textId="5765B268" w:rsidR="0045428D" w:rsidRPr="0017024E" w:rsidRDefault="0017024E" w:rsidP="0017024E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sz w:val="24"/>
        </w:rPr>
      </w:pPr>
      <w:r>
        <w:rPr>
          <w:rFonts w:hint="eastAsia"/>
          <w:b/>
          <w:sz w:val="24"/>
          <w:lang w:eastAsia="ja-JP"/>
        </w:rPr>
        <w:t>Conclusion:</w:t>
      </w:r>
    </w:p>
    <w:p w14:paraId="15C99604" w14:textId="21167374" w:rsidR="002A5CB4" w:rsidRPr="002A5CB4" w:rsidRDefault="002A5CB4" w:rsidP="002A5CB4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2A5CB4">
        <w:rPr>
          <w:b/>
          <w:bCs/>
          <w:sz w:val="21"/>
          <w:szCs w:val="16"/>
          <w:lang w:eastAsia="ja-JP"/>
        </w:rPr>
        <w:t>Observations</w:t>
      </w:r>
      <w:r w:rsidR="00DC6894">
        <w:rPr>
          <w:rFonts w:hint="eastAsia"/>
          <w:b/>
          <w:bCs/>
          <w:sz w:val="21"/>
          <w:szCs w:val="16"/>
          <w:lang w:eastAsia="ja-JP"/>
        </w:rPr>
        <w:t xml:space="preserve"> 1: </w:t>
      </w:r>
      <w:r w:rsidR="00EA781A" w:rsidRPr="00EA781A">
        <w:rPr>
          <w:b/>
          <w:bCs/>
          <w:sz w:val="21"/>
          <w:szCs w:val="16"/>
          <w:lang w:eastAsia="ja-JP"/>
        </w:rPr>
        <w:t>6G will support a wide range of scenarios (e.g., URLLC, XR, NTN, massive IoT), which require more flexible and efficient RRC signaling than the current 5G design.</w:t>
      </w:r>
    </w:p>
    <w:p w14:paraId="718CCF59" w14:textId="6E8145DF" w:rsidR="002A5CB4" w:rsidRPr="002A5CB4" w:rsidRDefault="00DC6894" w:rsidP="002A5CB4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2A5CB4">
        <w:rPr>
          <w:b/>
          <w:bCs/>
          <w:sz w:val="21"/>
          <w:szCs w:val="16"/>
          <w:lang w:eastAsia="ja-JP"/>
        </w:rPr>
        <w:t>Observations</w:t>
      </w:r>
      <w:r>
        <w:rPr>
          <w:rFonts w:hint="eastAsia"/>
          <w:b/>
          <w:bCs/>
          <w:sz w:val="21"/>
          <w:szCs w:val="16"/>
          <w:lang w:eastAsia="ja-JP"/>
        </w:rPr>
        <w:t xml:space="preserve"> 2: </w:t>
      </w:r>
      <w:r w:rsidR="00EA781A" w:rsidRPr="00EA781A">
        <w:rPr>
          <w:b/>
          <w:bCs/>
          <w:sz w:val="21"/>
          <w:szCs w:val="16"/>
          <w:lang w:eastAsia="ja-JP"/>
        </w:rPr>
        <w:t>The existing generalized RRC configuration approach in 5G leads to inefficiencies such as redundant signaling, lack of scenario-specific optimization, and increased overhead when adapting to diverse service requirements.</w:t>
      </w:r>
    </w:p>
    <w:p w14:paraId="393A7E15" w14:textId="0C1131D2" w:rsidR="002A5CB4" w:rsidRDefault="00DC6894" w:rsidP="002A5CB4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2A5CB4">
        <w:rPr>
          <w:b/>
          <w:bCs/>
          <w:sz w:val="21"/>
          <w:szCs w:val="16"/>
          <w:lang w:eastAsia="ja-JP"/>
        </w:rPr>
        <w:t>Observations</w:t>
      </w:r>
      <w:r>
        <w:rPr>
          <w:rFonts w:hint="eastAsia"/>
          <w:b/>
          <w:bCs/>
          <w:sz w:val="21"/>
          <w:szCs w:val="16"/>
          <w:lang w:eastAsia="ja-JP"/>
        </w:rPr>
        <w:t xml:space="preserve"> 3: </w:t>
      </w:r>
      <w:r w:rsidR="00EA781A" w:rsidRPr="00EA781A">
        <w:rPr>
          <w:b/>
          <w:bCs/>
          <w:sz w:val="21"/>
          <w:szCs w:val="16"/>
          <w:lang w:eastAsia="ja-JP"/>
        </w:rPr>
        <w:t>Introducing a scenario-oriented signaling framework, leveraging predefined parameter sets and scenario labels (e.g., SST), can significantly reduce signaling overhead, improve adaptability, and enable faster configuration for diverse use cases.</w:t>
      </w:r>
    </w:p>
    <w:p w14:paraId="1B995C57" w14:textId="16BA9F23" w:rsidR="00A002D6" w:rsidRPr="00A002D6" w:rsidRDefault="00A002D6" w:rsidP="00A002D6">
      <w:pPr>
        <w:tabs>
          <w:tab w:val="left" w:pos="3119"/>
        </w:tabs>
        <w:rPr>
          <w:b/>
          <w:bCs/>
          <w:sz w:val="21"/>
          <w:szCs w:val="16"/>
          <w:lang w:val="en-US" w:eastAsia="ja-JP"/>
        </w:rPr>
      </w:pPr>
      <w:r w:rsidRPr="00A002D6">
        <w:rPr>
          <w:b/>
          <w:bCs/>
          <w:sz w:val="21"/>
          <w:szCs w:val="16"/>
          <w:lang w:val="en-US" w:eastAsia="ja-JP"/>
        </w:rPr>
        <w:t>Proposal 1:</w:t>
      </w:r>
      <w:r>
        <w:rPr>
          <w:rFonts w:hint="eastAsia"/>
          <w:b/>
          <w:bCs/>
          <w:sz w:val="21"/>
          <w:szCs w:val="16"/>
          <w:lang w:val="en-US" w:eastAsia="ja-JP"/>
        </w:rPr>
        <w:t xml:space="preserve"> </w:t>
      </w:r>
      <w:r w:rsidRPr="00A002D6">
        <w:rPr>
          <w:b/>
          <w:bCs/>
          <w:sz w:val="21"/>
          <w:szCs w:val="16"/>
          <w:lang w:val="en-US" w:eastAsia="ja-JP"/>
        </w:rPr>
        <w:t>RAN2 should study and discuss a scenario-oriented RRC signaling approach that enables efficient configuration tailored to diverse 6G use cases.</w:t>
      </w:r>
    </w:p>
    <w:p w14:paraId="618E3E01" w14:textId="7EDE1E16" w:rsidR="00A002D6" w:rsidRPr="00A002D6" w:rsidRDefault="00A002D6" w:rsidP="00A002D6">
      <w:pPr>
        <w:tabs>
          <w:tab w:val="left" w:pos="3119"/>
        </w:tabs>
        <w:rPr>
          <w:b/>
          <w:bCs/>
          <w:sz w:val="21"/>
          <w:szCs w:val="16"/>
          <w:lang w:val="en-US" w:eastAsia="ja-JP"/>
        </w:rPr>
      </w:pPr>
      <w:r w:rsidRPr="00A002D6">
        <w:rPr>
          <w:b/>
          <w:bCs/>
          <w:sz w:val="21"/>
          <w:szCs w:val="16"/>
          <w:lang w:val="en-US" w:eastAsia="ja-JP"/>
        </w:rPr>
        <w:t>Proposal 2:</w:t>
      </w:r>
      <w:r>
        <w:rPr>
          <w:rFonts w:hint="eastAsia"/>
          <w:b/>
          <w:bCs/>
          <w:sz w:val="21"/>
          <w:szCs w:val="16"/>
          <w:lang w:val="en-US" w:eastAsia="ja-JP"/>
        </w:rPr>
        <w:t xml:space="preserve"> </w:t>
      </w:r>
      <w:r w:rsidRPr="00A002D6">
        <w:rPr>
          <w:b/>
          <w:bCs/>
          <w:sz w:val="21"/>
          <w:szCs w:val="16"/>
          <w:lang w:val="en-US" w:eastAsia="ja-JP"/>
        </w:rPr>
        <w:t>RAN2 should consider an RRC signaling structure composed of a “Generic part” and a “Scenario-oriented part”, allowing common baseline settings with scenario-specific extensions.</w:t>
      </w:r>
    </w:p>
    <w:p w14:paraId="73D6CAA4" w14:textId="52A8E2D4" w:rsidR="00C660B8" w:rsidRPr="009F43E1" w:rsidRDefault="00A002D6" w:rsidP="00F328B5">
      <w:pPr>
        <w:tabs>
          <w:tab w:val="left" w:pos="3119"/>
        </w:tabs>
        <w:rPr>
          <w:rFonts w:eastAsiaTheme="minorEastAsia"/>
          <w:bCs/>
          <w:szCs w:val="24"/>
        </w:rPr>
      </w:pPr>
      <w:r w:rsidRPr="00A002D6">
        <w:rPr>
          <w:b/>
          <w:bCs/>
          <w:sz w:val="21"/>
          <w:szCs w:val="16"/>
          <w:lang w:val="en-US" w:eastAsia="ja-JP"/>
        </w:rPr>
        <w:t>Proposal 3:</w:t>
      </w:r>
      <w:r>
        <w:rPr>
          <w:rFonts w:hint="eastAsia"/>
          <w:b/>
          <w:bCs/>
          <w:sz w:val="21"/>
          <w:szCs w:val="16"/>
          <w:lang w:val="en-US" w:eastAsia="ja-JP"/>
        </w:rPr>
        <w:t xml:space="preserve"> </w:t>
      </w:r>
      <w:r w:rsidRPr="00A002D6">
        <w:rPr>
          <w:b/>
          <w:bCs/>
          <w:sz w:val="21"/>
          <w:szCs w:val="16"/>
          <w:lang w:val="en-US" w:eastAsia="ja-JP"/>
        </w:rPr>
        <w:t>RAN2 should evaluate the use of Slice/Service Type (SST) as a label for the scenario-oriented part of RRC signaling, facilitating association between parameter sets and service requirements.</w:t>
      </w:r>
    </w:p>
    <w:sectPr w:rsidR="00C660B8" w:rsidRPr="009F43E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B5C6A" w14:textId="77777777" w:rsidR="00AC15CB" w:rsidRDefault="00AC15CB" w:rsidP="00C75908">
      <w:pPr>
        <w:spacing w:after="0"/>
      </w:pPr>
      <w:r>
        <w:separator/>
      </w:r>
    </w:p>
  </w:endnote>
  <w:endnote w:type="continuationSeparator" w:id="0">
    <w:p w14:paraId="24CFE1B9" w14:textId="77777777" w:rsidR="00AC15CB" w:rsidRDefault="00AC15CB" w:rsidP="00C75908">
      <w:pPr>
        <w:spacing w:after="0"/>
      </w:pPr>
      <w:r>
        <w:continuationSeparator/>
      </w:r>
    </w:p>
  </w:endnote>
  <w:endnote w:type="continuationNotice" w:id="1">
    <w:p w14:paraId="3C40A18F" w14:textId="77777777" w:rsidR="00AC15CB" w:rsidRDefault="00AC15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2DE51" w14:textId="77777777" w:rsidR="00AC15CB" w:rsidRDefault="00AC15CB" w:rsidP="00C75908">
      <w:pPr>
        <w:spacing w:after="0"/>
      </w:pPr>
      <w:r>
        <w:separator/>
      </w:r>
    </w:p>
  </w:footnote>
  <w:footnote w:type="continuationSeparator" w:id="0">
    <w:p w14:paraId="483FB5C1" w14:textId="77777777" w:rsidR="00AC15CB" w:rsidRDefault="00AC15CB" w:rsidP="00C75908">
      <w:pPr>
        <w:spacing w:after="0"/>
      </w:pPr>
      <w:r>
        <w:continuationSeparator/>
      </w:r>
    </w:p>
  </w:footnote>
  <w:footnote w:type="continuationNotice" w:id="1">
    <w:p w14:paraId="7A25519A" w14:textId="77777777" w:rsidR="00AC15CB" w:rsidRDefault="00AC15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25DE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74962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D7DDE"/>
    <w:multiLevelType w:val="hybridMultilevel"/>
    <w:tmpl w:val="04187BF8"/>
    <w:lvl w:ilvl="0" w:tplc="B50876C8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8D802EC"/>
    <w:multiLevelType w:val="hybridMultilevel"/>
    <w:tmpl w:val="C4C2DACA"/>
    <w:lvl w:ilvl="0" w:tplc="8E0A9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A47001B"/>
    <w:multiLevelType w:val="hybridMultilevel"/>
    <w:tmpl w:val="38E298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DCC6319"/>
    <w:multiLevelType w:val="hybridMultilevel"/>
    <w:tmpl w:val="0CBAA27C"/>
    <w:lvl w:ilvl="0" w:tplc="B50876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2B1108D"/>
    <w:multiLevelType w:val="hybridMultilevel"/>
    <w:tmpl w:val="C1C4367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0E2E60"/>
    <w:multiLevelType w:val="hybridMultilevel"/>
    <w:tmpl w:val="441C6D1E"/>
    <w:lvl w:ilvl="0" w:tplc="F29C0516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B18F5"/>
    <w:multiLevelType w:val="hybridMultilevel"/>
    <w:tmpl w:val="D6D411EC"/>
    <w:lvl w:ilvl="0" w:tplc="E03A8CE4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741A8"/>
    <w:multiLevelType w:val="hybridMultilevel"/>
    <w:tmpl w:val="05247E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0B203D"/>
    <w:multiLevelType w:val="hybridMultilevel"/>
    <w:tmpl w:val="1C1CB85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SimSu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77D31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A1B2AA0"/>
    <w:multiLevelType w:val="hybridMultilevel"/>
    <w:tmpl w:val="1C4CD3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AE56538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84242866">
    <w:abstractNumId w:val="1"/>
  </w:num>
  <w:num w:numId="2" w16cid:durableId="51660655">
    <w:abstractNumId w:val="5"/>
  </w:num>
  <w:num w:numId="3" w16cid:durableId="639578709">
    <w:abstractNumId w:val="4"/>
  </w:num>
  <w:num w:numId="4" w16cid:durableId="355933987">
    <w:abstractNumId w:val="6"/>
  </w:num>
  <w:num w:numId="5" w16cid:durableId="775101168">
    <w:abstractNumId w:val="7"/>
  </w:num>
  <w:num w:numId="6" w16cid:durableId="273755190">
    <w:abstractNumId w:val="3"/>
  </w:num>
  <w:num w:numId="7" w16cid:durableId="1263994625">
    <w:abstractNumId w:val="2"/>
  </w:num>
  <w:num w:numId="8" w16cid:durableId="1291473273">
    <w:abstractNumId w:val="11"/>
  </w:num>
  <w:num w:numId="9" w16cid:durableId="455756291">
    <w:abstractNumId w:val="20"/>
  </w:num>
  <w:num w:numId="10" w16cid:durableId="1638103418">
    <w:abstractNumId w:val="0"/>
  </w:num>
  <w:num w:numId="11" w16cid:durableId="861240555">
    <w:abstractNumId w:val="23"/>
  </w:num>
  <w:num w:numId="12" w16cid:durableId="1130825261">
    <w:abstractNumId w:val="8"/>
  </w:num>
  <w:num w:numId="13" w16cid:durableId="1594896310">
    <w:abstractNumId w:val="9"/>
  </w:num>
  <w:num w:numId="14" w16cid:durableId="1184634813">
    <w:abstractNumId w:val="22"/>
  </w:num>
  <w:num w:numId="15" w16cid:durableId="358625096">
    <w:abstractNumId w:val="19"/>
  </w:num>
  <w:num w:numId="16" w16cid:durableId="254559321">
    <w:abstractNumId w:val="14"/>
  </w:num>
  <w:num w:numId="17" w16cid:durableId="1386951646">
    <w:abstractNumId w:val="15"/>
  </w:num>
  <w:num w:numId="18" w16cid:durableId="391778523">
    <w:abstractNumId w:val="16"/>
  </w:num>
  <w:num w:numId="19" w16cid:durableId="1376734226">
    <w:abstractNumId w:val="18"/>
  </w:num>
  <w:num w:numId="20" w16cid:durableId="495271897">
    <w:abstractNumId w:val="12"/>
  </w:num>
  <w:num w:numId="21" w16cid:durableId="1938245210">
    <w:abstractNumId w:val="10"/>
  </w:num>
  <w:num w:numId="22" w16cid:durableId="1327325278">
    <w:abstractNumId w:val="13"/>
  </w:num>
  <w:num w:numId="23" w16cid:durableId="108747621">
    <w:abstractNumId w:val="21"/>
  </w:num>
  <w:num w:numId="24" w16cid:durableId="20913886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F2F"/>
    <w:rsid w:val="000065F8"/>
    <w:rsid w:val="00014C4D"/>
    <w:rsid w:val="000239B3"/>
    <w:rsid w:val="00023FF8"/>
    <w:rsid w:val="000366D1"/>
    <w:rsid w:val="00040BEF"/>
    <w:rsid w:val="000413AD"/>
    <w:rsid w:val="00042F9B"/>
    <w:rsid w:val="00045994"/>
    <w:rsid w:val="000562E5"/>
    <w:rsid w:val="0005636F"/>
    <w:rsid w:val="00061286"/>
    <w:rsid w:val="0006168E"/>
    <w:rsid w:val="00062B2B"/>
    <w:rsid w:val="000661E5"/>
    <w:rsid w:val="0007262B"/>
    <w:rsid w:val="00072649"/>
    <w:rsid w:val="00075B7A"/>
    <w:rsid w:val="0008112E"/>
    <w:rsid w:val="00084A28"/>
    <w:rsid w:val="0009354A"/>
    <w:rsid w:val="00097BE5"/>
    <w:rsid w:val="000A2F9C"/>
    <w:rsid w:val="000A3A3E"/>
    <w:rsid w:val="000A5079"/>
    <w:rsid w:val="000B02ED"/>
    <w:rsid w:val="000B11C7"/>
    <w:rsid w:val="000B2039"/>
    <w:rsid w:val="000B746E"/>
    <w:rsid w:val="000C1325"/>
    <w:rsid w:val="000C1E80"/>
    <w:rsid w:val="000C3F68"/>
    <w:rsid w:val="000C5694"/>
    <w:rsid w:val="000C5782"/>
    <w:rsid w:val="000D3AB8"/>
    <w:rsid w:val="000D6540"/>
    <w:rsid w:val="000F08D5"/>
    <w:rsid w:val="000F3D2D"/>
    <w:rsid w:val="000F7ECB"/>
    <w:rsid w:val="00101E28"/>
    <w:rsid w:val="00102055"/>
    <w:rsid w:val="00103044"/>
    <w:rsid w:val="00110EBD"/>
    <w:rsid w:val="00114E6F"/>
    <w:rsid w:val="0012112E"/>
    <w:rsid w:val="00121677"/>
    <w:rsid w:val="00124E6A"/>
    <w:rsid w:val="0012577B"/>
    <w:rsid w:val="001257B7"/>
    <w:rsid w:val="00126190"/>
    <w:rsid w:val="0013320D"/>
    <w:rsid w:val="00136542"/>
    <w:rsid w:val="001365E3"/>
    <w:rsid w:val="00136C16"/>
    <w:rsid w:val="00140FE0"/>
    <w:rsid w:val="0015032E"/>
    <w:rsid w:val="0015048C"/>
    <w:rsid w:val="00154ECB"/>
    <w:rsid w:val="00155EB6"/>
    <w:rsid w:val="00160963"/>
    <w:rsid w:val="001659ED"/>
    <w:rsid w:val="0017024E"/>
    <w:rsid w:val="00174923"/>
    <w:rsid w:val="00174AD8"/>
    <w:rsid w:val="0018350F"/>
    <w:rsid w:val="001854E6"/>
    <w:rsid w:val="001870A1"/>
    <w:rsid w:val="001903F3"/>
    <w:rsid w:val="001956E5"/>
    <w:rsid w:val="00196EB8"/>
    <w:rsid w:val="001A0D2F"/>
    <w:rsid w:val="001B5428"/>
    <w:rsid w:val="001B5CFE"/>
    <w:rsid w:val="001C569B"/>
    <w:rsid w:val="001E1EE2"/>
    <w:rsid w:val="001E4B89"/>
    <w:rsid w:val="001E69F9"/>
    <w:rsid w:val="001E7539"/>
    <w:rsid w:val="001F2173"/>
    <w:rsid w:val="001F521D"/>
    <w:rsid w:val="00201520"/>
    <w:rsid w:val="00203EF7"/>
    <w:rsid w:val="00206475"/>
    <w:rsid w:val="00207605"/>
    <w:rsid w:val="00222D66"/>
    <w:rsid w:val="00230D0E"/>
    <w:rsid w:val="0023106D"/>
    <w:rsid w:val="00234984"/>
    <w:rsid w:val="0024784C"/>
    <w:rsid w:val="002536B8"/>
    <w:rsid w:val="00260D61"/>
    <w:rsid w:val="002640D1"/>
    <w:rsid w:val="00266CEB"/>
    <w:rsid w:val="00267B7C"/>
    <w:rsid w:val="00272C5C"/>
    <w:rsid w:val="00273D02"/>
    <w:rsid w:val="00274AF5"/>
    <w:rsid w:val="00275B44"/>
    <w:rsid w:val="00280595"/>
    <w:rsid w:val="00281061"/>
    <w:rsid w:val="0028159F"/>
    <w:rsid w:val="00282E62"/>
    <w:rsid w:val="00295923"/>
    <w:rsid w:val="002A5CB4"/>
    <w:rsid w:val="002A7408"/>
    <w:rsid w:val="002B0859"/>
    <w:rsid w:val="002B09A1"/>
    <w:rsid w:val="002C7E8C"/>
    <w:rsid w:val="002D18D7"/>
    <w:rsid w:val="002D2567"/>
    <w:rsid w:val="002D27F3"/>
    <w:rsid w:val="002D781F"/>
    <w:rsid w:val="002F7988"/>
    <w:rsid w:val="00303A1D"/>
    <w:rsid w:val="00317FBC"/>
    <w:rsid w:val="003304A9"/>
    <w:rsid w:val="00336A58"/>
    <w:rsid w:val="00337028"/>
    <w:rsid w:val="00341F47"/>
    <w:rsid w:val="00345AAC"/>
    <w:rsid w:val="00345EEA"/>
    <w:rsid w:val="0035351D"/>
    <w:rsid w:val="00354098"/>
    <w:rsid w:val="00356B43"/>
    <w:rsid w:val="003621BA"/>
    <w:rsid w:val="00362F22"/>
    <w:rsid w:val="00375412"/>
    <w:rsid w:val="00385F48"/>
    <w:rsid w:val="00386B89"/>
    <w:rsid w:val="00390CBC"/>
    <w:rsid w:val="003912A4"/>
    <w:rsid w:val="00397B53"/>
    <w:rsid w:val="003A613E"/>
    <w:rsid w:val="003A696F"/>
    <w:rsid w:val="003B5ADB"/>
    <w:rsid w:val="003B719F"/>
    <w:rsid w:val="003C32DB"/>
    <w:rsid w:val="003C57C2"/>
    <w:rsid w:val="003C7C2A"/>
    <w:rsid w:val="003D206D"/>
    <w:rsid w:val="003D308D"/>
    <w:rsid w:val="003D6786"/>
    <w:rsid w:val="003D7290"/>
    <w:rsid w:val="003E1824"/>
    <w:rsid w:val="003F2749"/>
    <w:rsid w:val="003F5803"/>
    <w:rsid w:val="003F687E"/>
    <w:rsid w:val="003F69A5"/>
    <w:rsid w:val="00406D62"/>
    <w:rsid w:val="00414D96"/>
    <w:rsid w:val="0043087F"/>
    <w:rsid w:val="00430ABF"/>
    <w:rsid w:val="0043138A"/>
    <w:rsid w:val="00431994"/>
    <w:rsid w:val="00432A63"/>
    <w:rsid w:val="00433B9A"/>
    <w:rsid w:val="004350CB"/>
    <w:rsid w:val="00435A92"/>
    <w:rsid w:val="004421A2"/>
    <w:rsid w:val="004541AA"/>
    <w:rsid w:val="0045428D"/>
    <w:rsid w:val="00454654"/>
    <w:rsid w:val="0046042E"/>
    <w:rsid w:val="00463DA6"/>
    <w:rsid w:val="00463E6A"/>
    <w:rsid w:val="00466AE6"/>
    <w:rsid w:val="00470713"/>
    <w:rsid w:val="00470991"/>
    <w:rsid w:val="00471CFD"/>
    <w:rsid w:val="0047559C"/>
    <w:rsid w:val="00481F03"/>
    <w:rsid w:val="00487985"/>
    <w:rsid w:val="00490935"/>
    <w:rsid w:val="00491692"/>
    <w:rsid w:val="00493982"/>
    <w:rsid w:val="00496CFD"/>
    <w:rsid w:val="004B159E"/>
    <w:rsid w:val="004D0867"/>
    <w:rsid w:val="004D3407"/>
    <w:rsid w:val="004D38DD"/>
    <w:rsid w:val="004D460D"/>
    <w:rsid w:val="004D5647"/>
    <w:rsid w:val="004D5E99"/>
    <w:rsid w:val="004D7DAA"/>
    <w:rsid w:val="004E01D0"/>
    <w:rsid w:val="004E2466"/>
    <w:rsid w:val="004F5115"/>
    <w:rsid w:val="005277B5"/>
    <w:rsid w:val="00530A17"/>
    <w:rsid w:val="00541DEC"/>
    <w:rsid w:val="00546FC5"/>
    <w:rsid w:val="0056197D"/>
    <w:rsid w:val="00571640"/>
    <w:rsid w:val="00571AE5"/>
    <w:rsid w:val="00574291"/>
    <w:rsid w:val="00576336"/>
    <w:rsid w:val="005778AE"/>
    <w:rsid w:val="00581EF9"/>
    <w:rsid w:val="005A62B1"/>
    <w:rsid w:val="005B51D6"/>
    <w:rsid w:val="005C178D"/>
    <w:rsid w:val="005C66B0"/>
    <w:rsid w:val="005D0DF5"/>
    <w:rsid w:val="005D3B9B"/>
    <w:rsid w:val="005E2223"/>
    <w:rsid w:val="005E2F8B"/>
    <w:rsid w:val="005E3B27"/>
    <w:rsid w:val="005E4ADB"/>
    <w:rsid w:val="005F0139"/>
    <w:rsid w:val="005F2708"/>
    <w:rsid w:val="00606262"/>
    <w:rsid w:val="006069A7"/>
    <w:rsid w:val="00606B42"/>
    <w:rsid w:val="006201A9"/>
    <w:rsid w:val="00624171"/>
    <w:rsid w:val="00626E01"/>
    <w:rsid w:val="00627A20"/>
    <w:rsid w:val="00631459"/>
    <w:rsid w:val="00632150"/>
    <w:rsid w:val="0063499C"/>
    <w:rsid w:val="00635A77"/>
    <w:rsid w:val="00652CFD"/>
    <w:rsid w:val="00654B27"/>
    <w:rsid w:val="00655C2E"/>
    <w:rsid w:val="00655C5F"/>
    <w:rsid w:val="006617D9"/>
    <w:rsid w:val="00661C98"/>
    <w:rsid w:val="00670DD6"/>
    <w:rsid w:val="006851B5"/>
    <w:rsid w:val="006915DC"/>
    <w:rsid w:val="00691C24"/>
    <w:rsid w:val="006934C6"/>
    <w:rsid w:val="00693F2C"/>
    <w:rsid w:val="00697BFA"/>
    <w:rsid w:val="006A2115"/>
    <w:rsid w:val="006A273F"/>
    <w:rsid w:val="006A2F5D"/>
    <w:rsid w:val="006B4EF2"/>
    <w:rsid w:val="006C066D"/>
    <w:rsid w:val="006C2820"/>
    <w:rsid w:val="006D27DD"/>
    <w:rsid w:val="006E559B"/>
    <w:rsid w:val="006E60F3"/>
    <w:rsid w:val="006E6B16"/>
    <w:rsid w:val="006F2A41"/>
    <w:rsid w:val="00702A29"/>
    <w:rsid w:val="00702FB2"/>
    <w:rsid w:val="0070488D"/>
    <w:rsid w:val="0070522F"/>
    <w:rsid w:val="00705C58"/>
    <w:rsid w:val="00712C84"/>
    <w:rsid w:val="007170C7"/>
    <w:rsid w:val="007173DB"/>
    <w:rsid w:val="0072177E"/>
    <w:rsid w:val="00736B10"/>
    <w:rsid w:val="00756B72"/>
    <w:rsid w:val="00757476"/>
    <w:rsid w:val="007638D5"/>
    <w:rsid w:val="00772B9C"/>
    <w:rsid w:val="00774904"/>
    <w:rsid w:val="00774E49"/>
    <w:rsid w:val="00777312"/>
    <w:rsid w:val="007778C3"/>
    <w:rsid w:val="007872BE"/>
    <w:rsid w:val="00790FC9"/>
    <w:rsid w:val="00792DF8"/>
    <w:rsid w:val="00797F2F"/>
    <w:rsid w:val="007A1B9D"/>
    <w:rsid w:val="007A3B53"/>
    <w:rsid w:val="007B1AD5"/>
    <w:rsid w:val="007C593C"/>
    <w:rsid w:val="007E2108"/>
    <w:rsid w:val="007E47FD"/>
    <w:rsid w:val="007E4C28"/>
    <w:rsid w:val="007E588E"/>
    <w:rsid w:val="007F2F28"/>
    <w:rsid w:val="007F3493"/>
    <w:rsid w:val="008039EF"/>
    <w:rsid w:val="00812091"/>
    <w:rsid w:val="00812930"/>
    <w:rsid w:val="00815185"/>
    <w:rsid w:val="00823475"/>
    <w:rsid w:val="00831899"/>
    <w:rsid w:val="00833416"/>
    <w:rsid w:val="008352BB"/>
    <w:rsid w:val="00841567"/>
    <w:rsid w:val="008452E3"/>
    <w:rsid w:val="00862269"/>
    <w:rsid w:val="00867220"/>
    <w:rsid w:val="0089041A"/>
    <w:rsid w:val="0089066D"/>
    <w:rsid w:val="0089152E"/>
    <w:rsid w:val="00891604"/>
    <w:rsid w:val="008945D7"/>
    <w:rsid w:val="008948D0"/>
    <w:rsid w:val="008A052C"/>
    <w:rsid w:val="008A4FBA"/>
    <w:rsid w:val="008A541A"/>
    <w:rsid w:val="008B4335"/>
    <w:rsid w:val="008B6202"/>
    <w:rsid w:val="008C1516"/>
    <w:rsid w:val="008C1BE2"/>
    <w:rsid w:val="008C3ABA"/>
    <w:rsid w:val="008E56B1"/>
    <w:rsid w:val="008E6CEB"/>
    <w:rsid w:val="0090458D"/>
    <w:rsid w:val="00905714"/>
    <w:rsid w:val="0091251F"/>
    <w:rsid w:val="00921A69"/>
    <w:rsid w:val="00933007"/>
    <w:rsid w:val="00936BDE"/>
    <w:rsid w:val="00937BF0"/>
    <w:rsid w:val="00940401"/>
    <w:rsid w:val="00945D8C"/>
    <w:rsid w:val="00951DBC"/>
    <w:rsid w:val="009533E1"/>
    <w:rsid w:val="00954A1A"/>
    <w:rsid w:val="00956703"/>
    <w:rsid w:val="00957413"/>
    <w:rsid w:val="00963C04"/>
    <w:rsid w:val="00965C0F"/>
    <w:rsid w:val="00966FF6"/>
    <w:rsid w:val="0097136D"/>
    <w:rsid w:val="009802F0"/>
    <w:rsid w:val="0098720A"/>
    <w:rsid w:val="00991027"/>
    <w:rsid w:val="009A56B2"/>
    <w:rsid w:val="009B238F"/>
    <w:rsid w:val="009B4A67"/>
    <w:rsid w:val="009B6A05"/>
    <w:rsid w:val="009B71D9"/>
    <w:rsid w:val="009C35C4"/>
    <w:rsid w:val="009D2FF1"/>
    <w:rsid w:val="009D6B61"/>
    <w:rsid w:val="009F43E1"/>
    <w:rsid w:val="00A002D6"/>
    <w:rsid w:val="00A1794C"/>
    <w:rsid w:val="00A22E44"/>
    <w:rsid w:val="00A300AA"/>
    <w:rsid w:val="00A31E0A"/>
    <w:rsid w:val="00A3518C"/>
    <w:rsid w:val="00A400A2"/>
    <w:rsid w:val="00A410F4"/>
    <w:rsid w:val="00A45F28"/>
    <w:rsid w:val="00A534AA"/>
    <w:rsid w:val="00A535F8"/>
    <w:rsid w:val="00A55F48"/>
    <w:rsid w:val="00A60EA3"/>
    <w:rsid w:val="00A67A2F"/>
    <w:rsid w:val="00A70A53"/>
    <w:rsid w:val="00A70BC4"/>
    <w:rsid w:val="00A81736"/>
    <w:rsid w:val="00A87308"/>
    <w:rsid w:val="00A91844"/>
    <w:rsid w:val="00A93103"/>
    <w:rsid w:val="00A93C53"/>
    <w:rsid w:val="00A96699"/>
    <w:rsid w:val="00A9710C"/>
    <w:rsid w:val="00AA7785"/>
    <w:rsid w:val="00AB0839"/>
    <w:rsid w:val="00AC0D85"/>
    <w:rsid w:val="00AC15CB"/>
    <w:rsid w:val="00AC16F7"/>
    <w:rsid w:val="00AC2164"/>
    <w:rsid w:val="00AD659C"/>
    <w:rsid w:val="00AD77F2"/>
    <w:rsid w:val="00AE0D26"/>
    <w:rsid w:val="00AE5586"/>
    <w:rsid w:val="00AF1539"/>
    <w:rsid w:val="00AF36C8"/>
    <w:rsid w:val="00B04B96"/>
    <w:rsid w:val="00B052B8"/>
    <w:rsid w:val="00B10BC0"/>
    <w:rsid w:val="00B11D76"/>
    <w:rsid w:val="00B20834"/>
    <w:rsid w:val="00B34FDA"/>
    <w:rsid w:val="00B41F0F"/>
    <w:rsid w:val="00B42000"/>
    <w:rsid w:val="00B432E9"/>
    <w:rsid w:val="00B433CC"/>
    <w:rsid w:val="00B509BF"/>
    <w:rsid w:val="00B52AAE"/>
    <w:rsid w:val="00B61860"/>
    <w:rsid w:val="00B63D42"/>
    <w:rsid w:val="00B70842"/>
    <w:rsid w:val="00B71F45"/>
    <w:rsid w:val="00B73FC4"/>
    <w:rsid w:val="00B74761"/>
    <w:rsid w:val="00B92069"/>
    <w:rsid w:val="00B932D7"/>
    <w:rsid w:val="00B96EB3"/>
    <w:rsid w:val="00BA234E"/>
    <w:rsid w:val="00BA5578"/>
    <w:rsid w:val="00BB16B1"/>
    <w:rsid w:val="00BB2AC5"/>
    <w:rsid w:val="00BB2B84"/>
    <w:rsid w:val="00BB4CBC"/>
    <w:rsid w:val="00BC31FE"/>
    <w:rsid w:val="00BD2239"/>
    <w:rsid w:val="00BD30CB"/>
    <w:rsid w:val="00BD7715"/>
    <w:rsid w:val="00BE1027"/>
    <w:rsid w:val="00BE77B0"/>
    <w:rsid w:val="00BF607D"/>
    <w:rsid w:val="00C04532"/>
    <w:rsid w:val="00C07A17"/>
    <w:rsid w:val="00C15FA7"/>
    <w:rsid w:val="00C21054"/>
    <w:rsid w:val="00C21558"/>
    <w:rsid w:val="00C31C0A"/>
    <w:rsid w:val="00C34D40"/>
    <w:rsid w:val="00C3553E"/>
    <w:rsid w:val="00C44C95"/>
    <w:rsid w:val="00C452BB"/>
    <w:rsid w:val="00C45381"/>
    <w:rsid w:val="00C458F6"/>
    <w:rsid w:val="00C54773"/>
    <w:rsid w:val="00C61CFC"/>
    <w:rsid w:val="00C628E0"/>
    <w:rsid w:val="00C660B8"/>
    <w:rsid w:val="00C70803"/>
    <w:rsid w:val="00C70BCC"/>
    <w:rsid w:val="00C71C02"/>
    <w:rsid w:val="00C71D07"/>
    <w:rsid w:val="00C75908"/>
    <w:rsid w:val="00C76380"/>
    <w:rsid w:val="00C770C3"/>
    <w:rsid w:val="00C77146"/>
    <w:rsid w:val="00C91144"/>
    <w:rsid w:val="00C95F50"/>
    <w:rsid w:val="00CA0AA7"/>
    <w:rsid w:val="00CB4C14"/>
    <w:rsid w:val="00CB6DB3"/>
    <w:rsid w:val="00CC32D2"/>
    <w:rsid w:val="00CC358C"/>
    <w:rsid w:val="00CE1686"/>
    <w:rsid w:val="00D0303B"/>
    <w:rsid w:val="00D0563B"/>
    <w:rsid w:val="00D11BFA"/>
    <w:rsid w:val="00D13A75"/>
    <w:rsid w:val="00D42B91"/>
    <w:rsid w:val="00D42EA9"/>
    <w:rsid w:val="00D443A8"/>
    <w:rsid w:val="00D44559"/>
    <w:rsid w:val="00D500DE"/>
    <w:rsid w:val="00D52C31"/>
    <w:rsid w:val="00D6608E"/>
    <w:rsid w:val="00D66265"/>
    <w:rsid w:val="00D719D8"/>
    <w:rsid w:val="00D73403"/>
    <w:rsid w:val="00D751B6"/>
    <w:rsid w:val="00D769A5"/>
    <w:rsid w:val="00D96B3E"/>
    <w:rsid w:val="00DA4374"/>
    <w:rsid w:val="00DA4C5F"/>
    <w:rsid w:val="00DA69CA"/>
    <w:rsid w:val="00DB10D8"/>
    <w:rsid w:val="00DC144F"/>
    <w:rsid w:val="00DC278D"/>
    <w:rsid w:val="00DC3925"/>
    <w:rsid w:val="00DC44A4"/>
    <w:rsid w:val="00DC6894"/>
    <w:rsid w:val="00DC7552"/>
    <w:rsid w:val="00DD083C"/>
    <w:rsid w:val="00DD0B47"/>
    <w:rsid w:val="00DD5C71"/>
    <w:rsid w:val="00DE1C8F"/>
    <w:rsid w:val="00DE4BBC"/>
    <w:rsid w:val="00DE5997"/>
    <w:rsid w:val="00DE5AC1"/>
    <w:rsid w:val="00DF2DE7"/>
    <w:rsid w:val="00DF3EEC"/>
    <w:rsid w:val="00DF5BFB"/>
    <w:rsid w:val="00E03D31"/>
    <w:rsid w:val="00E046C7"/>
    <w:rsid w:val="00E047DB"/>
    <w:rsid w:val="00E063C7"/>
    <w:rsid w:val="00E13E6C"/>
    <w:rsid w:val="00E13F6D"/>
    <w:rsid w:val="00E17332"/>
    <w:rsid w:val="00E174C7"/>
    <w:rsid w:val="00E24E87"/>
    <w:rsid w:val="00E26DDB"/>
    <w:rsid w:val="00E3702A"/>
    <w:rsid w:val="00E37855"/>
    <w:rsid w:val="00E55FA1"/>
    <w:rsid w:val="00E562D3"/>
    <w:rsid w:val="00E565E8"/>
    <w:rsid w:val="00E61CC8"/>
    <w:rsid w:val="00E62388"/>
    <w:rsid w:val="00E805C7"/>
    <w:rsid w:val="00E8170B"/>
    <w:rsid w:val="00E87C0A"/>
    <w:rsid w:val="00E921DC"/>
    <w:rsid w:val="00EA0C39"/>
    <w:rsid w:val="00EA39BD"/>
    <w:rsid w:val="00EA6264"/>
    <w:rsid w:val="00EA7565"/>
    <w:rsid w:val="00EA781A"/>
    <w:rsid w:val="00EB17C0"/>
    <w:rsid w:val="00EB4270"/>
    <w:rsid w:val="00EB4DB1"/>
    <w:rsid w:val="00EC0C87"/>
    <w:rsid w:val="00EC18AF"/>
    <w:rsid w:val="00ED12D4"/>
    <w:rsid w:val="00ED3DA1"/>
    <w:rsid w:val="00ED49D7"/>
    <w:rsid w:val="00ED61E6"/>
    <w:rsid w:val="00EE2522"/>
    <w:rsid w:val="00EE37F2"/>
    <w:rsid w:val="00EE770E"/>
    <w:rsid w:val="00EF14D1"/>
    <w:rsid w:val="00EF268E"/>
    <w:rsid w:val="00F10581"/>
    <w:rsid w:val="00F109E6"/>
    <w:rsid w:val="00F1320C"/>
    <w:rsid w:val="00F20EA2"/>
    <w:rsid w:val="00F26913"/>
    <w:rsid w:val="00F26A7D"/>
    <w:rsid w:val="00F328B5"/>
    <w:rsid w:val="00F41AA3"/>
    <w:rsid w:val="00F51863"/>
    <w:rsid w:val="00F561B9"/>
    <w:rsid w:val="00F57F2F"/>
    <w:rsid w:val="00F6020E"/>
    <w:rsid w:val="00F604DE"/>
    <w:rsid w:val="00F617CD"/>
    <w:rsid w:val="00F6213C"/>
    <w:rsid w:val="00F62A90"/>
    <w:rsid w:val="00F6642B"/>
    <w:rsid w:val="00F730E5"/>
    <w:rsid w:val="00F7388E"/>
    <w:rsid w:val="00F7513E"/>
    <w:rsid w:val="00F94186"/>
    <w:rsid w:val="00FA03B7"/>
    <w:rsid w:val="00FA200F"/>
    <w:rsid w:val="00FA3977"/>
    <w:rsid w:val="00FB697B"/>
    <w:rsid w:val="00FB7122"/>
    <w:rsid w:val="00FC5172"/>
    <w:rsid w:val="00FD4049"/>
    <w:rsid w:val="00FE496D"/>
    <w:rsid w:val="00FE6B52"/>
    <w:rsid w:val="00FF2AC3"/>
    <w:rsid w:val="00FF387B"/>
    <w:rsid w:val="00FF5CC7"/>
    <w:rsid w:val="38CCB222"/>
    <w:rsid w:val="5C42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E1D0DB"/>
  <w15:chartTrackingRefBased/>
  <w15:docId w15:val="{9795F6BD-B621-4E17-99FC-753F3DCB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57C2"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列出段落1,P,列表段,列出,列表段落1"/>
    <w:basedOn w:val="a"/>
    <w:link w:val="af1"/>
    <w:uiPriority w:val="34"/>
    <w:qFormat/>
    <w:rsid w:val="0017024E"/>
    <w:pPr>
      <w:ind w:leftChars="400" w:left="840"/>
    </w:pPr>
  </w:style>
  <w:style w:type="table" w:styleId="af2">
    <w:name w:val="Table Grid"/>
    <w:aliases w:val="TableGrid"/>
    <w:basedOn w:val="a1"/>
    <w:uiPriority w:val="39"/>
    <w:qFormat/>
    <w:rsid w:val="00F62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F62A90"/>
    <w:pPr>
      <w:numPr>
        <w:numId w:val="9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af1">
    <w:name w:val="リスト段落 (文字)"/>
    <w:aliases w:val="- Bullets (文字),?? ?? (文字),????? (文字),???? (文字),Lista1 (文字),列出段落 (文字),中等深浅网格 1 - 着色 21 (文字),¥¡¡¡¡ì¬º¥¹¥È¶ÎÂä (文字),ÁÐ³ö¶ÎÂä (文字),¥ê¥¹¥È¶ÎÂä (文字),—ño’i—Ž (文字),1st level - Bullet List Paragraph (文字),Lettre d'introduction (文字),Bullet list (文字)"/>
    <w:link w:val="af0"/>
    <w:uiPriority w:val="34"/>
    <w:qFormat/>
    <w:locked/>
    <w:rsid w:val="00493982"/>
    <w:rPr>
      <w:lang w:eastAsia="ko-KR"/>
    </w:rPr>
  </w:style>
  <w:style w:type="character" w:customStyle="1" w:styleId="af3">
    <w:name w:val="本文 (文字)"/>
    <w:link w:val="af4"/>
    <w:rsid w:val="0008112E"/>
    <w:rPr>
      <w:szCs w:val="24"/>
      <w:lang w:eastAsia="en-US"/>
    </w:rPr>
  </w:style>
  <w:style w:type="paragraph" w:styleId="af4">
    <w:name w:val="Body Text"/>
    <w:basedOn w:val="a"/>
    <w:link w:val="af3"/>
    <w:rsid w:val="0008112E"/>
    <w:pPr>
      <w:spacing w:before="120" w:after="120"/>
      <w:jc w:val="both"/>
    </w:pPr>
    <w:rPr>
      <w:szCs w:val="24"/>
      <w:lang w:eastAsia="en-US"/>
    </w:rPr>
  </w:style>
  <w:style w:type="character" w:customStyle="1" w:styleId="12">
    <w:name w:val="本文 (文字)1"/>
    <w:basedOn w:val="a0"/>
    <w:rsid w:val="0008112E"/>
    <w:rPr>
      <w:lang w:eastAsia="ko-KR"/>
    </w:rPr>
  </w:style>
  <w:style w:type="paragraph" w:customStyle="1" w:styleId="Proposal">
    <w:name w:val="Proposal"/>
    <w:basedOn w:val="a"/>
    <w:link w:val="ProposalChar"/>
    <w:qFormat/>
    <w:rsid w:val="0008112E"/>
    <w:pPr>
      <w:overflowPunct w:val="0"/>
      <w:autoSpaceDE w:val="0"/>
      <w:autoSpaceDN w:val="0"/>
      <w:adjustRightInd w:val="0"/>
      <w:spacing w:before="100" w:beforeAutospacing="1"/>
      <w:jc w:val="both"/>
    </w:pPr>
    <w:rPr>
      <w:rFonts w:ascii="Arial" w:eastAsia="SimSun" w:hAnsi="Arial"/>
      <w:szCs w:val="24"/>
      <w:lang w:val="en-US" w:eastAsia="zh-CN"/>
    </w:rPr>
  </w:style>
  <w:style w:type="character" w:customStyle="1" w:styleId="ProposalChar">
    <w:name w:val="Proposal Char"/>
    <w:link w:val="Proposal"/>
    <w:qFormat/>
    <w:locked/>
    <w:rsid w:val="0008112E"/>
    <w:rPr>
      <w:rFonts w:ascii="Arial" w:eastAsia="SimSun" w:hAnsi="Arial"/>
      <w:szCs w:val="24"/>
      <w:lang w:val="en-US" w:eastAsia="zh-CN"/>
    </w:rPr>
  </w:style>
  <w:style w:type="paragraph" w:styleId="af5">
    <w:name w:val="annotation subject"/>
    <w:basedOn w:val="ab"/>
    <w:next w:val="ab"/>
    <w:link w:val="af6"/>
    <w:rsid w:val="006241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6">
    <w:name w:val="コメント内容 (文字)"/>
    <w:basedOn w:val="ac"/>
    <w:link w:val="af5"/>
    <w:rsid w:val="00624171"/>
    <w:rPr>
      <w:rFonts w:ascii="Arial" w:hAnsi="Arial"/>
      <w:b/>
      <w:bCs/>
      <w:lang w:eastAsia="ko-KR"/>
    </w:rPr>
  </w:style>
  <w:style w:type="paragraph" w:customStyle="1" w:styleId="Doc-text2">
    <w:name w:val="Doc-text2"/>
    <w:basedOn w:val="a"/>
    <w:link w:val="Doc-text2Char"/>
    <w:qFormat/>
    <w:rsid w:val="0013654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6542"/>
    <w:rPr>
      <w:rFonts w:ascii="Arial" w:hAnsi="Arial"/>
      <w:szCs w:val="24"/>
      <w:lang w:eastAsia="en-GB"/>
    </w:rPr>
  </w:style>
  <w:style w:type="paragraph" w:styleId="af7">
    <w:name w:val="Revision"/>
    <w:hidden/>
    <w:uiPriority w:val="99"/>
    <w:semiHidden/>
    <w:rsid w:val="00B73FC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5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d079ccceb6c91fe9f4d23f20c14114f9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57cb622759cfc6df010a0953727cc73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A93099-B31C-4506-8146-FC1C1975C694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77e7d536-9cde-4514-95f2-d894f5dbb2f2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40013046-717f-4449-8614-b21769059c69"/>
  </ds:schemaRefs>
</ds:datastoreItem>
</file>

<file path=customXml/itemProps2.xml><?xml version="1.0" encoding="utf-8"?>
<ds:datastoreItem xmlns:ds="http://schemas.openxmlformats.org/officeDocument/2006/customXml" ds:itemID="{3F3FD1C4-38BD-46F3-A2A8-4AD6C75573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A69C0F-2703-4BC5-8416-833C97DA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27F360-4005-4DE9-8CB6-09629DE941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761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MIURA TAICHI (三浦 太一)</cp:lastModifiedBy>
  <cp:revision>89</cp:revision>
  <dcterms:created xsi:type="dcterms:W3CDTF">2025-05-09T02:46:00Z</dcterms:created>
  <dcterms:modified xsi:type="dcterms:W3CDTF">2025-10-01T03:32:00Z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