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770E5E01" w:rsidR="00293208" w:rsidRPr="0053281E" w:rsidRDefault="00293208" w:rsidP="1F034CCD">
      <w:pPr>
        <w:tabs>
          <w:tab w:val="right" w:pos="9216"/>
        </w:tabs>
        <w:spacing w:after="0"/>
        <w:rPr>
          <w:rFonts w:eastAsia="Times New Roman"/>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6747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1F034CCD">
        <w:rPr>
          <w:b/>
          <w:bCs/>
          <w:kern w:val="2"/>
          <w:lang w:eastAsia="zh-CN"/>
        </w:rPr>
        <w:t>3GPP TSG RAN WG2 Meeting #1</w:t>
      </w:r>
      <w:r w:rsidR="003176CF">
        <w:rPr>
          <w:b/>
          <w:bCs/>
          <w:kern w:val="2"/>
          <w:lang w:eastAsia="zh-CN"/>
        </w:rPr>
        <w:t>31-bis</w:t>
      </w:r>
      <w:r w:rsidRPr="0018725C">
        <w:rPr>
          <w:b/>
          <w:kern w:val="2"/>
          <w:lang w:eastAsia="zh-CN"/>
        </w:rPr>
        <w:tab/>
      </w:r>
      <w:r w:rsidR="5F7736ED" w:rsidRPr="00A14D8D">
        <w:rPr>
          <w:rFonts w:eastAsia="Arial"/>
          <w:b/>
          <w:bCs/>
          <w:color w:val="808080" w:themeColor="background1" w:themeShade="80"/>
        </w:rPr>
        <w:t xml:space="preserve"> </w:t>
      </w:r>
      <w:r w:rsidR="5F7736ED" w:rsidRPr="003176CF">
        <w:rPr>
          <w:b/>
          <w:bCs/>
          <w:kern w:val="2"/>
          <w:lang w:eastAsia="zh-CN"/>
        </w:rPr>
        <w:t>R2-2506973</w:t>
      </w:r>
    </w:p>
    <w:p w14:paraId="70258B24" w14:textId="19D30757" w:rsidR="004075F2" w:rsidRPr="00901C4D" w:rsidRDefault="008111AA" w:rsidP="00BA5967">
      <w:pPr>
        <w:tabs>
          <w:tab w:val="right" w:pos="9216"/>
        </w:tabs>
        <w:spacing w:after="0"/>
        <w:rPr>
          <w:b/>
        </w:rPr>
      </w:pPr>
      <w:r>
        <w:rPr>
          <w:b/>
          <w:kern w:val="2"/>
          <w:lang w:eastAsia="zh-CN"/>
        </w:rPr>
        <w:t>Prague</w:t>
      </w:r>
      <w:r w:rsidR="00293208">
        <w:rPr>
          <w:b/>
          <w:kern w:val="2"/>
          <w:lang w:eastAsia="zh-CN"/>
        </w:rPr>
        <w:t>,</w:t>
      </w:r>
      <w:r w:rsidR="00A900C2">
        <w:rPr>
          <w:b/>
          <w:kern w:val="2"/>
          <w:lang w:eastAsia="zh-CN"/>
        </w:rPr>
        <w:t xml:space="preserve"> </w:t>
      </w:r>
      <w:r>
        <w:rPr>
          <w:b/>
          <w:kern w:val="2"/>
          <w:lang w:eastAsia="zh-CN"/>
        </w:rPr>
        <w:t>Czech Republic</w:t>
      </w:r>
      <w:r w:rsidR="00A900C2">
        <w:rPr>
          <w:b/>
          <w:kern w:val="2"/>
          <w:lang w:eastAsia="zh-CN"/>
        </w:rPr>
        <w:t>,</w:t>
      </w:r>
      <w:r w:rsidR="00293208">
        <w:rPr>
          <w:b/>
          <w:kern w:val="2"/>
          <w:lang w:eastAsia="zh-CN"/>
        </w:rPr>
        <w:t xml:space="preserve"> </w:t>
      </w:r>
      <w:r>
        <w:rPr>
          <w:b/>
          <w:kern w:val="2"/>
          <w:lang w:eastAsia="zh-CN"/>
        </w:rPr>
        <w:t>13</w:t>
      </w:r>
      <w:r w:rsidR="002601D9">
        <w:rPr>
          <w:b/>
          <w:kern w:val="2"/>
          <w:lang w:eastAsia="zh-CN"/>
        </w:rPr>
        <w:t>-</w:t>
      </w:r>
      <w:r w:rsidR="003A75B6">
        <w:rPr>
          <w:b/>
          <w:kern w:val="2"/>
          <w:lang w:eastAsia="zh-CN"/>
        </w:rPr>
        <w:t>1</w:t>
      </w:r>
      <w:r>
        <w:rPr>
          <w:b/>
          <w:kern w:val="2"/>
          <w:lang w:eastAsia="zh-CN"/>
        </w:rPr>
        <w:t>7</w:t>
      </w:r>
      <w:r w:rsidR="00DA0358">
        <w:rPr>
          <w:b/>
          <w:kern w:val="2"/>
          <w:lang w:eastAsia="zh-CN"/>
        </w:rPr>
        <w:t xml:space="preserve"> </w:t>
      </w:r>
      <w:r>
        <w:rPr>
          <w:b/>
          <w:kern w:val="2"/>
          <w:lang w:eastAsia="zh-CN"/>
        </w:rPr>
        <w:t>Oct</w:t>
      </w:r>
      <w:r w:rsidR="002601D9">
        <w:rPr>
          <w:b/>
          <w:kern w:val="2"/>
          <w:lang w:eastAsia="zh-CN"/>
        </w:rPr>
        <w:t xml:space="preserve"> </w:t>
      </w:r>
      <w:r w:rsidR="006A4241">
        <w:rPr>
          <w:b/>
          <w:kern w:val="2"/>
          <w:lang w:eastAsia="zh-CN"/>
        </w:rPr>
        <w:t>202</w:t>
      </w:r>
      <w:r w:rsidR="00901C4D">
        <w:rPr>
          <w:b/>
          <w:kern w:val="2"/>
          <w:lang w:eastAsia="zh-CN"/>
        </w:rPr>
        <w:t>5</w:t>
      </w:r>
      <w:r w:rsidR="00CD4DA5">
        <w:rPr>
          <w:b/>
          <w:kern w:val="2"/>
          <w:lang w:eastAsia="zh-CN"/>
        </w:rPr>
        <w:tab/>
      </w:r>
      <w:r w:rsidR="00F3617A">
        <w:rPr>
          <w:b/>
          <w:kern w:val="2"/>
          <w:lang w:eastAsia="zh-CN"/>
        </w:rPr>
        <w:t xml:space="preserve"> </w:t>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4C246F49"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8111AA">
        <w:rPr>
          <w:b/>
          <w:kern w:val="2"/>
          <w:lang w:eastAsia="zh-CN"/>
        </w:rPr>
        <w:t>10.</w:t>
      </w:r>
      <w:r w:rsidR="00FA0098">
        <w:rPr>
          <w:b/>
          <w:kern w:val="2"/>
          <w:lang w:eastAsia="zh-CN"/>
        </w:rPr>
        <w:t>4</w:t>
      </w:r>
      <w:r w:rsidR="00D55FF7" w:rsidRPr="00D55FF7">
        <w:rPr>
          <w:b/>
          <w:kern w:val="2"/>
          <w:lang w:eastAsia="zh-CN"/>
        </w:rPr>
        <w:t xml:space="preserve"> </w:t>
      </w:r>
      <w:r w:rsidR="00FA0098">
        <w:rPr>
          <w:b/>
          <w:kern w:val="2"/>
          <w:lang w:eastAsia="zh-CN"/>
        </w:rPr>
        <w:t>Mobility</w:t>
      </w:r>
    </w:p>
    <w:p w14:paraId="25CD0F41" w14:textId="67E4F608" w:rsidR="00BC1C3C" w:rsidRPr="0018725C" w:rsidRDefault="1DE04BA6" w:rsidP="4C07E193">
      <w:pPr>
        <w:spacing w:after="60"/>
        <w:ind w:left="1555" w:hanging="1555"/>
        <w:jc w:val="left"/>
        <w:rPr>
          <w:b/>
          <w:bCs/>
          <w:kern w:val="2"/>
          <w:lang w:eastAsia="zh-CN"/>
        </w:rPr>
      </w:pPr>
      <w:r w:rsidRPr="4C07E193">
        <w:rPr>
          <w:b/>
          <w:bCs/>
          <w:kern w:val="2"/>
          <w:lang w:eastAsia="zh-CN"/>
        </w:rPr>
        <w:t>Source:</w:t>
      </w:r>
      <w:r w:rsidR="00305FF9" w:rsidRPr="0018725C">
        <w:rPr>
          <w:b/>
          <w:kern w:val="2"/>
          <w:lang w:eastAsia="zh-CN"/>
        </w:rPr>
        <w:tab/>
      </w:r>
      <w:r w:rsidR="0FA329D5" w:rsidRPr="4C07E193">
        <w:rPr>
          <w:b/>
          <w:bCs/>
          <w:kern w:val="2"/>
          <w:lang w:eastAsia="zh-CN"/>
        </w:rPr>
        <w:t>Fraun</w:t>
      </w:r>
      <w:r w:rsidR="79981A2F" w:rsidRPr="4C07E193">
        <w:rPr>
          <w:b/>
          <w:bCs/>
          <w:kern w:val="2"/>
          <w:lang w:eastAsia="zh-CN"/>
        </w:rPr>
        <w:t xml:space="preserve">hofer </w:t>
      </w:r>
      <w:r w:rsidR="7C8CB572" w:rsidRPr="4C07E193">
        <w:rPr>
          <w:b/>
          <w:bCs/>
          <w:kern w:val="2"/>
          <w:lang w:eastAsia="zh-CN"/>
        </w:rPr>
        <w:t>HHI</w:t>
      </w:r>
      <w:r w:rsidR="79981A2F" w:rsidRPr="4C07E193">
        <w:rPr>
          <w:b/>
          <w:bCs/>
          <w:kern w:val="2"/>
          <w:lang w:eastAsia="zh-CN"/>
        </w:rPr>
        <w:t xml:space="preserve">, </w:t>
      </w:r>
      <w:r w:rsidR="2A6CA174" w:rsidRPr="4C07E193">
        <w:rPr>
          <w:b/>
          <w:bCs/>
          <w:kern w:val="2"/>
          <w:lang w:eastAsia="zh-CN"/>
        </w:rPr>
        <w:t>Fraunhofer</w:t>
      </w:r>
      <w:r w:rsidR="1E3ABAF2" w:rsidRPr="4C07E193">
        <w:rPr>
          <w:b/>
          <w:bCs/>
          <w:kern w:val="2"/>
          <w:lang w:eastAsia="zh-CN"/>
        </w:rPr>
        <w:t xml:space="preserve"> IIS</w:t>
      </w:r>
    </w:p>
    <w:p w14:paraId="46CF0548" w14:textId="42A83D30" w:rsidR="0026538C" w:rsidRPr="0018725C" w:rsidRDefault="009C0564" w:rsidP="1F034CCD">
      <w:pPr>
        <w:spacing w:after="60"/>
        <w:ind w:left="1555" w:hanging="1555"/>
        <w:jc w:val="left"/>
        <w:rPr>
          <w:b/>
          <w:bCs/>
          <w:kern w:val="2"/>
          <w:lang w:eastAsia="zh-CN"/>
        </w:rPr>
      </w:pPr>
      <w:r w:rsidRPr="1F034CCD">
        <w:rPr>
          <w:b/>
          <w:bCs/>
          <w:kern w:val="2"/>
          <w:lang w:eastAsia="zh-CN"/>
        </w:rPr>
        <w:t>Title:</w:t>
      </w:r>
      <w:r w:rsidRPr="0018725C">
        <w:rPr>
          <w:b/>
          <w:kern w:val="2"/>
          <w:lang w:eastAsia="zh-CN"/>
        </w:rPr>
        <w:tab/>
      </w:r>
      <w:r w:rsidR="00B77ED5" w:rsidRPr="1F034CCD">
        <w:rPr>
          <w:b/>
          <w:bCs/>
          <w:lang w:eastAsia="zh-CN"/>
        </w:rPr>
        <w:t>On 6G-Mobilty</w:t>
      </w:r>
    </w:p>
    <w:p w14:paraId="0F0A7EBD" w14:textId="23944128"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18417C1" w14:textId="0B83D388" w:rsidR="798CB921" w:rsidRDefault="798CB921" w:rsidP="4C07E193">
      <w:pPr>
        <w:pStyle w:val="Heading1"/>
        <w:contextualSpacing/>
      </w:pPr>
      <w:bookmarkStart w:id="0" w:name="_Ref129681862"/>
      <w:bookmarkStart w:id="1" w:name="_Ref124589705"/>
      <w:r>
        <w:t xml:space="preserve">Introduction </w:t>
      </w:r>
    </w:p>
    <w:p w14:paraId="64A6E062" w14:textId="73A963EF" w:rsidR="1C40341A" w:rsidRDefault="1C40341A" w:rsidP="00A14D8D">
      <w:pPr>
        <w:spacing w:before="240" w:after="240"/>
        <w:rPr>
          <w:rFonts w:eastAsia="Times New Roman"/>
        </w:rPr>
      </w:pPr>
      <w:r w:rsidRPr="4C07E193">
        <w:rPr>
          <w:rFonts w:eastAsia="Times New Roman"/>
        </w:rPr>
        <w:t xml:space="preserve">Mobility is a fundamental capability of cellular systems. In 6G, mobility must evolve to support new services while addressing challenges that remain in 5G. Experience from 5G highlights the need to reduce latency, improve </w:t>
      </w:r>
      <w:proofErr w:type="spellStart"/>
      <w:r w:rsidRPr="4C07E193">
        <w:rPr>
          <w:rFonts w:eastAsia="Times New Roman"/>
        </w:rPr>
        <w:t>signalling</w:t>
      </w:r>
      <w:proofErr w:type="spellEnd"/>
      <w:r w:rsidRPr="4C07E193">
        <w:rPr>
          <w:rFonts w:eastAsia="Times New Roman"/>
        </w:rPr>
        <w:t xml:space="preserve"> efficiency, and ensure robust performance under frequent handovers and diverse deployment scenarios.</w:t>
      </w:r>
    </w:p>
    <w:p w14:paraId="028FE741" w14:textId="7200DA5F" w:rsidR="1C40341A" w:rsidRDefault="1C40341A" w:rsidP="00A14D8D">
      <w:pPr>
        <w:spacing w:before="240" w:after="240"/>
        <w:rPr>
          <w:rFonts w:eastAsia="Times New Roman"/>
        </w:rPr>
      </w:pPr>
      <w:r w:rsidRPr="4C07E193">
        <w:rPr>
          <w:rFonts w:eastAsia="Times New Roman"/>
        </w:rPr>
        <w:t xml:space="preserve">This contribution considers </w:t>
      </w:r>
      <w:r w:rsidR="3A5368A2" w:rsidRPr="4C07E193">
        <w:rPr>
          <w:rFonts w:eastAsia="Times New Roman"/>
        </w:rPr>
        <w:t xml:space="preserve">some </w:t>
      </w:r>
      <w:r w:rsidRPr="4C07E193">
        <w:rPr>
          <w:rFonts w:eastAsia="Times New Roman"/>
        </w:rPr>
        <w:t xml:space="preserve">enhancements for 6G mobility. Specifically, it discusses the maintenance of HARQ processes during handover, the design of a unified </w:t>
      </w:r>
      <w:proofErr w:type="spellStart"/>
      <w:r w:rsidRPr="4C07E193">
        <w:rPr>
          <w:rFonts w:eastAsia="Times New Roman"/>
        </w:rPr>
        <w:t>signalling</w:t>
      </w:r>
      <w:proofErr w:type="spellEnd"/>
      <w:r w:rsidRPr="4C07E193">
        <w:rPr>
          <w:rFonts w:eastAsia="Times New Roman"/>
        </w:rPr>
        <w:t xml:space="preserve"> framework for mobility procedures, and the use of uplink reference signal measurements, such as SRS, as a basis for mobility decisions.</w:t>
      </w:r>
    </w:p>
    <w:p w14:paraId="0570F9B3" w14:textId="6336C017" w:rsidR="051B4673" w:rsidRDefault="051B4673" w:rsidP="4C07E193">
      <w:pPr>
        <w:pStyle w:val="Heading1"/>
        <w:contextualSpacing/>
      </w:pPr>
      <w:r>
        <w:t xml:space="preserve">Enhancement </w:t>
      </w:r>
      <w:proofErr w:type="gramStart"/>
      <w:r>
        <w:t>for</w:t>
      </w:r>
      <w:proofErr w:type="gramEnd"/>
      <w:r>
        <w:t xml:space="preserve"> 6G-Mobility</w:t>
      </w:r>
    </w:p>
    <w:p w14:paraId="037CEBA5" w14:textId="0D389C4F" w:rsidR="693DEB08" w:rsidRPr="00A14D8D" w:rsidRDefault="693DEB08" w:rsidP="00A14D8D">
      <w:pPr>
        <w:pStyle w:val="Heading2"/>
        <w:spacing w:before="299" w:after="299"/>
        <w:rPr>
          <w:rFonts w:eastAsia="Times New Roman"/>
          <w:b w:val="0"/>
          <w:bCs w:val="0"/>
          <w:szCs w:val="24"/>
        </w:rPr>
      </w:pPr>
      <w:r w:rsidRPr="00A14D8D">
        <w:rPr>
          <w:rFonts w:eastAsia="Times New Roman"/>
          <w:szCs w:val="24"/>
        </w:rPr>
        <w:t>HARQ Maintenance</w:t>
      </w:r>
    </w:p>
    <w:p w14:paraId="2125720D" w14:textId="37C294B5" w:rsidR="693DEB08" w:rsidRDefault="693DEB08" w:rsidP="00A14D8D">
      <w:pPr>
        <w:spacing w:before="240" w:after="240"/>
        <w:rPr>
          <w:rFonts w:eastAsia="Times New Roman"/>
        </w:rPr>
      </w:pPr>
      <w:r w:rsidRPr="4C07E193">
        <w:rPr>
          <w:rFonts w:eastAsia="Times New Roman"/>
        </w:rPr>
        <w:t>Hybrid Automatic Repeat Request (HARQ) has been a key mechanism in 5G to ensure reliable data transmission. By running multiple processes in parallel, each with a dedicated process ID, the system can transmit new packets while waiting for ACK/NACK feedback. This parallelism reduces delay and improves robustness, especially in high</w:t>
      </w:r>
      <w:r w:rsidR="754EEEEC" w:rsidRPr="4C07E193">
        <w:rPr>
          <w:rFonts w:eastAsia="Times New Roman"/>
        </w:rPr>
        <w:t xml:space="preserve"> </w:t>
      </w:r>
      <w:r w:rsidRPr="4C07E193">
        <w:rPr>
          <w:rFonts w:eastAsia="Times New Roman"/>
        </w:rPr>
        <w:t>throughput scenarios.</w:t>
      </w:r>
    </w:p>
    <w:p w14:paraId="0BD096F6" w14:textId="7EB23BA0" w:rsidR="693DEB08" w:rsidRDefault="693DEB08" w:rsidP="00A14D8D">
      <w:pPr>
        <w:spacing w:before="240" w:after="240"/>
        <w:rPr>
          <w:rFonts w:eastAsia="Times New Roman"/>
        </w:rPr>
      </w:pPr>
      <w:r w:rsidRPr="4C07E193">
        <w:rPr>
          <w:rFonts w:eastAsia="Times New Roman"/>
        </w:rPr>
        <w:t>In the current design, HARQ entities are reset at handover. The UE flushes all HARQ buffers, ongoing processes are terminated, and the target cell starts new HARQ entities. Packets awaiting retransmission or acknowledgement are lost, resulting in higher latency and lower spectral efficiency. The impact is even more severe at high</w:t>
      </w:r>
      <w:r w:rsidR="3AFA6A3C" w:rsidRPr="4C07E193">
        <w:rPr>
          <w:rFonts w:eastAsia="Times New Roman"/>
        </w:rPr>
        <w:t>er</w:t>
      </w:r>
      <w:r w:rsidRPr="4C07E193">
        <w:rPr>
          <w:rFonts w:eastAsia="Times New Roman"/>
        </w:rPr>
        <w:t xml:space="preserve"> frequencies (e.g., </w:t>
      </w:r>
      <w:proofErr w:type="spellStart"/>
      <w:r w:rsidRPr="4C07E193">
        <w:rPr>
          <w:rFonts w:eastAsia="Times New Roman"/>
        </w:rPr>
        <w:t>mmWave</w:t>
      </w:r>
      <w:proofErr w:type="spellEnd"/>
      <w:r w:rsidRPr="4C07E193">
        <w:rPr>
          <w:rFonts w:eastAsia="Times New Roman"/>
        </w:rPr>
        <w:t>, sub-THz) where link quality fluctuates quickly and handovers occur frequently. In LTM, where latency degradation is the primary concern, restarting HARQ retransmissions from scratch at every event is inefficient and not suitable for 6G.</w:t>
      </w:r>
    </w:p>
    <w:p w14:paraId="0D1EAD4C" w14:textId="121C413E" w:rsidR="693DEB08" w:rsidRDefault="693DEB08" w:rsidP="00A14D8D">
      <w:pPr>
        <w:spacing w:before="240" w:after="240"/>
        <w:rPr>
          <w:rFonts w:eastAsia="Times New Roman"/>
        </w:rPr>
      </w:pPr>
      <w:r w:rsidRPr="4C07E193">
        <w:rPr>
          <w:rFonts w:eastAsia="Times New Roman"/>
        </w:rPr>
        <w:t xml:space="preserve">For example, in a dense urban scenario with </w:t>
      </w:r>
      <w:proofErr w:type="spellStart"/>
      <w:r w:rsidRPr="4C07E193">
        <w:rPr>
          <w:rFonts w:eastAsia="Times New Roman"/>
        </w:rPr>
        <w:t>mmWave</w:t>
      </w:r>
      <w:proofErr w:type="spellEnd"/>
      <w:r w:rsidRPr="4C07E193">
        <w:rPr>
          <w:rFonts w:eastAsia="Times New Roman"/>
        </w:rPr>
        <w:t xml:space="preserve"> coverage, a UE may perform multiple mobility events </w:t>
      </w:r>
      <w:r w:rsidR="0C906713" w:rsidRPr="4C07E193">
        <w:rPr>
          <w:rFonts w:eastAsia="Times New Roman"/>
        </w:rPr>
        <w:t xml:space="preserve">within </w:t>
      </w:r>
      <w:r w:rsidRPr="4C07E193">
        <w:rPr>
          <w:rFonts w:eastAsia="Times New Roman"/>
        </w:rPr>
        <w:t xml:space="preserve">seconds. Resetting HARQ at each handover forces retransmission of partially delivered packets, increasing both latency and </w:t>
      </w:r>
      <w:proofErr w:type="spellStart"/>
      <w:r w:rsidRPr="4C07E193">
        <w:rPr>
          <w:rFonts w:eastAsia="Times New Roman"/>
        </w:rPr>
        <w:t>signalling</w:t>
      </w:r>
      <w:proofErr w:type="spellEnd"/>
      <w:r w:rsidRPr="4C07E193">
        <w:rPr>
          <w:rFonts w:eastAsia="Times New Roman"/>
        </w:rPr>
        <w:t xml:space="preserve"> overhead. Similarly, in high-speed vehicular mobility, frequent handovers would repeatedly discard useful HARQ states, degrading efficiency.</w:t>
      </w:r>
    </w:p>
    <w:p w14:paraId="240D879E" w14:textId="5E97ED09" w:rsidR="693DEB08" w:rsidRDefault="693DEB08" w:rsidP="00A14D8D">
      <w:pPr>
        <w:spacing w:before="240" w:after="240"/>
        <w:rPr>
          <w:rFonts w:eastAsia="Times New Roman"/>
        </w:rPr>
      </w:pPr>
      <w:r w:rsidRPr="4C07E193">
        <w:rPr>
          <w:rFonts w:eastAsia="Times New Roman"/>
          <w:b/>
          <w:bCs/>
        </w:rPr>
        <w:t>Observation 1:</w:t>
      </w:r>
      <w:r w:rsidRPr="4C07E193">
        <w:rPr>
          <w:rFonts w:eastAsia="Times New Roman"/>
        </w:rPr>
        <w:t xml:space="preserve"> Current HARQ design forces the UE to start new processes at each handover, causing redundant retransmissions and higher latency.</w:t>
      </w:r>
    </w:p>
    <w:p w14:paraId="31DC94A2" w14:textId="7AFF8424" w:rsidR="433861C8" w:rsidRDefault="433861C8" w:rsidP="4C07E193">
      <w:pPr>
        <w:spacing w:before="240" w:after="240"/>
        <w:rPr>
          <w:rFonts w:eastAsia="Times New Roman"/>
        </w:rPr>
      </w:pPr>
      <w:r w:rsidRPr="4C07E193">
        <w:rPr>
          <w:rFonts w:eastAsia="Times New Roman"/>
        </w:rPr>
        <w:t xml:space="preserve">We propose that RAN2 study HARQ maintenance in 6G mobility procedures. In this manner, the target </w:t>
      </w:r>
      <w:proofErr w:type="spellStart"/>
      <w:r w:rsidRPr="4C07E193">
        <w:rPr>
          <w:rFonts w:eastAsia="Times New Roman"/>
        </w:rPr>
        <w:t>gNB</w:t>
      </w:r>
      <w:proofErr w:type="spellEnd"/>
      <w:r w:rsidRPr="4C07E193">
        <w:rPr>
          <w:rFonts w:eastAsia="Times New Roman"/>
        </w:rPr>
        <w:t xml:space="preserve"> would be able to resume ongoing retransmissions seamlessly, without forcing the UE to restart from the first transmission attempt. The potential benefits are substantial. Latency can be reduced by avoiding redundant retransmissions, radio resources can be saved, and user experience can be improved in scenarios with frequent handovers.</w:t>
      </w:r>
    </w:p>
    <w:p w14:paraId="64ECE7DD" w14:textId="58D3C3D4" w:rsidR="693DEB08" w:rsidRPr="00A14D8D" w:rsidRDefault="693DEB08" w:rsidP="4C07E193">
      <w:pPr>
        <w:spacing w:before="240" w:after="240"/>
        <w:rPr>
          <w:rFonts w:eastAsia="Times New Roman"/>
          <w:b/>
          <w:bCs/>
        </w:rPr>
      </w:pPr>
      <w:r w:rsidRPr="00A14D8D">
        <w:rPr>
          <w:rFonts w:eastAsia="Times New Roman"/>
          <w:b/>
          <w:bCs/>
        </w:rPr>
        <w:t>Proposal 1: RAN2 study HARQ maintenance across handovers to allow seamless continuation of retransmissions and acknowledgements.</w:t>
      </w:r>
      <w:r w:rsidR="648E481A" w:rsidRPr="00A14D8D">
        <w:rPr>
          <w:rFonts w:eastAsia="Times New Roman"/>
          <w:b/>
          <w:bCs/>
        </w:rPr>
        <w:t xml:space="preserve"> This would reduce latency, save radio resources, and improve user experience in scenarios with frequent mobility.</w:t>
      </w:r>
    </w:p>
    <w:p w14:paraId="3E744809" w14:textId="6FA7E41B" w:rsidR="693DEB08" w:rsidRPr="00A14D8D" w:rsidRDefault="693DEB08" w:rsidP="00A14D8D">
      <w:pPr>
        <w:pStyle w:val="Heading2"/>
        <w:spacing w:before="299" w:after="299"/>
        <w:rPr>
          <w:rFonts w:eastAsia="Times New Roman"/>
          <w:b w:val="0"/>
          <w:bCs w:val="0"/>
          <w:szCs w:val="24"/>
        </w:rPr>
      </w:pPr>
      <w:r w:rsidRPr="00A14D8D">
        <w:rPr>
          <w:rFonts w:eastAsia="Times New Roman"/>
          <w:szCs w:val="24"/>
        </w:rPr>
        <w:lastRenderedPageBreak/>
        <w:t xml:space="preserve">Unified Mobility </w:t>
      </w:r>
      <w:proofErr w:type="spellStart"/>
      <w:r w:rsidRPr="00A14D8D">
        <w:rPr>
          <w:rFonts w:eastAsia="Times New Roman"/>
          <w:szCs w:val="24"/>
        </w:rPr>
        <w:t>Signalling</w:t>
      </w:r>
      <w:proofErr w:type="spellEnd"/>
    </w:p>
    <w:p w14:paraId="1A854C7C" w14:textId="461C0043" w:rsidR="693DEB08" w:rsidRDefault="693DEB08" w:rsidP="00A14D8D">
      <w:pPr>
        <w:spacing w:before="240" w:after="240"/>
        <w:rPr>
          <w:rFonts w:eastAsia="Times New Roman"/>
        </w:rPr>
      </w:pPr>
      <w:r w:rsidRPr="4C07E193">
        <w:rPr>
          <w:rFonts w:eastAsia="Times New Roman"/>
        </w:rPr>
        <w:t xml:space="preserve">Mobility procedures rely heavily on RRC </w:t>
      </w:r>
      <w:proofErr w:type="spellStart"/>
      <w:r w:rsidRPr="4C07E193">
        <w:rPr>
          <w:rFonts w:eastAsia="Times New Roman"/>
        </w:rPr>
        <w:t>signalling</w:t>
      </w:r>
      <w:proofErr w:type="spellEnd"/>
      <w:r w:rsidRPr="4C07E193">
        <w:rPr>
          <w:rFonts w:eastAsia="Times New Roman"/>
        </w:rPr>
        <w:t xml:space="preserve">. In 5G, the UE maintains </w:t>
      </w:r>
      <w:proofErr w:type="gramStart"/>
      <w:r w:rsidRPr="4C07E193">
        <w:rPr>
          <w:rFonts w:eastAsia="Times New Roman"/>
        </w:rPr>
        <w:t>a full</w:t>
      </w:r>
      <w:proofErr w:type="gramEnd"/>
      <w:r w:rsidRPr="4C07E193">
        <w:rPr>
          <w:rFonts w:eastAsia="Times New Roman"/>
        </w:rPr>
        <w:t xml:space="preserve"> configuration, and </w:t>
      </w:r>
      <w:proofErr w:type="spellStart"/>
      <w:r w:rsidRPr="4C07E193">
        <w:rPr>
          <w:rFonts w:eastAsia="Times New Roman"/>
        </w:rPr>
        <w:t>gNBs</w:t>
      </w:r>
      <w:proofErr w:type="spellEnd"/>
      <w:r w:rsidRPr="4C07E193">
        <w:rPr>
          <w:rFonts w:eastAsia="Times New Roman"/>
        </w:rPr>
        <w:t xml:space="preserve"> send </w:t>
      </w:r>
      <w:proofErr w:type="spellStart"/>
      <w:r w:rsidRPr="4C07E193">
        <w:rPr>
          <w:rFonts w:eastAsia="Times New Roman"/>
        </w:rPr>
        <w:t>RRCReconfiguration</w:t>
      </w:r>
      <w:proofErr w:type="spellEnd"/>
      <w:r w:rsidRPr="4C07E193">
        <w:rPr>
          <w:rFonts w:eastAsia="Times New Roman"/>
        </w:rPr>
        <w:t xml:space="preserve"> messages to indicate delta changes. However, in practice, large sets of configuration IEs are often retransmitted even if unchanged. Furthermore, the </w:t>
      </w:r>
      <w:proofErr w:type="spellStart"/>
      <w:r w:rsidRPr="4C07E193">
        <w:rPr>
          <w:rFonts w:eastAsia="Times New Roman"/>
        </w:rPr>
        <w:t>fullConfig</w:t>
      </w:r>
      <w:proofErr w:type="spellEnd"/>
      <w:r w:rsidRPr="4C07E193">
        <w:rPr>
          <w:rFonts w:eastAsia="Times New Roman"/>
        </w:rPr>
        <w:t xml:space="preserve"> IE can force the UE to discard its configuration entirely, introducing unnecessary latency, </w:t>
      </w:r>
      <w:proofErr w:type="spellStart"/>
      <w:r w:rsidRPr="4C07E193">
        <w:rPr>
          <w:rFonts w:eastAsia="Times New Roman"/>
        </w:rPr>
        <w:t>signalling</w:t>
      </w:r>
      <w:proofErr w:type="spellEnd"/>
      <w:r w:rsidRPr="4C07E193">
        <w:rPr>
          <w:rFonts w:eastAsia="Times New Roman"/>
        </w:rPr>
        <w:t xml:space="preserve"> overhead, and power consumption.</w:t>
      </w:r>
    </w:p>
    <w:p w14:paraId="5847B073" w14:textId="08B233C8" w:rsidR="693DEB08" w:rsidRDefault="693DEB08" w:rsidP="00A14D8D">
      <w:pPr>
        <w:spacing w:before="240" w:after="240"/>
        <w:rPr>
          <w:rFonts w:eastAsia="Times New Roman"/>
        </w:rPr>
      </w:pPr>
      <w:r w:rsidRPr="4C07E193">
        <w:rPr>
          <w:rFonts w:eastAsia="Times New Roman"/>
        </w:rPr>
        <w:t xml:space="preserve">These inefficiencies are especially visible in frequent or diverse mobility scenarios. In L3 handover, long configuration lists are often repeated unnecessarily. In LTM, forcing </w:t>
      </w:r>
      <w:proofErr w:type="gramStart"/>
      <w:r w:rsidRPr="4C07E193">
        <w:rPr>
          <w:rFonts w:eastAsia="Times New Roman"/>
        </w:rPr>
        <w:t>a full</w:t>
      </w:r>
      <w:proofErr w:type="gramEnd"/>
      <w:r w:rsidRPr="4C07E193">
        <w:rPr>
          <w:rFonts w:eastAsia="Times New Roman"/>
        </w:rPr>
        <w:t xml:space="preserve"> reconfiguration slows down recovery from radio link failure. In conditional mobility </w:t>
      </w:r>
      <w:r w:rsidR="488E8E67" w:rsidRPr="4C07E193">
        <w:rPr>
          <w:rFonts w:eastAsia="Times New Roman"/>
        </w:rPr>
        <w:t xml:space="preserve">e.g., </w:t>
      </w:r>
      <w:r w:rsidRPr="4C07E193">
        <w:rPr>
          <w:rFonts w:eastAsia="Times New Roman"/>
        </w:rPr>
        <w:t xml:space="preserve">conditional L3 handover or conditional LTM, unchanged IEs are duplicated across multiple target configurations, further increasing </w:t>
      </w:r>
      <w:proofErr w:type="spellStart"/>
      <w:r w:rsidRPr="4C07E193">
        <w:rPr>
          <w:rFonts w:eastAsia="Times New Roman"/>
        </w:rPr>
        <w:t>signalling</w:t>
      </w:r>
      <w:proofErr w:type="spellEnd"/>
      <w:r w:rsidRPr="4C07E193">
        <w:rPr>
          <w:rFonts w:eastAsia="Times New Roman"/>
        </w:rPr>
        <w:t xml:space="preserve"> burden.</w:t>
      </w:r>
    </w:p>
    <w:p w14:paraId="7D470A50" w14:textId="72004C39" w:rsidR="693DEB08" w:rsidRDefault="693DEB08" w:rsidP="00A14D8D">
      <w:pPr>
        <w:spacing w:before="240" w:after="240"/>
        <w:rPr>
          <w:rFonts w:eastAsia="Times New Roman"/>
        </w:rPr>
      </w:pPr>
      <w:r w:rsidRPr="4C07E193">
        <w:rPr>
          <w:rFonts w:eastAsia="Times New Roman"/>
          <w:b/>
          <w:bCs/>
        </w:rPr>
        <w:t>Observation 2:</w:t>
      </w:r>
      <w:r w:rsidRPr="4C07E193">
        <w:rPr>
          <w:rFonts w:eastAsia="Times New Roman"/>
        </w:rPr>
        <w:t xml:space="preserve"> Current RRC </w:t>
      </w:r>
      <w:proofErr w:type="spellStart"/>
      <w:r w:rsidRPr="4C07E193">
        <w:rPr>
          <w:rFonts w:eastAsia="Times New Roman"/>
        </w:rPr>
        <w:t>signalling</w:t>
      </w:r>
      <w:proofErr w:type="spellEnd"/>
      <w:r w:rsidRPr="4C07E193">
        <w:rPr>
          <w:rFonts w:eastAsia="Times New Roman"/>
        </w:rPr>
        <w:t xml:space="preserve"> repeats unchanged configuration elements and may trigger full reconfigurations, increasing latency, </w:t>
      </w:r>
      <w:proofErr w:type="spellStart"/>
      <w:r w:rsidRPr="4C07E193">
        <w:rPr>
          <w:rFonts w:eastAsia="Times New Roman"/>
        </w:rPr>
        <w:t>signalling</w:t>
      </w:r>
      <w:proofErr w:type="spellEnd"/>
      <w:r w:rsidRPr="4C07E193">
        <w:rPr>
          <w:rFonts w:eastAsia="Times New Roman"/>
        </w:rPr>
        <w:t xml:space="preserve"> load, and power usage.</w:t>
      </w:r>
    </w:p>
    <w:p w14:paraId="681A1191" w14:textId="31DD2242" w:rsidR="693DEB08" w:rsidRDefault="693DEB08" w:rsidP="00A14D8D">
      <w:pPr>
        <w:spacing w:before="240" w:after="240"/>
        <w:rPr>
          <w:rFonts w:eastAsia="Times New Roman"/>
        </w:rPr>
      </w:pPr>
      <w:r w:rsidRPr="4C07E193">
        <w:rPr>
          <w:rFonts w:eastAsia="Times New Roman"/>
        </w:rPr>
        <w:t xml:space="preserve">To address this, a unified </w:t>
      </w:r>
      <w:proofErr w:type="spellStart"/>
      <w:r w:rsidRPr="4C07E193">
        <w:rPr>
          <w:rFonts w:eastAsia="Times New Roman"/>
        </w:rPr>
        <w:t>signalling</w:t>
      </w:r>
      <w:proofErr w:type="spellEnd"/>
      <w:r w:rsidRPr="4C07E193">
        <w:rPr>
          <w:rFonts w:eastAsia="Times New Roman"/>
        </w:rPr>
        <w:t xml:space="preserve"> design for target cell preparation and configuration is needed.</w:t>
      </w:r>
      <w:r w:rsidR="7620EE2F" w:rsidRPr="4C07E193">
        <w:rPr>
          <w:rFonts w:eastAsia="Times New Roman"/>
        </w:rPr>
        <w:t xml:space="preserve"> </w:t>
      </w:r>
      <w:r w:rsidRPr="4C07E193">
        <w:rPr>
          <w:rFonts w:eastAsia="Times New Roman"/>
        </w:rPr>
        <w:t xml:space="preserve">The benefits are clear: smaller RRC message sizes, faster mobility execution, and reduced UE processing and power consumption. </w:t>
      </w:r>
    </w:p>
    <w:p w14:paraId="17E27857" w14:textId="536DFE86" w:rsidR="693DEB08" w:rsidRPr="00A14D8D" w:rsidRDefault="693DEB08" w:rsidP="00A14D8D">
      <w:pPr>
        <w:spacing w:before="240" w:after="240"/>
        <w:rPr>
          <w:rFonts w:eastAsia="Times New Roman"/>
          <w:b/>
          <w:bCs/>
        </w:rPr>
      </w:pPr>
      <w:r w:rsidRPr="00A14D8D">
        <w:rPr>
          <w:rFonts w:eastAsia="Times New Roman"/>
          <w:b/>
          <w:bCs/>
        </w:rPr>
        <w:t xml:space="preserve">Proposal 2: RAN2 is to ensure </w:t>
      </w:r>
      <w:proofErr w:type="spellStart"/>
      <w:r w:rsidRPr="00A14D8D">
        <w:rPr>
          <w:rFonts w:eastAsia="Times New Roman"/>
          <w:b/>
          <w:bCs/>
        </w:rPr>
        <w:t>signalling</w:t>
      </w:r>
      <w:proofErr w:type="spellEnd"/>
      <w:r w:rsidRPr="00A14D8D">
        <w:rPr>
          <w:rFonts w:eastAsia="Times New Roman"/>
          <w:b/>
          <w:bCs/>
        </w:rPr>
        <w:t xml:space="preserve"> efficiency for target cell preparation and configuration in different handover scenarios.</w:t>
      </w:r>
    </w:p>
    <w:p w14:paraId="24CA4A5C" w14:textId="4C4DAA8C" w:rsidR="693DEB08" w:rsidRPr="00A14D8D" w:rsidRDefault="693DEB08" w:rsidP="00A14D8D">
      <w:pPr>
        <w:spacing w:before="240" w:after="240"/>
        <w:rPr>
          <w:rFonts w:eastAsia="Times New Roman"/>
          <w:b/>
          <w:bCs/>
        </w:rPr>
      </w:pPr>
      <w:r w:rsidRPr="00A14D8D">
        <w:rPr>
          <w:rFonts w:eastAsia="Times New Roman"/>
          <w:b/>
          <w:bCs/>
        </w:rPr>
        <w:t xml:space="preserve">Proposal 3: RAN2 is to design a unified </w:t>
      </w:r>
      <w:proofErr w:type="spellStart"/>
      <w:r w:rsidRPr="00A14D8D">
        <w:rPr>
          <w:rFonts w:eastAsia="Times New Roman"/>
          <w:b/>
          <w:bCs/>
        </w:rPr>
        <w:t>signalling</w:t>
      </w:r>
      <w:proofErr w:type="spellEnd"/>
      <w:r w:rsidRPr="00A14D8D">
        <w:rPr>
          <w:rFonts w:eastAsia="Times New Roman"/>
          <w:b/>
          <w:bCs/>
        </w:rPr>
        <w:t xml:space="preserve"> framework that supports flexible and incremental configuration updates across mobility events.</w:t>
      </w:r>
    </w:p>
    <w:p w14:paraId="5BBE6367" w14:textId="367C9266" w:rsidR="00A14D8D" w:rsidRPr="00A14D8D" w:rsidRDefault="00A14D8D" w:rsidP="00A14D8D">
      <w:pPr>
        <w:pStyle w:val="Heading2"/>
        <w:spacing w:before="299" w:after="299"/>
        <w:rPr>
          <w:rFonts w:eastAsia="Times New Roman"/>
          <w:szCs w:val="24"/>
        </w:rPr>
      </w:pPr>
      <w:r w:rsidRPr="00A14D8D">
        <w:rPr>
          <w:rFonts w:eastAsia="Times New Roman"/>
          <w:szCs w:val="24"/>
        </w:rPr>
        <w:t xml:space="preserve">Use of </w:t>
      </w:r>
      <w:r w:rsidR="09663D26" w:rsidRPr="00A14D8D">
        <w:rPr>
          <w:rFonts w:eastAsia="Times New Roman"/>
          <w:szCs w:val="24"/>
        </w:rPr>
        <w:t>SRS</w:t>
      </w:r>
      <w:r w:rsidRPr="00A14D8D">
        <w:rPr>
          <w:rFonts w:eastAsia="Times New Roman"/>
          <w:szCs w:val="24"/>
        </w:rPr>
        <w:t>-Measurements for UE Mobility:</w:t>
      </w:r>
    </w:p>
    <w:p w14:paraId="07D6DD53" w14:textId="506F5FE3" w:rsidR="008A08DF" w:rsidRDefault="008A08DF" w:rsidP="00BB071B">
      <w:r>
        <w:t xml:space="preserve">UE Mobility in 3GPP is primarily based on utilizing measurements performed on downlink reference signals. Use of uplink reference signals, such as SRS, where configured, could be to determine the measurement in the uplink could benefit from reduced need to perform measurement and reporting. </w:t>
      </w:r>
    </w:p>
    <w:p w14:paraId="5B29266B" w14:textId="3B19689B" w:rsidR="008A08DF" w:rsidRDefault="000471C0" w:rsidP="00BB071B">
      <w:r>
        <w:t>For UE positioning, t</w:t>
      </w:r>
      <w:r w:rsidR="008A08DF">
        <w:t xml:space="preserve">he </w:t>
      </w:r>
      <w:proofErr w:type="spellStart"/>
      <w:r w:rsidR="008A08DF">
        <w:t>neighbouring</w:t>
      </w:r>
      <w:proofErr w:type="spellEnd"/>
      <w:r w:rsidR="008A08DF">
        <w:t xml:space="preserve"> cells can be configured to perform </w:t>
      </w:r>
      <w:proofErr w:type="gramStart"/>
      <w:r w:rsidR="008A08DF">
        <w:t>measurement</w:t>
      </w:r>
      <w:proofErr w:type="gramEnd"/>
      <w:r w:rsidR="008A08DF">
        <w:t xml:space="preserve"> on </w:t>
      </w:r>
      <w:proofErr w:type="gramStart"/>
      <w:r w:rsidR="008A08DF">
        <w:t>sounding</w:t>
      </w:r>
      <w:proofErr w:type="gramEnd"/>
      <w:r w:rsidR="008A08DF">
        <w:t xml:space="preserve"> reference signals that are configured by the serving cell for a given UE. This is already done for uplink positioning (UL-TDOA). For mobility, the </w:t>
      </w:r>
      <w:proofErr w:type="spellStart"/>
      <w:r w:rsidR="008A08DF">
        <w:t>neighbouring</w:t>
      </w:r>
      <w:proofErr w:type="spellEnd"/>
      <w:r w:rsidR="008A08DF">
        <w:t xml:space="preserve"> cells can perform </w:t>
      </w:r>
      <w:proofErr w:type="gramStart"/>
      <w:r w:rsidR="008A08DF">
        <w:t>measurement</w:t>
      </w:r>
      <w:proofErr w:type="gramEnd"/>
      <w:r w:rsidR="008A08DF">
        <w:t xml:space="preserve"> on SRS transmitted by the cell and report the measurement to the serving cell, so that the serving cell can initiate handover</w:t>
      </w:r>
      <w:r>
        <w:t xml:space="preserve"> or send handover configuration to the UE</w:t>
      </w:r>
      <w:r w:rsidR="008A08DF">
        <w:t xml:space="preserve"> when needed. </w:t>
      </w:r>
    </w:p>
    <w:p w14:paraId="73A0AEC1" w14:textId="0D1C3762" w:rsidR="000471C0" w:rsidRPr="00A14D8D" w:rsidRDefault="467E63F5" w:rsidP="4C07E193">
      <w:pPr>
        <w:autoSpaceDE/>
        <w:autoSpaceDN/>
        <w:adjustRightInd/>
        <w:snapToGrid/>
        <w:spacing w:before="100" w:beforeAutospacing="1" w:after="100" w:afterAutospacing="1"/>
        <w:jc w:val="left"/>
        <w:rPr>
          <w:rFonts w:eastAsia="Times New Roman"/>
          <w:b/>
          <w:bCs/>
          <w:lang w:val="en-GB" w:eastAsia="de-DE"/>
        </w:rPr>
      </w:pPr>
      <w:r w:rsidRPr="00A14D8D">
        <w:rPr>
          <w:rFonts w:eastAsia="Times New Roman"/>
          <w:b/>
          <w:bCs/>
          <w:lang w:val="en-GB" w:eastAsia="de-DE"/>
        </w:rPr>
        <w:t xml:space="preserve">Observation </w:t>
      </w:r>
      <w:r w:rsidR="6D13980D" w:rsidRPr="00A14D8D">
        <w:rPr>
          <w:rFonts w:eastAsia="Times New Roman"/>
          <w:b/>
          <w:bCs/>
          <w:lang w:val="en-GB" w:eastAsia="de-DE"/>
        </w:rPr>
        <w:t>3</w:t>
      </w:r>
      <w:r w:rsidRPr="00A14D8D">
        <w:rPr>
          <w:rFonts w:eastAsia="Times New Roman"/>
          <w:b/>
          <w:bCs/>
          <w:lang w:val="en-GB" w:eastAsia="de-DE"/>
        </w:rPr>
        <w:t xml:space="preserve">:  </w:t>
      </w:r>
      <w:r w:rsidRPr="00A14D8D">
        <w:rPr>
          <w:rFonts w:eastAsia="Times New Roman"/>
          <w:lang w:val="en-GB" w:eastAsia="de-DE"/>
        </w:rPr>
        <w:t>In addition to UE reported measurements and events, the network shall also utilise existing reference signals like the SRS to perform measurement at different RAN nodes, to determine measurements and events.</w:t>
      </w:r>
    </w:p>
    <w:p w14:paraId="64024659" w14:textId="2BE4890B" w:rsidR="008A08DF" w:rsidRDefault="000471C0" w:rsidP="00BB071B">
      <w:pPr>
        <w:rPr>
          <w:lang w:val="en-GB"/>
        </w:rPr>
      </w:pPr>
      <w:r w:rsidRPr="1F034CCD">
        <w:rPr>
          <w:lang w:val="en-GB"/>
        </w:rPr>
        <w:t>It is observed that for co-located case, AI/ML models could be utilised to perform inter-frequency domain prediction. By analogy, if the SRS from UE is received at a neighbouring cell, and the neighbouring cell performs measurement, then it could also apply analogously an AI/ML model to predict measurement in a</w:t>
      </w:r>
      <w:r w:rsidR="7621C527" w:rsidRPr="1F034CCD">
        <w:rPr>
          <w:lang w:val="en-GB"/>
        </w:rPr>
        <w:t>n</w:t>
      </w:r>
      <w:r w:rsidRPr="1F034CCD">
        <w:rPr>
          <w:lang w:val="en-GB"/>
        </w:rPr>
        <w:t xml:space="preserve"> inter-frequency cell, where the SRS is received. Hence, utilising as SRS measurement at a neighbouring cell could enable </w:t>
      </w:r>
      <w:r w:rsidR="6CBBFE28" w:rsidRPr="1F034CCD">
        <w:rPr>
          <w:lang w:val="en-GB"/>
        </w:rPr>
        <w:t>an</w:t>
      </w:r>
      <w:r w:rsidRPr="1F034CCD">
        <w:rPr>
          <w:lang w:val="en-GB"/>
        </w:rPr>
        <w:t xml:space="preserve"> inter-frequency prediction at a target cell that is not collocated with the special cell.  </w:t>
      </w:r>
    </w:p>
    <w:p w14:paraId="21D98538" w14:textId="796A45E2" w:rsidR="000471C0" w:rsidRPr="003411E6" w:rsidRDefault="467E63F5" w:rsidP="4C07E193">
      <w:pPr>
        <w:autoSpaceDE/>
        <w:autoSpaceDN/>
        <w:adjustRightInd/>
        <w:snapToGrid/>
        <w:spacing w:before="100" w:beforeAutospacing="1" w:after="100" w:afterAutospacing="1"/>
        <w:jc w:val="left"/>
        <w:rPr>
          <w:rFonts w:eastAsia="Times New Roman"/>
          <w:b/>
          <w:bCs/>
          <w:lang w:val="en-GB" w:eastAsia="de-DE"/>
        </w:rPr>
      </w:pPr>
      <w:r w:rsidRPr="00A14D8D">
        <w:rPr>
          <w:rFonts w:eastAsia="Times New Roman"/>
          <w:b/>
          <w:bCs/>
          <w:lang w:val="en-GB" w:eastAsia="de-DE"/>
        </w:rPr>
        <w:t xml:space="preserve">Observation </w:t>
      </w:r>
      <w:r w:rsidR="352D077B" w:rsidRPr="00A14D8D">
        <w:rPr>
          <w:rFonts w:eastAsia="Times New Roman"/>
          <w:b/>
          <w:bCs/>
          <w:lang w:val="en-GB" w:eastAsia="de-DE"/>
        </w:rPr>
        <w:t>4</w:t>
      </w:r>
      <w:r w:rsidRPr="00A14D8D">
        <w:rPr>
          <w:rFonts w:eastAsia="Times New Roman"/>
          <w:b/>
          <w:bCs/>
          <w:lang w:val="en-GB" w:eastAsia="de-DE"/>
        </w:rPr>
        <w:t xml:space="preserve">:  </w:t>
      </w:r>
      <w:r w:rsidRPr="00A14D8D">
        <w:rPr>
          <w:rFonts w:eastAsia="Times New Roman"/>
          <w:lang w:val="en-GB" w:eastAsia="de-DE"/>
        </w:rPr>
        <w:t>Inter-frequency measurement for co-located cells may be predicted using measurements of uplink reference signals like SRS.</w:t>
      </w:r>
    </w:p>
    <w:p w14:paraId="77E86594" w14:textId="20282FEE" w:rsidR="4C07E193" w:rsidRPr="00A14D8D" w:rsidRDefault="4C07E193" w:rsidP="4C07E193">
      <w:pPr>
        <w:spacing w:beforeAutospacing="1" w:afterAutospacing="1"/>
        <w:jc w:val="left"/>
        <w:rPr>
          <w:rFonts w:eastAsia="Times New Roman"/>
          <w:lang w:val="en-GB" w:eastAsia="de-DE"/>
        </w:rPr>
      </w:pPr>
    </w:p>
    <w:p w14:paraId="0D8352CD" w14:textId="637CB852" w:rsidR="008A08DF" w:rsidRDefault="467E63F5" w:rsidP="00BB071B">
      <w:r w:rsidRPr="4C07E193">
        <w:rPr>
          <w:lang w:val="en-GB"/>
        </w:rPr>
        <w:lastRenderedPageBreak/>
        <w:t>Training such AI model on the network side needs training data and validation. To enable the network to t</w:t>
      </w:r>
      <w:r w:rsidR="4947B51C" w:rsidRPr="4C07E193">
        <w:rPr>
          <w:lang w:val="en-GB"/>
        </w:rPr>
        <w:t>r</w:t>
      </w:r>
      <w:r w:rsidRPr="4C07E193">
        <w:rPr>
          <w:lang w:val="en-GB"/>
        </w:rPr>
        <w:t xml:space="preserve">ain and perform monitoring, the UE shall indicate which of the measurements are conducted measurement and which of the measurement are predicted measurement. </w:t>
      </w:r>
    </w:p>
    <w:p w14:paraId="275975A7" w14:textId="583123CE" w:rsidR="008A08DF" w:rsidRDefault="000471C0" w:rsidP="00BB071B">
      <w:r>
        <w:t xml:space="preserve">Hence, we propose that RAN2 studies the use of uplink reference </w:t>
      </w:r>
      <w:proofErr w:type="gramStart"/>
      <w:r>
        <w:t>signal</w:t>
      </w:r>
      <w:proofErr w:type="gramEnd"/>
      <w:r>
        <w:t xml:space="preserve"> to determine the measurement and events</w:t>
      </w:r>
      <w:r w:rsidR="001736BB">
        <w:t xml:space="preserve">. </w:t>
      </w:r>
    </w:p>
    <w:p w14:paraId="18EF5B18" w14:textId="77777777" w:rsidR="001736BB" w:rsidRDefault="001736BB" w:rsidP="00BB071B"/>
    <w:p w14:paraId="0A0962FA" w14:textId="7D07D59A" w:rsidR="001736BB" w:rsidRPr="00A14D8D" w:rsidRDefault="759CFB55" w:rsidP="00BB071B">
      <w:pPr>
        <w:rPr>
          <w:b/>
          <w:bCs/>
        </w:rPr>
      </w:pPr>
      <w:r w:rsidRPr="00A14D8D">
        <w:rPr>
          <w:b/>
          <w:bCs/>
        </w:rPr>
        <w:t xml:space="preserve">Proposal </w:t>
      </w:r>
      <w:r w:rsidR="76192E86" w:rsidRPr="00A14D8D">
        <w:rPr>
          <w:b/>
          <w:bCs/>
        </w:rPr>
        <w:t>4</w:t>
      </w:r>
      <w:r w:rsidRPr="00A14D8D">
        <w:rPr>
          <w:b/>
          <w:bCs/>
        </w:rPr>
        <w:t xml:space="preserve">: RAN2 studies the use of uplink reference </w:t>
      </w:r>
      <w:proofErr w:type="gramStart"/>
      <w:r w:rsidRPr="00A14D8D">
        <w:rPr>
          <w:b/>
          <w:bCs/>
        </w:rPr>
        <w:t>signal</w:t>
      </w:r>
      <w:proofErr w:type="gramEnd"/>
      <w:r w:rsidRPr="00A14D8D">
        <w:rPr>
          <w:b/>
          <w:bCs/>
        </w:rPr>
        <w:t xml:space="preserve"> (like SRS) to determine or predict uplink measurement for UE mobility in addition to current measurement and reporting framework based on downlink reference signals. </w:t>
      </w:r>
    </w:p>
    <w:p w14:paraId="58E02109" w14:textId="3E281EF2" w:rsidR="00A14D8D" w:rsidRDefault="00A14D8D">
      <w:pPr>
        <w:autoSpaceDE/>
        <w:autoSpaceDN/>
        <w:adjustRightInd/>
        <w:snapToGrid/>
        <w:spacing w:after="0"/>
        <w:jc w:val="left"/>
      </w:pPr>
      <w:r>
        <w:br w:type="page"/>
      </w:r>
    </w:p>
    <w:p w14:paraId="6F80F8DB" w14:textId="1094E5C7" w:rsidR="00BB071B" w:rsidRDefault="00BB071B" w:rsidP="00BB071B">
      <w:pPr>
        <w:pStyle w:val="Heading1"/>
      </w:pPr>
      <w:r>
        <w:lastRenderedPageBreak/>
        <w:t xml:space="preserve">Conclusions </w:t>
      </w:r>
    </w:p>
    <w:p w14:paraId="051C47BB" w14:textId="309A615E" w:rsidR="001736BB" w:rsidRPr="00BB071B" w:rsidRDefault="5405CC8A" w:rsidP="4C07E193">
      <w:pPr>
        <w:spacing w:after="0"/>
      </w:pPr>
      <w:r>
        <w:t>In this contribution, we discussed various aspects related to enhancements for 6G mobility. Based on the discussions, we have made the following observations and proposals:</w:t>
      </w:r>
    </w:p>
    <w:p w14:paraId="1B68A115" w14:textId="6C58D0CD" w:rsidR="001736BB" w:rsidRPr="00BB071B" w:rsidRDefault="001736BB" w:rsidP="001736BB"/>
    <w:p w14:paraId="1B8EAF63" w14:textId="5E97ED09" w:rsidR="001736BB" w:rsidRPr="00BB071B" w:rsidRDefault="5405CC8A" w:rsidP="4C07E193">
      <w:pPr>
        <w:spacing w:before="240" w:after="240"/>
        <w:rPr>
          <w:rFonts w:eastAsia="Times New Roman"/>
        </w:rPr>
      </w:pPr>
      <w:r w:rsidRPr="4C07E193">
        <w:rPr>
          <w:rFonts w:eastAsia="Times New Roman"/>
          <w:b/>
          <w:bCs/>
        </w:rPr>
        <w:t>Observation 1:</w:t>
      </w:r>
      <w:r w:rsidRPr="4C07E193">
        <w:rPr>
          <w:rFonts w:eastAsia="Times New Roman"/>
        </w:rPr>
        <w:t xml:space="preserve"> Current HARQ design forces the UE to start new processes at each handover, causing redundant retransmissions and higher latency.</w:t>
      </w:r>
    </w:p>
    <w:p w14:paraId="4D6DB418" w14:textId="72004C39" w:rsidR="001736BB" w:rsidRPr="00BB071B" w:rsidRDefault="5405CC8A" w:rsidP="4C07E193">
      <w:pPr>
        <w:spacing w:before="240" w:after="240"/>
        <w:rPr>
          <w:rFonts w:eastAsia="Times New Roman"/>
        </w:rPr>
      </w:pPr>
      <w:r w:rsidRPr="4C07E193">
        <w:rPr>
          <w:rFonts w:eastAsia="Times New Roman"/>
          <w:b/>
          <w:bCs/>
        </w:rPr>
        <w:t>Observation 2:</w:t>
      </w:r>
      <w:r w:rsidRPr="4C07E193">
        <w:rPr>
          <w:rFonts w:eastAsia="Times New Roman"/>
        </w:rPr>
        <w:t xml:space="preserve"> Current RRC </w:t>
      </w:r>
      <w:proofErr w:type="spellStart"/>
      <w:r w:rsidRPr="4C07E193">
        <w:rPr>
          <w:rFonts w:eastAsia="Times New Roman"/>
        </w:rPr>
        <w:t>signalling</w:t>
      </w:r>
      <w:proofErr w:type="spellEnd"/>
      <w:r w:rsidRPr="4C07E193">
        <w:rPr>
          <w:rFonts w:eastAsia="Times New Roman"/>
        </w:rPr>
        <w:t xml:space="preserve"> repeats unchanged configuration elements and may trigger full reconfigurations, increasing latency, </w:t>
      </w:r>
      <w:proofErr w:type="spellStart"/>
      <w:r w:rsidRPr="4C07E193">
        <w:rPr>
          <w:rFonts w:eastAsia="Times New Roman"/>
        </w:rPr>
        <w:t>signalling</w:t>
      </w:r>
      <w:proofErr w:type="spellEnd"/>
      <w:r w:rsidRPr="4C07E193">
        <w:rPr>
          <w:rFonts w:eastAsia="Times New Roman"/>
        </w:rPr>
        <w:t xml:space="preserve"> load, and power usage.</w:t>
      </w:r>
    </w:p>
    <w:p w14:paraId="5D882513" w14:textId="77777777" w:rsidR="00A14D8D" w:rsidRDefault="5405CC8A" w:rsidP="4C07E193">
      <w:pPr>
        <w:spacing w:before="240" w:after="240"/>
        <w:rPr>
          <w:rFonts w:eastAsia="Times New Roman"/>
          <w:sz w:val="24"/>
          <w:szCs w:val="24"/>
          <w:lang w:val="en-GB" w:eastAsia="de-DE"/>
        </w:rPr>
      </w:pPr>
      <w:r w:rsidRPr="4C07E193">
        <w:rPr>
          <w:rFonts w:eastAsia="Times New Roman"/>
          <w:b/>
          <w:bCs/>
          <w:sz w:val="24"/>
          <w:szCs w:val="24"/>
          <w:lang w:val="en-GB" w:eastAsia="de-DE"/>
        </w:rPr>
        <w:t xml:space="preserve">Observation 3:  </w:t>
      </w:r>
      <w:r w:rsidRPr="00A14D8D">
        <w:rPr>
          <w:rFonts w:eastAsia="Times New Roman"/>
          <w:sz w:val="24"/>
          <w:szCs w:val="24"/>
          <w:lang w:val="en-GB" w:eastAsia="de-DE"/>
        </w:rPr>
        <w:t>In addition to UE reported measurements and events, the network shall also utilise existing reference signals like the SRS to perform measurement at different RAN nodes, to determine measurements and events.</w:t>
      </w:r>
    </w:p>
    <w:p w14:paraId="1F2B20E4" w14:textId="7CD9D8CC" w:rsidR="001736BB" w:rsidRPr="00BB071B" w:rsidRDefault="373A0A8C" w:rsidP="4C07E193">
      <w:pPr>
        <w:spacing w:before="240" w:after="240"/>
        <w:rPr>
          <w:rFonts w:eastAsia="Times New Roman"/>
        </w:rPr>
      </w:pPr>
      <w:r w:rsidRPr="4C07E193">
        <w:rPr>
          <w:rFonts w:eastAsia="Times New Roman"/>
          <w:b/>
          <w:bCs/>
        </w:rPr>
        <w:t>Proposal 1:</w:t>
      </w:r>
      <w:r w:rsidRPr="4C07E193">
        <w:rPr>
          <w:rFonts w:eastAsia="Times New Roman"/>
        </w:rPr>
        <w:t xml:space="preserve"> RAN2 study HARQ maintenance across handovers to allow seamless continuation of retransmissions and acknowledgements. This would reduce latency, save radio resources, and improve user experience in scenarios with frequent mobility.</w:t>
      </w:r>
    </w:p>
    <w:p w14:paraId="36A1A48E" w14:textId="536DFE86" w:rsidR="001736BB" w:rsidRPr="00BB071B" w:rsidRDefault="373A0A8C" w:rsidP="4C07E193">
      <w:pPr>
        <w:spacing w:before="240" w:after="240"/>
        <w:rPr>
          <w:rFonts w:eastAsia="Times New Roman"/>
        </w:rPr>
      </w:pPr>
      <w:r w:rsidRPr="4C07E193">
        <w:rPr>
          <w:rFonts w:eastAsia="Times New Roman"/>
          <w:b/>
          <w:bCs/>
        </w:rPr>
        <w:t>Proposal 2:</w:t>
      </w:r>
      <w:r w:rsidRPr="4C07E193">
        <w:rPr>
          <w:rFonts w:eastAsia="Times New Roman"/>
        </w:rPr>
        <w:t xml:space="preserve"> RAN2 is to ensure </w:t>
      </w:r>
      <w:proofErr w:type="spellStart"/>
      <w:r w:rsidRPr="4C07E193">
        <w:rPr>
          <w:rFonts w:eastAsia="Times New Roman"/>
        </w:rPr>
        <w:t>signalling</w:t>
      </w:r>
      <w:proofErr w:type="spellEnd"/>
      <w:r w:rsidRPr="4C07E193">
        <w:rPr>
          <w:rFonts w:eastAsia="Times New Roman"/>
        </w:rPr>
        <w:t xml:space="preserve"> efficiency for target cell preparation and configuration in different handover scenarios.</w:t>
      </w:r>
    </w:p>
    <w:p w14:paraId="2978B676" w14:textId="04F4272E" w:rsidR="001736BB" w:rsidRPr="00BB071B" w:rsidRDefault="373A0A8C" w:rsidP="4C07E193">
      <w:pPr>
        <w:spacing w:before="240" w:after="240"/>
        <w:rPr>
          <w:rFonts w:eastAsia="Times New Roman"/>
        </w:rPr>
      </w:pPr>
      <w:r w:rsidRPr="4C07E193">
        <w:rPr>
          <w:rFonts w:eastAsia="Times New Roman"/>
          <w:b/>
          <w:bCs/>
        </w:rPr>
        <w:t>Proposal 3:</w:t>
      </w:r>
      <w:r w:rsidRPr="4C07E193">
        <w:rPr>
          <w:rFonts w:eastAsia="Times New Roman"/>
        </w:rPr>
        <w:t xml:space="preserve"> RAN2 is to design a unified </w:t>
      </w:r>
      <w:proofErr w:type="spellStart"/>
      <w:r w:rsidRPr="4C07E193">
        <w:rPr>
          <w:rFonts w:eastAsia="Times New Roman"/>
        </w:rPr>
        <w:t>signalling</w:t>
      </w:r>
      <w:proofErr w:type="spellEnd"/>
      <w:r w:rsidRPr="4C07E193">
        <w:rPr>
          <w:rFonts w:eastAsia="Times New Roman"/>
        </w:rPr>
        <w:t xml:space="preserve"> framework that supports flexible and incremental configuration updates across mobility events.</w:t>
      </w:r>
    </w:p>
    <w:p w14:paraId="0D5BC4CC" w14:textId="74574271" w:rsidR="000471C0" w:rsidRPr="003411E6" w:rsidRDefault="759CFB55" w:rsidP="4C07E193">
      <w:pPr>
        <w:autoSpaceDE/>
        <w:autoSpaceDN/>
        <w:adjustRightInd/>
        <w:snapToGrid/>
        <w:spacing w:before="100" w:beforeAutospacing="1" w:after="100" w:afterAutospacing="1"/>
        <w:jc w:val="left"/>
        <w:rPr>
          <w:rFonts w:eastAsia="Times New Roman"/>
          <w:sz w:val="24"/>
          <w:szCs w:val="24"/>
          <w:lang w:val="en-GB" w:eastAsia="de-DE"/>
        </w:rPr>
      </w:pPr>
      <w:r w:rsidRPr="4C07E193">
        <w:rPr>
          <w:b/>
          <w:bCs/>
        </w:rPr>
        <w:t xml:space="preserve">Proposal </w:t>
      </w:r>
      <w:r w:rsidR="6EE45EA8" w:rsidRPr="4C07E193">
        <w:rPr>
          <w:b/>
          <w:bCs/>
        </w:rPr>
        <w:t>4</w:t>
      </w:r>
      <w:r w:rsidRPr="4C07E193">
        <w:rPr>
          <w:b/>
          <w:bCs/>
        </w:rPr>
        <w:t xml:space="preserve">: </w:t>
      </w:r>
      <w:r w:rsidRPr="00A14D8D">
        <w:t xml:space="preserve">RAN2 studies the use of uplink reference </w:t>
      </w:r>
      <w:proofErr w:type="gramStart"/>
      <w:r w:rsidRPr="00A14D8D">
        <w:t>signal</w:t>
      </w:r>
      <w:proofErr w:type="gramEnd"/>
      <w:r w:rsidRPr="00A14D8D">
        <w:t xml:space="preserve"> (like SRS) to determine or predict uplink measurement for UE mobility in addition to current measurement and reporting framework based on downlink reference signals.</w:t>
      </w:r>
    </w:p>
    <w:p w14:paraId="0D04BDCC" w14:textId="100ADF29" w:rsidR="4C07E193" w:rsidRDefault="4C07E193" w:rsidP="4C07E193">
      <w:pPr>
        <w:spacing w:beforeAutospacing="1" w:afterAutospacing="1"/>
        <w:jc w:val="left"/>
      </w:pPr>
    </w:p>
    <w:sdt>
      <w:sdtPr>
        <w:rPr>
          <w:b w:val="0"/>
          <w:bCs w:val="0"/>
          <w:sz w:val="22"/>
          <w:szCs w:val="22"/>
        </w:rPr>
        <w:id w:val="1977180401"/>
        <w:docPartObj>
          <w:docPartGallery w:val="Bibliographies"/>
          <w:docPartUnique/>
        </w:docPartObj>
      </w:sdtPr>
      <w:sdtContent>
        <w:p w14:paraId="5EB615C0" w14:textId="2E829BC8" w:rsidR="00AE4F00" w:rsidRPr="0018725C" w:rsidRDefault="0099290A">
          <w:pPr>
            <w:pStyle w:val="Heading1"/>
          </w:pPr>
          <w:r>
            <w:t>References</w:t>
          </w:r>
        </w:p>
        <w:sdt>
          <w:sdtPr>
            <w:id w:val="111145805"/>
            <w:bibliography/>
          </w:sdtPr>
          <w:sdtContent>
            <w:p w14:paraId="7FB4D413" w14:textId="77777777" w:rsidR="00945C02"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945C02" w14:paraId="28E9AF1E" w14:textId="77777777">
                <w:trPr>
                  <w:divId w:val="1031683659"/>
                  <w:tblCellSpacing w:w="15" w:type="dxa"/>
                </w:trPr>
                <w:tc>
                  <w:tcPr>
                    <w:tcW w:w="50" w:type="pct"/>
                    <w:hideMark/>
                  </w:tcPr>
                  <w:p w14:paraId="52CCBEDA" w14:textId="3C96C949" w:rsidR="00945C02" w:rsidRDefault="00945C02">
                    <w:pPr>
                      <w:pStyle w:val="Bibliography"/>
                      <w:rPr>
                        <w:noProof/>
                        <w:sz w:val="24"/>
                        <w:szCs w:val="24"/>
                      </w:rPr>
                    </w:pPr>
                    <w:r>
                      <w:rPr>
                        <w:noProof/>
                      </w:rPr>
                      <w:t xml:space="preserve">[1] </w:t>
                    </w:r>
                  </w:p>
                </w:tc>
                <w:tc>
                  <w:tcPr>
                    <w:tcW w:w="0" w:type="auto"/>
                    <w:hideMark/>
                  </w:tcPr>
                  <w:p w14:paraId="13C2880A" w14:textId="77777777" w:rsidR="00945C02" w:rsidRDefault="00945C02">
                    <w:pPr>
                      <w:pStyle w:val="Bibliography"/>
                      <w:rPr>
                        <w:noProof/>
                      </w:rPr>
                    </w:pPr>
                    <w:r>
                      <w:rPr>
                        <w:noProof/>
                      </w:rPr>
                      <w:t>TS 22.870, "Study on 6G Use Cases and Service Requirements," 3GPP, 2025-06.</w:t>
                    </w:r>
                  </w:p>
                </w:tc>
              </w:tr>
            </w:tbl>
            <w:p w14:paraId="27EFD051" w14:textId="77777777" w:rsidR="00945C02" w:rsidRDefault="00945C02">
              <w:pPr>
                <w:divId w:val="1031683659"/>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F5403" w14:textId="77777777" w:rsidR="00151A74" w:rsidRDefault="00151A74">
      <w:r>
        <w:separator/>
      </w:r>
    </w:p>
  </w:endnote>
  <w:endnote w:type="continuationSeparator" w:id="0">
    <w:p w14:paraId="5323B50E" w14:textId="77777777" w:rsidR="00151A74" w:rsidRDefault="00151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514B6" w14:textId="77777777" w:rsidR="00151A74" w:rsidRDefault="00151A74">
      <w:r>
        <w:separator/>
      </w:r>
    </w:p>
  </w:footnote>
  <w:footnote w:type="continuationSeparator" w:id="0">
    <w:p w14:paraId="32EBE943" w14:textId="77777777" w:rsidR="00151A74" w:rsidRDefault="00151A74">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hW40Hexr">
      <int2:state int2:value="Rejected" int2:type="spell"/>
    </int2:textHash>
    <int2:textHash int2:hashCode="GlglLCVv1rD6Ky" int2:id="UThjg7N1">
      <int2:state int2:value="Rejected" int2:type="spell"/>
    </int2:textHash>
    <int2:textHash int2:hashCode="S03H53fvUJUzN0" int2:id="HtK0D9LT">
      <int2:state int2:value="Rejected" int2:type="spell"/>
    </int2:textHash>
    <int2:textHash int2:hashCode="gNEMd2B4SIgBWQ" int2:id="ULgwOQnq">
      <int2:state int2:value="Rejected" int2:type="spell"/>
    </int2:textHash>
    <int2:textHash int2:hashCode="HlNpNJkVJGqVZH" int2:id="p8v9mUf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22541B"/>
    <w:multiLevelType w:val="hybridMultilevel"/>
    <w:tmpl w:val="05FC023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013DAB"/>
    <w:multiLevelType w:val="hybridMultilevel"/>
    <w:tmpl w:val="7B68AAB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71F60C9"/>
    <w:multiLevelType w:val="hybridMultilevel"/>
    <w:tmpl w:val="CD3C07A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5834415"/>
    <w:multiLevelType w:val="hybridMultilevel"/>
    <w:tmpl w:val="F1C4A28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4"/>
  </w:num>
  <w:num w:numId="2" w16cid:durableId="1557743661">
    <w:abstractNumId w:val="22"/>
  </w:num>
  <w:num w:numId="3" w16cid:durableId="1991011322">
    <w:abstractNumId w:val="32"/>
  </w:num>
  <w:num w:numId="4" w16cid:durableId="2022320257">
    <w:abstractNumId w:val="37"/>
  </w:num>
  <w:num w:numId="5" w16cid:durableId="1112826399">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5"/>
  </w:num>
  <w:num w:numId="9" w16cid:durableId="304043400">
    <w:abstractNumId w:val="15"/>
  </w:num>
  <w:num w:numId="10" w16cid:durableId="40132362">
    <w:abstractNumId w:val="12"/>
  </w:num>
  <w:num w:numId="11" w16cid:durableId="944574470">
    <w:abstractNumId w:val="1"/>
  </w:num>
  <w:num w:numId="12" w16cid:durableId="641152013">
    <w:abstractNumId w:val="21"/>
  </w:num>
  <w:num w:numId="13" w16cid:durableId="1288506101">
    <w:abstractNumId w:val="6"/>
  </w:num>
  <w:num w:numId="14" w16cid:durableId="1021593492">
    <w:abstractNumId w:val="27"/>
  </w:num>
  <w:num w:numId="15" w16cid:durableId="603879756">
    <w:abstractNumId w:val="5"/>
  </w:num>
  <w:num w:numId="16" w16cid:durableId="1792431086">
    <w:abstractNumId w:val="19"/>
  </w:num>
  <w:num w:numId="17" w16cid:durableId="2037660344">
    <w:abstractNumId w:val="1"/>
  </w:num>
  <w:num w:numId="18" w16cid:durableId="374356986">
    <w:abstractNumId w:val="2"/>
  </w:num>
  <w:num w:numId="19" w16cid:durableId="1781996242">
    <w:abstractNumId w:val="20"/>
  </w:num>
  <w:num w:numId="20" w16cid:durableId="187380102">
    <w:abstractNumId w:val="11"/>
  </w:num>
  <w:num w:numId="21" w16cid:durableId="1991639059">
    <w:abstractNumId w:val="16"/>
  </w:num>
  <w:num w:numId="22" w16cid:durableId="1345127394">
    <w:abstractNumId w:val="33"/>
  </w:num>
  <w:num w:numId="23" w16cid:durableId="1259944385">
    <w:abstractNumId w:val="30"/>
  </w:num>
  <w:num w:numId="24" w16cid:durableId="2130317301">
    <w:abstractNumId w:val="7"/>
  </w:num>
  <w:num w:numId="25" w16cid:durableId="1155876435">
    <w:abstractNumId w:val="29"/>
  </w:num>
  <w:num w:numId="26" w16cid:durableId="1200898033">
    <w:abstractNumId w:val="38"/>
  </w:num>
  <w:num w:numId="27" w16cid:durableId="342560003">
    <w:abstractNumId w:val="31"/>
  </w:num>
  <w:num w:numId="28" w16cid:durableId="605230091">
    <w:abstractNumId w:val="14"/>
  </w:num>
  <w:num w:numId="29" w16cid:durableId="294335081">
    <w:abstractNumId w:val="8"/>
  </w:num>
  <w:num w:numId="30" w16cid:durableId="692807482">
    <w:abstractNumId w:val="40"/>
  </w:num>
  <w:num w:numId="31" w16cid:durableId="1336961845">
    <w:abstractNumId w:val="41"/>
  </w:num>
  <w:num w:numId="32" w16cid:durableId="614872478">
    <w:abstractNumId w:val="35"/>
  </w:num>
  <w:num w:numId="33" w16cid:durableId="422380298">
    <w:abstractNumId w:val="44"/>
  </w:num>
  <w:num w:numId="34" w16cid:durableId="215892988">
    <w:abstractNumId w:val="18"/>
  </w:num>
  <w:num w:numId="35" w16cid:durableId="488325337">
    <w:abstractNumId w:val="17"/>
  </w:num>
  <w:num w:numId="36" w16cid:durableId="96409793">
    <w:abstractNumId w:val="26"/>
  </w:num>
  <w:num w:numId="37" w16cid:durableId="1852337310">
    <w:abstractNumId w:val="43"/>
  </w:num>
  <w:num w:numId="38" w16cid:durableId="862599440">
    <w:abstractNumId w:val="36"/>
  </w:num>
  <w:num w:numId="39" w16cid:durableId="1279292488">
    <w:abstractNumId w:val="39"/>
  </w:num>
  <w:num w:numId="40" w16cid:durableId="1847016292">
    <w:abstractNumId w:val="3"/>
  </w:num>
  <w:num w:numId="41" w16cid:durableId="518157178">
    <w:abstractNumId w:val="42"/>
  </w:num>
  <w:num w:numId="42" w16cid:durableId="1936548185">
    <w:abstractNumId w:val="9"/>
  </w:num>
  <w:num w:numId="43" w16cid:durableId="699093535">
    <w:abstractNumId w:val="13"/>
  </w:num>
  <w:num w:numId="44" w16cid:durableId="917203563">
    <w:abstractNumId w:val="23"/>
  </w:num>
  <w:num w:numId="45" w16cid:durableId="808471853">
    <w:abstractNumId w:val="10"/>
  </w:num>
  <w:num w:numId="46" w16cid:durableId="822308227">
    <w:abstractNumId w:val="34"/>
  </w:num>
  <w:num w:numId="47" w16cid:durableId="107573886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1C0"/>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308"/>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74"/>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65A"/>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36BB"/>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17442"/>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10CF"/>
    <w:rsid w:val="00301BBE"/>
    <w:rsid w:val="00301C3D"/>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6CF"/>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11E6"/>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CDA"/>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BE9"/>
    <w:rsid w:val="00393D5D"/>
    <w:rsid w:val="003940CE"/>
    <w:rsid w:val="00396BD9"/>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66B"/>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3B"/>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47F93"/>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439A"/>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1E9C"/>
    <w:rsid w:val="00722121"/>
    <w:rsid w:val="007224B9"/>
    <w:rsid w:val="00722F94"/>
    <w:rsid w:val="00723AA7"/>
    <w:rsid w:val="0072432E"/>
    <w:rsid w:val="00726036"/>
    <w:rsid w:val="00726279"/>
    <w:rsid w:val="00726A9B"/>
    <w:rsid w:val="00726C32"/>
    <w:rsid w:val="00727037"/>
    <w:rsid w:val="00727530"/>
    <w:rsid w:val="007279A8"/>
    <w:rsid w:val="00730686"/>
    <w:rsid w:val="00730C3D"/>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1AA"/>
    <w:rsid w:val="00811210"/>
    <w:rsid w:val="008115DB"/>
    <w:rsid w:val="00811835"/>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8D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17D"/>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5C02"/>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4D8D"/>
    <w:rsid w:val="00A1566A"/>
    <w:rsid w:val="00A165BF"/>
    <w:rsid w:val="00A172E8"/>
    <w:rsid w:val="00A179FF"/>
    <w:rsid w:val="00A205CE"/>
    <w:rsid w:val="00A209D2"/>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0C2"/>
    <w:rsid w:val="00A90E72"/>
    <w:rsid w:val="00A912C8"/>
    <w:rsid w:val="00A91BA0"/>
    <w:rsid w:val="00A91EAD"/>
    <w:rsid w:val="00A922A2"/>
    <w:rsid w:val="00A9327B"/>
    <w:rsid w:val="00A93B69"/>
    <w:rsid w:val="00A9543D"/>
    <w:rsid w:val="00A96146"/>
    <w:rsid w:val="00A963C7"/>
    <w:rsid w:val="00A97DC6"/>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8A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0E70"/>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692"/>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FE7"/>
    <w:rsid w:val="00B754D0"/>
    <w:rsid w:val="00B7604C"/>
    <w:rsid w:val="00B7652C"/>
    <w:rsid w:val="00B766BF"/>
    <w:rsid w:val="00B76930"/>
    <w:rsid w:val="00B76FA6"/>
    <w:rsid w:val="00B77132"/>
    <w:rsid w:val="00B77ED5"/>
    <w:rsid w:val="00B806F4"/>
    <w:rsid w:val="00B80910"/>
    <w:rsid w:val="00B81363"/>
    <w:rsid w:val="00B818F4"/>
    <w:rsid w:val="00B81BC9"/>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071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70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3A39"/>
    <w:rsid w:val="00DE3CB6"/>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0A5"/>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189"/>
    <w:rsid w:val="00F33D4F"/>
    <w:rsid w:val="00F34036"/>
    <w:rsid w:val="00F34B07"/>
    <w:rsid w:val="00F34CD6"/>
    <w:rsid w:val="00F35873"/>
    <w:rsid w:val="00F35920"/>
    <w:rsid w:val="00F3617A"/>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0E7"/>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098"/>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2CFAD07"/>
    <w:rsid w:val="0411818F"/>
    <w:rsid w:val="04234EF8"/>
    <w:rsid w:val="04F717AF"/>
    <w:rsid w:val="05124C23"/>
    <w:rsid w:val="051B4673"/>
    <w:rsid w:val="056EF02C"/>
    <w:rsid w:val="0673FA09"/>
    <w:rsid w:val="083A444B"/>
    <w:rsid w:val="09663D26"/>
    <w:rsid w:val="0A9D0A8C"/>
    <w:rsid w:val="0B771813"/>
    <w:rsid w:val="0BE945CE"/>
    <w:rsid w:val="0C906713"/>
    <w:rsid w:val="0D72D0A7"/>
    <w:rsid w:val="0EF95AB6"/>
    <w:rsid w:val="0FA329D5"/>
    <w:rsid w:val="103155DB"/>
    <w:rsid w:val="116374E9"/>
    <w:rsid w:val="1165D53B"/>
    <w:rsid w:val="12509D48"/>
    <w:rsid w:val="1250A62A"/>
    <w:rsid w:val="12ED94A5"/>
    <w:rsid w:val="132F6065"/>
    <w:rsid w:val="1359FA93"/>
    <w:rsid w:val="144E4233"/>
    <w:rsid w:val="153E0BD4"/>
    <w:rsid w:val="1674CC1F"/>
    <w:rsid w:val="189D7725"/>
    <w:rsid w:val="18D2A8AA"/>
    <w:rsid w:val="1964FD37"/>
    <w:rsid w:val="1B336263"/>
    <w:rsid w:val="1C40341A"/>
    <w:rsid w:val="1D303320"/>
    <w:rsid w:val="1D96F09D"/>
    <w:rsid w:val="1DB0537F"/>
    <w:rsid w:val="1DE04BA6"/>
    <w:rsid w:val="1DF79BCC"/>
    <w:rsid w:val="1E3ABAF2"/>
    <w:rsid w:val="1F034CCD"/>
    <w:rsid w:val="1F1962B1"/>
    <w:rsid w:val="1F402F53"/>
    <w:rsid w:val="21956B2B"/>
    <w:rsid w:val="230F7E02"/>
    <w:rsid w:val="24BFC83E"/>
    <w:rsid w:val="256EDA85"/>
    <w:rsid w:val="262CC041"/>
    <w:rsid w:val="27D2C141"/>
    <w:rsid w:val="2A6CA174"/>
    <w:rsid w:val="2BAE3518"/>
    <w:rsid w:val="2CB8E678"/>
    <w:rsid w:val="2D23E823"/>
    <w:rsid w:val="2DB035BF"/>
    <w:rsid w:val="2E2C52AB"/>
    <w:rsid w:val="2E7B1FFB"/>
    <w:rsid w:val="2E9504C4"/>
    <w:rsid w:val="2F0A9184"/>
    <w:rsid w:val="302ACEBD"/>
    <w:rsid w:val="31508AD7"/>
    <w:rsid w:val="33533BE2"/>
    <w:rsid w:val="34C55A50"/>
    <w:rsid w:val="352D077B"/>
    <w:rsid w:val="35E0B5B8"/>
    <w:rsid w:val="373A0A8C"/>
    <w:rsid w:val="379758CC"/>
    <w:rsid w:val="38817568"/>
    <w:rsid w:val="39D96BB8"/>
    <w:rsid w:val="39F71D4A"/>
    <w:rsid w:val="3A44589B"/>
    <w:rsid w:val="3A5368A2"/>
    <w:rsid w:val="3AFA6A3C"/>
    <w:rsid w:val="3B1318AD"/>
    <w:rsid w:val="3B76BECE"/>
    <w:rsid w:val="3B7B12A7"/>
    <w:rsid w:val="3C78C2EF"/>
    <w:rsid w:val="3C7EEA6B"/>
    <w:rsid w:val="3DD8BD44"/>
    <w:rsid w:val="3E2E136C"/>
    <w:rsid w:val="3F078C77"/>
    <w:rsid w:val="3F3C2255"/>
    <w:rsid w:val="3FA4B326"/>
    <w:rsid w:val="3FFE5D5A"/>
    <w:rsid w:val="40ADA500"/>
    <w:rsid w:val="410DF732"/>
    <w:rsid w:val="4240AB17"/>
    <w:rsid w:val="42D62D65"/>
    <w:rsid w:val="433861C8"/>
    <w:rsid w:val="43E85F6F"/>
    <w:rsid w:val="456D50F2"/>
    <w:rsid w:val="467E63F5"/>
    <w:rsid w:val="47657439"/>
    <w:rsid w:val="488E8E67"/>
    <w:rsid w:val="48E6B00C"/>
    <w:rsid w:val="490EF38F"/>
    <w:rsid w:val="4947B51C"/>
    <w:rsid w:val="497FB642"/>
    <w:rsid w:val="49A37F88"/>
    <w:rsid w:val="4C07E193"/>
    <w:rsid w:val="4C2F5282"/>
    <w:rsid w:val="4D247BF4"/>
    <w:rsid w:val="4D929AC8"/>
    <w:rsid w:val="4DE3351B"/>
    <w:rsid w:val="4ED62BEA"/>
    <w:rsid w:val="4F79265F"/>
    <w:rsid w:val="4FB09669"/>
    <w:rsid w:val="4FF4CF42"/>
    <w:rsid w:val="51B89F02"/>
    <w:rsid w:val="52CB5A2F"/>
    <w:rsid w:val="52D6AA51"/>
    <w:rsid w:val="52DCF0E4"/>
    <w:rsid w:val="5302BC49"/>
    <w:rsid w:val="53636DA2"/>
    <w:rsid w:val="53C4B83B"/>
    <w:rsid w:val="5405CC8A"/>
    <w:rsid w:val="542CF66E"/>
    <w:rsid w:val="55075E7A"/>
    <w:rsid w:val="551A128D"/>
    <w:rsid w:val="5576992F"/>
    <w:rsid w:val="566FFF31"/>
    <w:rsid w:val="56730607"/>
    <w:rsid w:val="5704774C"/>
    <w:rsid w:val="576763E1"/>
    <w:rsid w:val="5779A753"/>
    <w:rsid w:val="58FA4764"/>
    <w:rsid w:val="5A0DC17D"/>
    <w:rsid w:val="5B532A62"/>
    <w:rsid w:val="5B72970B"/>
    <w:rsid w:val="5CA4A8C0"/>
    <w:rsid w:val="5DB6FCFD"/>
    <w:rsid w:val="5E85D8C1"/>
    <w:rsid w:val="5E99D332"/>
    <w:rsid w:val="5F7736ED"/>
    <w:rsid w:val="60F52A67"/>
    <w:rsid w:val="620D7C7A"/>
    <w:rsid w:val="648E481A"/>
    <w:rsid w:val="658A86EA"/>
    <w:rsid w:val="65D60A6D"/>
    <w:rsid w:val="65DD95C6"/>
    <w:rsid w:val="66113AF4"/>
    <w:rsid w:val="6757BAB8"/>
    <w:rsid w:val="693DEB08"/>
    <w:rsid w:val="69EB1770"/>
    <w:rsid w:val="69F43153"/>
    <w:rsid w:val="6B4A6967"/>
    <w:rsid w:val="6BB237AB"/>
    <w:rsid w:val="6C85CCF4"/>
    <w:rsid w:val="6CBBFE28"/>
    <w:rsid w:val="6CCF4600"/>
    <w:rsid w:val="6D13980D"/>
    <w:rsid w:val="6E4F5962"/>
    <w:rsid w:val="6EE45EA8"/>
    <w:rsid w:val="70AF9EEC"/>
    <w:rsid w:val="71CD689F"/>
    <w:rsid w:val="71F3CC0A"/>
    <w:rsid w:val="73A55C07"/>
    <w:rsid w:val="73DC8830"/>
    <w:rsid w:val="73E4700B"/>
    <w:rsid w:val="73F5DCB9"/>
    <w:rsid w:val="740CBC0F"/>
    <w:rsid w:val="7466F626"/>
    <w:rsid w:val="753FD308"/>
    <w:rsid w:val="754EEEEC"/>
    <w:rsid w:val="759CFB55"/>
    <w:rsid w:val="76192E86"/>
    <w:rsid w:val="7620EE2F"/>
    <w:rsid w:val="7621C527"/>
    <w:rsid w:val="78FFB95D"/>
    <w:rsid w:val="798CB921"/>
    <w:rsid w:val="79981A2F"/>
    <w:rsid w:val="7BD9FA06"/>
    <w:rsid w:val="7C8CB572"/>
    <w:rsid w:val="7E02EA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uiPriority w:val="22"/>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character" w:customStyle="1" w:styleId="B1Char">
    <w:name w:val="B1 Char"/>
    <w:qFormat/>
    <w:rsid w:val="008A08DF"/>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06779148">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1683659">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a15266051adf8e1a6706c4fb72f4f0c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24b0bb4b7ff10306afb5d5dda196e49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{E52E540E-24E3-4AD4-8B9E-2F6FA1BC25B9}</b:Guid>
    <b:Title>Study on 6G Use Cases and Service Requirements</b:Title>
    <b:Year>2025-06</b:Year>
    <b:Author>
      <b:Author>
        <b:Corporate>TS 22.870</b:Corporate>
      </b:Author>
    </b:Author>
    <b:Publisher>3GPP</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BD3BF1-8C1C-4CF9-A16A-E0D1CCCEF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4CC3D8-30E3-4216-A284-9F60BD733244}">
  <ds:schemaRefs>
    <ds:schemaRef ds:uri="http://schemas.microsoft.com/sharepoint/v3/contenttype/forms"/>
  </ds:schemaRefs>
</ds:datastoreItem>
</file>

<file path=customXml/itemProps3.xml><?xml version="1.0" encoding="utf-8"?>
<ds:datastoreItem xmlns:ds="http://schemas.openxmlformats.org/officeDocument/2006/customXml" ds:itemID="{9BFBB1EA-3A16-47D5-81C3-2713CB7DFA23}">
  <ds:schemaRefs>
    <ds:schemaRef ds:uri="http://schemas.openxmlformats.org/officeDocument/2006/bibliography"/>
  </ds:schemaRefs>
</ds:datastoreItem>
</file>

<file path=customXml/itemProps4.xml><?xml version="1.0" encoding="utf-8"?>
<ds:datastoreItem xmlns:ds="http://schemas.openxmlformats.org/officeDocument/2006/customXml" ds:itemID="{390B24E0-D52F-4642-91F4-C4D5D29259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1168</Words>
  <Characters>7360</Characters>
  <Application>Microsoft Office Word</Application>
  <DocSecurity>0</DocSecurity>
  <Lines>61</Lines>
  <Paragraphs>17</Paragraphs>
  <ScaleCrop>false</ScaleCrop>
  <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5</cp:revision>
  <dcterms:created xsi:type="dcterms:W3CDTF">2025-10-02T20:28:00Z</dcterms:created>
  <dcterms:modified xsi:type="dcterms:W3CDTF">2025-10-02T20:41:00Z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