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BA6B2">
      <w:pPr>
        <w:pStyle w:val="60"/>
        <w:tabs>
          <w:tab w:val="left" w:pos="567"/>
        </w:tabs>
        <w:rPr>
          <w:rFonts w:hint="default" w:ascii="Arial" w:hAnsi="Arial" w:cs="Arial"/>
          <w:b/>
          <w:sz w:val="24"/>
          <w:szCs w:val="24"/>
          <w:lang w:val="en-US" w:eastAsia="zh-CN"/>
        </w:rPr>
      </w:pPr>
      <w:bookmarkStart w:id="0" w:name="OLE_LINK4"/>
      <w:r>
        <w:rPr>
          <w:rFonts w:hint="eastAsia" w:ascii="Arial" w:hAnsi="Arial" w:cs="Arial"/>
          <w:b/>
          <w:sz w:val="24"/>
          <w:szCs w:val="24"/>
          <w:lang w:eastAsia="zh-CN"/>
        </w:rPr>
        <w:t>3GPP TSG-RAN Meeting #110</w:t>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 xml:space="preserve">    </w:t>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 xml:space="preserve">   </w:t>
      </w:r>
      <w:bookmarkStart w:id="5" w:name="_GoBack"/>
      <w:r>
        <w:rPr>
          <w:rFonts w:hint="eastAsia" w:ascii="Arial" w:hAnsi="Arial" w:cs="Arial"/>
          <w:b/>
          <w:sz w:val="24"/>
          <w:szCs w:val="24"/>
          <w:lang w:eastAsia="zh-CN"/>
        </w:rPr>
        <w:t>RP-253</w:t>
      </w:r>
      <w:r>
        <w:rPr>
          <w:rFonts w:hint="eastAsia" w:ascii="Arial" w:hAnsi="Arial" w:cs="Arial"/>
          <w:b/>
          <w:sz w:val="24"/>
          <w:szCs w:val="24"/>
          <w:lang w:val="en-US" w:eastAsia="zh-CN"/>
        </w:rPr>
        <w:t>749</w:t>
      </w:r>
      <w:bookmarkEnd w:id="5"/>
    </w:p>
    <w:p w14:paraId="45236553">
      <w:pPr>
        <w:pStyle w:val="60"/>
        <w:tabs>
          <w:tab w:val="left" w:pos="567"/>
        </w:tabs>
        <w:rPr>
          <w:rFonts w:ascii="Arial" w:hAnsi="Arial" w:cs="Arial"/>
          <w:b/>
          <w:sz w:val="24"/>
          <w:szCs w:val="24"/>
          <w:lang w:eastAsia="zh-CN"/>
        </w:rPr>
      </w:pPr>
      <w:r>
        <w:rPr>
          <w:rFonts w:hint="eastAsia" w:ascii="Arial" w:hAnsi="Arial" w:cs="Arial"/>
          <w:b/>
          <w:sz w:val="24"/>
          <w:szCs w:val="24"/>
          <w:lang w:eastAsia="zh-CN"/>
        </w:rPr>
        <w:t>Baltimore, USA, December 8-11, 2025</w:t>
      </w:r>
    </w:p>
    <w:p w14:paraId="1EBEE31A">
      <w:pPr>
        <w:pStyle w:val="60"/>
        <w:tabs>
          <w:tab w:val="left" w:pos="567"/>
        </w:tabs>
        <w:rPr>
          <w:rFonts w:ascii="Arial" w:hAnsi="Arial" w:cs="Arial" w:eastAsiaTheme="minorEastAsia"/>
          <w:b/>
          <w:sz w:val="24"/>
          <w:szCs w:val="24"/>
          <w:lang w:eastAsia="zh-CN"/>
        </w:rPr>
      </w:pPr>
    </w:p>
    <w:bookmarkEnd w:id="0"/>
    <w:p w14:paraId="789396E5">
      <w:pPr>
        <w:pStyle w:val="3"/>
        <w:jc w:val="center"/>
        <w:rPr>
          <w:u w:val="single"/>
        </w:rPr>
      </w:pPr>
      <w:r>
        <w:rPr>
          <w:u w:val="single"/>
        </w:rPr>
        <w:t>Status Report to TSG</w:t>
      </w:r>
    </w:p>
    <w:p w14:paraId="5110D949">
      <w:pPr>
        <w:tabs>
          <w:tab w:val="left" w:pos="567"/>
        </w:tabs>
        <w:rPr>
          <w:rFonts w:ascii="Arial" w:hAnsi="Arial" w:cs="Arial" w:eastAsiaTheme="minorEastAsia"/>
          <w:color w:val="000000" w:themeColor="text1"/>
          <w:lang w:eastAsia="zh-CN"/>
          <w14:textFill>
            <w14:solidFill>
              <w14:schemeClr w14:val="tx1"/>
            </w14:solidFill>
          </w14:textFill>
        </w:rPr>
      </w:pPr>
      <w:r>
        <w:rPr>
          <w:rFonts w:ascii="Arial" w:hAnsi="Arial" w:cs="Arial"/>
          <w:b/>
        </w:rPr>
        <w:t>Agenda item:</w:t>
      </w:r>
      <w:r>
        <w:rPr>
          <w:rFonts w:hint="eastAsia" w:ascii="Arial" w:hAnsi="Arial" w:cs="Arial" w:eastAsiaTheme="minorEastAsia"/>
          <w:color w:val="000000" w:themeColor="text1"/>
          <w:lang w:eastAsia="zh-CN"/>
          <w14:textFill>
            <w14:solidFill>
              <w14:schemeClr w14:val="tx1"/>
            </w14:solidFill>
          </w14:textFill>
        </w:rPr>
        <w:t xml:space="preserve"> 16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6C965F">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WI / SI Name</w:t>
            </w:r>
          </w:p>
        </w:tc>
        <w:tc>
          <w:tcPr>
            <w:tcW w:w="7650" w:type="dxa"/>
            <w:gridSpan w:val="5"/>
          </w:tcPr>
          <w:p w14:paraId="76D16D9C">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Study on 6G Scenarios and requirements</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7DAA025">
            <w:pPr>
              <w:tabs>
                <w:tab w:val="left" w:pos="567"/>
              </w:tabs>
              <w:spacing w:after="0"/>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included in this status report</w:t>
            </w:r>
          </w:p>
        </w:tc>
        <w:tc>
          <w:tcPr>
            <w:tcW w:w="1846" w:type="dxa"/>
          </w:tcPr>
          <w:p w14:paraId="393E586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14:paraId="27D21A4C">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Yes</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14:paraId="4F4E6C8C">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hint="eastAsia" w:ascii="Arial" w:hAnsi="Arial" w:cs="Arial" w:eastAsiaTheme="minorEastAsia"/>
                <w:color w:val="000000" w:themeColor="text1"/>
                <w:lang w:eastAsia="zh-CN"/>
                <w14:textFill>
                  <w14:solidFill>
                    <w14:schemeClr w14:val="tx1"/>
                  </w14:solidFill>
                </w14:textFill>
              </w:rPr>
              <w:t>No</w:t>
            </w:r>
          </w:p>
        </w:tc>
        <w:tc>
          <w:tcPr>
            <w:tcW w:w="2309" w:type="dxa"/>
            <w:gridSpan w:val="2"/>
          </w:tcPr>
          <w:p w14:paraId="0EA72874">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14:paraId="3012EFC2">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Acronym</w:t>
            </w:r>
          </w:p>
        </w:tc>
        <w:tc>
          <w:tcPr>
            <w:tcW w:w="7650" w:type="dxa"/>
            <w:gridSpan w:val="5"/>
          </w:tcPr>
          <w:p w14:paraId="11660AB1">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FS_6G_RAN_Scen_Req</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Unique ID</w:t>
            </w:r>
          </w:p>
        </w:tc>
        <w:tc>
          <w:tcPr>
            <w:tcW w:w="7650" w:type="dxa"/>
            <w:gridSpan w:val="5"/>
          </w:tcPr>
          <w:p w14:paraId="07B8F6C9">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1060079</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TSG Tdoc of latest approved WI/SI description (if any)</w:t>
            </w:r>
          </w:p>
        </w:tc>
        <w:tc>
          <w:tcPr>
            <w:tcW w:w="7650" w:type="dxa"/>
            <w:gridSpan w:val="5"/>
          </w:tcPr>
          <w:p w14:paraId="02C02CD6">
            <w:pPr>
              <w:spacing w:after="0"/>
              <w:rPr>
                <w:rFonts w:ascii="Arial" w:hAnsi="Arial" w:cs="Arial" w:eastAsiaTheme="minorEastAsia"/>
                <w:color w:val="000000" w:themeColor="text1"/>
                <w:lang w:eastAsia="zh-CN"/>
                <w14:textFill>
                  <w14:solidFill>
                    <w14:schemeClr w14:val="tx1"/>
                  </w14:solidFill>
                </w14:textFill>
              </w:rPr>
            </w:pPr>
            <w:r>
              <w:rPr>
                <w:rFonts w:ascii="Arial" w:hAnsi="Arial" w:cs="Arial" w:eastAsiaTheme="minorEastAsia"/>
                <w:color w:val="000000" w:themeColor="text1"/>
                <w:lang w:eastAsia="zh-CN"/>
                <w14:textFill>
                  <w14:solidFill>
                    <w14:schemeClr w14:val="tx1"/>
                  </w14:solidFill>
                </w14:textFill>
              </w:rPr>
              <w:t>RP</w:t>
            </w:r>
            <w:r>
              <w:rPr>
                <w:rFonts w:ascii="Cambria Math" w:hAnsi="Cambria Math" w:cs="Cambria Math" w:eastAsiaTheme="minorEastAsia"/>
                <w:color w:val="000000" w:themeColor="text1"/>
                <w:lang w:eastAsia="zh-CN"/>
                <w14:textFill>
                  <w14:solidFill>
                    <w14:schemeClr w14:val="tx1"/>
                  </w14:solidFill>
                </w14:textFill>
              </w:rPr>
              <w:t>‑</w:t>
            </w:r>
            <w:r>
              <w:rPr>
                <w:rFonts w:ascii="Arial" w:hAnsi="Arial" w:cs="Arial" w:eastAsiaTheme="minorEastAsia"/>
                <w:color w:val="000000" w:themeColor="text1"/>
                <w:lang w:eastAsia="zh-CN"/>
                <w14:textFill>
                  <w14:solidFill>
                    <w14:schemeClr w14:val="tx1"/>
                  </w14:solidFill>
                </w14:textFill>
              </w:rPr>
              <w:t>251395</w:t>
            </w:r>
            <w:r>
              <w:rPr>
                <w:rFonts w:ascii="Arial" w:hAnsi="Arial" w:cs="Arial" w:eastAsiaTheme="minorEastAsia"/>
                <w:color w:val="000000" w:themeColor="text1"/>
                <w:lang w:eastAsia="zh-CN"/>
                <w14:textFill>
                  <w14:solidFill>
                    <w14:schemeClr w14:val="tx1"/>
                  </w14:solidFill>
                </w14:textFill>
              </w:rPr>
              <w:tab/>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Target Completion Date</w:t>
            </w:r>
          </w:p>
          <w:p w14:paraId="7FE6F1F9">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(indicate if changed)</w:t>
            </w:r>
          </w:p>
        </w:tc>
        <w:tc>
          <w:tcPr>
            <w:tcW w:w="1846" w:type="dxa"/>
          </w:tcPr>
          <w:p w14:paraId="59DDD591">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2E56FC1C">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hint="eastAsia" w:ascii="Arial" w:hAnsi="Arial" w:cs="Arial" w:eastAsiaTheme="minorEastAsia"/>
                <w:color w:val="000000" w:themeColor="text1"/>
                <w:lang w:eastAsia="zh-CN"/>
                <w14:textFill>
                  <w14:solidFill>
                    <w14:schemeClr w14:val="tx1"/>
                  </w14:solidFill>
                </w14:textFill>
              </w:rPr>
              <w:t>06</w:t>
            </w:r>
            <w:r>
              <w:rPr>
                <w:rFonts w:ascii="Arial" w:hAnsi="Arial" w:cs="Arial"/>
                <w:color w:val="000000" w:themeColor="text1"/>
                <w:lang w:eastAsia="ja-JP"/>
                <w14:textFill>
                  <w14:solidFill>
                    <w14:schemeClr w14:val="tx1"/>
                  </w14:solidFill>
                </w14:textFill>
              </w:rPr>
              <w:t>/</w:t>
            </w:r>
            <w:r>
              <w:rPr>
                <w:rFonts w:hint="eastAsia" w:ascii="Arial" w:hAnsi="Arial" w:cs="Arial" w:eastAsiaTheme="minorEastAsia"/>
                <w:color w:val="000000" w:themeColor="text1"/>
                <w:lang w:eastAsia="zh-CN"/>
                <w14:textFill>
                  <w14:solidFill>
                    <w14:schemeClr w14:val="tx1"/>
                  </w14:solidFill>
                </w14:textFill>
              </w:rPr>
              <w:t>2026</w:t>
            </w:r>
          </w:p>
        </w:tc>
        <w:tc>
          <w:tcPr>
            <w:tcW w:w="1842" w:type="dxa"/>
          </w:tcPr>
          <w:p w14:paraId="5A128F3E">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Core part: </w:t>
            </w:r>
          </w:p>
        </w:tc>
        <w:tc>
          <w:tcPr>
            <w:tcW w:w="2268" w:type="dxa"/>
          </w:tcPr>
          <w:p w14:paraId="150E2BE5">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tc>
        <w:tc>
          <w:tcPr>
            <w:tcW w:w="1694" w:type="dxa"/>
            <w:gridSpan w:val="2"/>
          </w:tcPr>
          <w:p w14:paraId="5BB6B905">
            <w:pPr>
              <w:tabs>
                <w:tab w:val="left" w:pos="567"/>
              </w:tabs>
              <w:spacing w:after="0"/>
              <w:rPr>
                <w:rFonts w:ascii="Arial" w:hAnsi="Arial" w:cs="Arial" w:eastAsiaTheme="minorEastAsia"/>
                <w:color w:val="000000" w:themeColor="text1"/>
                <w:highlight w:val="yellow"/>
                <w:lang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Overall Completion level</w:t>
            </w:r>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eastAsia="宋体" w:cs="Arial"/>
                <w:color w:val="000000" w:themeColor="text1"/>
                <w:lang w:val="en-US" w:eastAsia="zh-CN"/>
                <w14:textFill>
                  <w14:solidFill>
                    <w14:schemeClr w14:val="tx1"/>
                  </w14:solidFill>
                </w14:textFill>
              </w:rPr>
              <w:t>60</w:t>
            </w:r>
            <w:r>
              <w:rPr>
                <w:rFonts w:hint="eastAsia" w:ascii="Arial" w:hAnsi="Arial" w:cs="Arial"/>
                <w:color w:val="000000" w:themeColor="text1"/>
                <w:lang w:eastAsia="ja-JP"/>
                <w14:textFill>
                  <w14:solidFill>
                    <w14:schemeClr w14:val="tx1"/>
                  </w14:solidFill>
                </w14:textFill>
              </w:rPr>
              <w:t>%</w:t>
            </w:r>
          </w:p>
        </w:tc>
        <w:tc>
          <w:tcPr>
            <w:tcW w:w="1842" w:type="dxa"/>
          </w:tcPr>
          <w:p w14:paraId="5794DFF7">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Core part: </w:t>
            </w:r>
          </w:p>
        </w:tc>
        <w:tc>
          <w:tcPr>
            <w:tcW w:w="2268" w:type="dxa"/>
          </w:tcPr>
          <w:p w14:paraId="0560E286">
            <w:pPr>
              <w:tabs>
                <w:tab w:val="left" w:pos="567"/>
              </w:tabs>
              <w:spacing w:after="0"/>
              <w:rPr>
                <w:rFonts w:ascii="Arial" w:hAnsi="Arial" w:cs="Arial" w:eastAsiaTheme="minorEastAsia"/>
                <w:color w:val="000000" w:themeColor="text1"/>
                <w:lang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tc>
        <w:tc>
          <w:tcPr>
            <w:tcW w:w="1694" w:type="dxa"/>
            <w:gridSpan w:val="2"/>
          </w:tcPr>
          <w:p w14:paraId="70DECF59">
            <w:pPr>
              <w:tabs>
                <w:tab w:val="left" w:pos="567"/>
              </w:tabs>
              <w:spacing w:after="0"/>
              <w:rPr>
                <w:rFonts w:ascii="Arial" w:hAnsi="Arial" w:cs="Arial" w:eastAsiaTheme="minorEastAsia"/>
                <w:color w:val="000000" w:themeColor="text1"/>
                <w:highlight w:val="yellow"/>
                <w:lang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3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4684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8F3105B">
            <w:pPr>
              <w:tabs>
                <w:tab w:val="left" w:pos="567"/>
              </w:tabs>
              <w:spacing w:after="0"/>
              <w:rPr>
                <w:rFonts w:ascii="Arial" w:hAnsi="Arial" w:cs="Arial"/>
                <w:b/>
              </w:rPr>
            </w:pPr>
            <w:r>
              <w:rPr>
                <w:rFonts w:ascii="Arial" w:hAnsi="Arial" w:cs="Arial"/>
                <w:b/>
              </w:rPr>
              <w:t>Leading WG</w:t>
            </w:r>
          </w:p>
        </w:tc>
        <w:tc>
          <w:tcPr>
            <w:tcW w:w="7336" w:type="dxa"/>
          </w:tcPr>
          <w:p w14:paraId="6FC72931">
            <w:pPr>
              <w:tabs>
                <w:tab w:val="left" w:pos="567"/>
              </w:tabs>
              <w:spacing w:after="0"/>
              <w:rPr>
                <w:rFonts w:ascii="Arial" w:hAnsi="Arial" w:cs="Arial" w:eastAsiaTheme="minorEastAsia"/>
                <w:color w:val="FF0000"/>
                <w:lang w:eastAsia="zh-CN"/>
              </w:rPr>
            </w:pPr>
            <w:r>
              <w:rPr>
                <w:rFonts w:hint="eastAsia" w:ascii="Arial" w:hAnsi="Arial" w:cs="Arial" w:eastAsiaTheme="minorEastAsia"/>
                <w:color w:val="000000" w:themeColor="text1"/>
                <w:lang w:eastAsia="zh-CN"/>
                <w14:textFill>
                  <w14:solidFill>
                    <w14:schemeClr w14:val="tx1"/>
                  </w14:solidFill>
                </w14:textFill>
              </w:rPr>
              <w:t>RAN</w:t>
            </w:r>
          </w:p>
        </w:tc>
      </w:tr>
      <w:tr w14:paraId="5EF9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89FA298">
            <w:pPr>
              <w:tabs>
                <w:tab w:val="left" w:pos="567"/>
              </w:tabs>
              <w:rPr>
                <w:rFonts w:ascii="Arial" w:hAnsi="Arial" w:cs="Arial"/>
                <w:b/>
              </w:rPr>
            </w:pPr>
            <w:r>
              <w:rPr>
                <w:rFonts w:ascii="Arial" w:hAnsi="Arial" w:cs="Arial"/>
                <w:b/>
              </w:rPr>
              <w:t>Rapporteur</w:t>
            </w:r>
          </w:p>
        </w:tc>
        <w:tc>
          <w:tcPr>
            <w:tcW w:w="1335" w:type="dxa"/>
          </w:tcPr>
          <w:p w14:paraId="7F2D9368">
            <w:pPr>
              <w:tabs>
                <w:tab w:val="left" w:pos="567"/>
              </w:tabs>
              <w:spacing w:after="0"/>
              <w:rPr>
                <w:rFonts w:ascii="Arial" w:hAnsi="Arial" w:cs="Arial"/>
                <w:b/>
              </w:rPr>
            </w:pPr>
            <w:r>
              <w:rPr>
                <w:rFonts w:ascii="Arial" w:hAnsi="Arial" w:cs="Arial"/>
                <w:b/>
              </w:rPr>
              <w:t>Name</w:t>
            </w:r>
          </w:p>
        </w:tc>
        <w:tc>
          <w:tcPr>
            <w:tcW w:w="7336" w:type="dxa"/>
          </w:tcPr>
          <w:p w14:paraId="127CF618">
            <w:pPr>
              <w:tabs>
                <w:tab w:val="left" w:pos="567"/>
              </w:tabs>
              <w:spacing w:after="0"/>
              <w:rPr>
                <w:rFonts w:ascii="Arial" w:hAnsi="Arial" w:cs="Arial"/>
                <w:lang w:eastAsia="ja-JP"/>
              </w:rPr>
            </w:pPr>
            <w:r>
              <w:rPr>
                <w:rFonts w:hint="eastAsia" w:ascii="Arial" w:hAnsi="Arial" w:cs="Arial" w:eastAsiaTheme="minorEastAsia"/>
                <w:lang w:eastAsia="zh-CN"/>
              </w:rPr>
              <w:t>Xiaoran ZHANG</w:t>
            </w:r>
          </w:p>
        </w:tc>
      </w:tr>
      <w:tr w14:paraId="3604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760CAA">
            <w:pPr>
              <w:tabs>
                <w:tab w:val="left" w:pos="567"/>
              </w:tabs>
              <w:rPr>
                <w:rFonts w:ascii="Arial" w:hAnsi="Arial" w:cs="Arial"/>
                <w:b/>
              </w:rPr>
            </w:pPr>
          </w:p>
        </w:tc>
        <w:tc>
          <w:tcPr>
            <w:tcW w:w="1335" w:type="dxa"/>
          </w:tcPr>
          <w:p w14:paraId="6AD0A3C2">
            <w:pPr>
              <w:tabs>
                <w:tab w:val="left" w:pos="567"/>
              </w:tabs>
              <w:spacing w:after="0"/>
              <w:rPr>
                <w:rFonts w:ascii="Arial" w:hAnsi="Arial" w:cs="Arial"/>
                <w:b/>
              </w:rPr>
            </w:pPr>
            <w:r>
              <w:rPr>
                <w:rFonts w:ascii="Arial" w:hAnsi="Arial" w:cs="Arial"/>
                <w:b/>
              </w:rPr>
              <w:t>Company</w:t>
            </w:r>
          </w:p>
        </w:tc>
        <w:tc>
          <w:tcPr>
            <w:tcW w:w="7336" w:type="dxa"/>
          </w:tcPr>
          <w:p w14:paraId="612726B0">
            <w:pPr>
              <w:tabs>
                <w:tab w:val="left" w:pos="567"/>
              </w:tabs>
              <w:spacing w:after="0"/>
              <w:rPr>
                <w:rFonts w:ascii="Arial" w:hAnsi="Arial" w:cs="Arial"/>
                <w:lang w:eastAsia="ja-JP"/>
              </w:rPr>
            </w:pPr>
            <w:r>
              <w:rPr>
                <w:rFonts w:hint="eastAsia" w:ascii="Arial" w:hAnsi="Arial" w:cs="Arial" w:eastAsiaTheme="minorEastAsia"/>
                <w:lang w:eastAsia="zh-CN"/>
              </w:rPr>
              <w:t>CMCC</w:t>
            </w:r>
          </w:p>
        </w:tc>
      </w:tr>
      <w:tr w14:paraId="588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371B18D">
            <w:pPr>
              <w:tabs>
                <w:tab w:val="left" w:pos="567"/>
              </w:tabs>
              <w:rPr>
                <w:rFonts w:ascii="Arial" w:hAnsi="Arial" w:cs="Arial"/>
                <w:b/>
              </w:rPr>
            </w:pPr>
          </w:p>
        </w:tc>
        <w:tc>
          <w:tcPr>
            <w:tcW w:w="1335" w:type="dxa"/>
          </w:tcPr>
          <w:p w14:paraId="4BB54D4E">
            <w:pPr>
              <w:tabs>
                <w:tab w:val="left" w:pos="567"/>
              </w:tabs>
              <w:spacing w:after="0"/>
              <w:rPr>
                <w:rFonts w:ascii="Arial" w:hAnsi="Arial" w:cs="Arial"/>
                <w:b/>
              </w:rPr>
            </w:pPr>
            <w:r>
              <w:rPr>
                <w:rFonts w:ascii="Arial" w:hAnsi="Arial" w:cs="Arial"/>
                <w:b/>
              </w:rPr>
              <w:t>Email</w:t>
            </w:r>
          </w:p>
        </w:tc>
        <w:tc>
          <w:tcPr>
            <w:tcW w:w="7336" w:type="dxa"/>
          </w:tcPr>
          <w:p w14:paraId="0563966F">
            <w:pPr>
              <w:tabs>
                <w:tab w:val="left" w:pos="567"/>
              </w:tabs>
              <w:spacing w:after="0"/>
              <w:rPr>
                <w:rFonts w:ascii="Arial" w:hAnsi="Arial" w:cs="Arial"/>
              </w:rPr>
            </w:pPr>
            <w:r>
              <w:rPr>
                <w:rFonts w:ascii="Arial" w:hAnsi="Arial" w:cs="Arial" w:eastAsiaTheme="minorEastAsia"/>
                <w:lang w:eastAsia="zh-CN"/>
              </w:rPr>
              <w:t>zhangxiaoran@chinamobile.com</w:t>
            </w:r>
          </w:p>
        </w:tc>
      </w:tr>
      <w:tr w14:paraId="597D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3A6F9E">
            <w:pPr>
              <w:tabs>
                <w:tab w:val="left" w:pos="567"/>
              </w:tabs>
              <w:rPr>
                <w:rFonts w:ascii="Arial" w:hAnsi="Arial" w:cs="Arial"/>
                <w:b/>
              </w:rPr>
            </w:pPr>
          </w:p>
        </w:tc>
        <w:tc>
          <w:tcPr>
            <w:tcW w:w="1335" w:type="dxa"/>
          </w:tcPr>
          <w:p w14:paraId="1FD8CCD4">
            <w:pPr>
              <w:tabs>
                <w:tab w:val="left" w:pos="567"/>
              </w:tabs>
              <w:spacing w:after="0"/>
              <w:rPr>
                <w:rFonts w:ascii="Arial" w:hAnsi="Arial" w:cs="Arial"/>
                <w:b/>
              </w:rPr>
            </w:pPr>
            <w:r>
              <w:rPr>
                <w:rFonts w:ascii="Arial" w:hAnsi="Arial" w:cs="Arial"/>
                <w:b/>
              </w:rPr>
              <w:t>Name</w:t>
            </w:r>
          </w:p>
        </w:tc>
        <w:tc>
          <w:tcPr>
            <w:tcW w:w="7336" w:type="dxa"/>
          </w:tcPr>
          <w:p w14:paraId="5B369EFB">
            <w:pPr>
              <w:tabs>
                <w:tab w:val="left" w:pos="567"/>
              </w:tabs>
              <w:spacing w:after="0"/>
              <w:rPr>
                <w:rFonts w:ascii="Arial" w:hAnsi="Arial" w:cs="Arial" w:eastAsiaTheme="minorEastAsia"/>
                <w:lang w:eastAsia="zh-CN"/>
              </w:rPr>
            </w:pPr>
            <w:r>
              <w:rPr>
                <w:rFonts w:ascii="Arial" w:hAnsi="Arial" w:cs="Arial" w:eastAsiaTheme="minorEastAsia"/>
                <w:lang w:eastAsia="zh-CN"/>
              </w:rPr>
              <w:t>Lei Song</w:t>
            </w:r>
          </w:p>
        </w:tc>
      </w:tr>
      <w:tr w14:paraId="4266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DF7D29">
            <w:pPr>
              <w:tabs>
                <w:tab w:val="left" w:pos="567"/>
              </w:tabs>
              <w:rPr>
                <w:rFonts w:ascii="Arial" w:hAnsi="Arial" w:cs="Arial"/>
                <w:b/>
              </w:rPr>
            </w:pPr>
          </w:p>
        </w:tc>
        <w:tc>
          <w:tcPr>
            <w:tcW w:w="1335" w:type="dxa"/>
          </w:tcPr>
          <w:p w14:paraId="30D18EC6">
            <w:pPr>
              <w:tabs>
                <w:tab w:val="left" w:pos="567"/>
              </w:tabs>
              <w:spacing w:after="0"/>
              <w:rPr>
                <w:rFonts w:ascii="Arial" w:hAnsi="Arial" w:cs="Arial"/>
                <w:b/>
              </w:rPr>
            </w:pPr>
            <w:r>
              <w:rPr>
                <w:rFonts w:ascii="Arial" w:hAnsi="Arial" w:cs="Arial"/>
                <w:b/>
              </w:rPr>
              <w:t>Company</w:t>
            </w:r>
          </w:p>
        </w:tc>
        <w:tc>
          <w:tcPr>
            <w:tcW w:w="7336" w:type="dxa"/>
          </w:tcPr>
          <w:p w14:paraId="725F0596">
            <w:pPr>
              <w:tabs>
                <w:tab w:val="left" w:pos="567"/>
              </w:tabs>
              <w:spacing w:after="0"/>
              <w:rPr>
                <w:rFonts w:ascii="Arial" w:hAnsi="Arial" w:cs="Arial" w:eastAsiaTheme="minorEastAsia"/>
                <w:lang w:eastAsia="zh-CN"/>
              </w:rPr>
            </w:pPr>
            <w:r>
              <w:rPr>
                <w:rFonts w:ascii="Arial" w:hAnsi="Arial" w:cs="Arial" w:eastAsiaTheme="minorEastAsia"/>
                <w:lang w:eastAsia="zh-CN"/>
              </w:rPr>
              <w:t>Verizon</w:t>
            </w:r>
          </w:p>
        </w:tc>
      </w:tr>
      <w:tr w14:paraId="013D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4494F81">
            <w:pPr>
              <w:tabs>
                <w:tab w:val="left" w:pos="567"/>
              </w:tabs>
              <w:rPr>
                <w:rFonts w:ascii="Arial" w:hAnsi="Arial" w:cs="Arial"/>
                <w:b/>
              </w:rPr>
            </w:pPr>
          </w:p>
        </w:tc>
        <w:tc>
          <w:tcPr>
            <w:tcW w:w="1335" w:type="dxa"/>
          </w:tcPr>
          <w:p w14:paraId="4B7BD424">
            <w:pPr>
              <w:tabs>
                <w:tab w:val="left" w:pos="567"/>
              </w:tabs>
              <w:spacing w:after="0"/>
              <w:rPr>
                <w:rFonts w:ascii="Arial" w:hAnsi="Arial" w:cs="Arial"/>
                <w:b/>
              </w:rPr>
            </w:pPr>
            <w:r>
              <w:rPr>
                <w:rFonts w:ascii="Arial" w:hAnsi="Arial" w:cs="Arial"/>
                <w:b/>
              </w:rPr>
              <w:t>Email</w:t>
            </w:r>
          </w:p>
        </w:tc>
        <w:tc>
          <w:tcPr>
            <w:tcW w:w="7336" w:type="dxa"/>
          </w:tcPr>
          <w:p w14:paraId="68863F78">
            <w:pPr>
              <w:tabs>
                <w:tab w:val="left" w:pos="567"/>
              </w:tabs>
              <w:spacing w:after="0"/>
              <w:rPr>
                <w:rFonts w:ascii="Arial" w:hAnsi="Arial" w:cs="Arial" w:eastAsiaTheme="minorEastAsia"/>
                <w:lang w:eastAsia="zh-CN"/>
              </w:rPr>
            </w:pPr>
            <w:r>
              <w:rPr>
                <w:rFonts w:ascii="Arial" w:hAnsi="Arial" w:cs="Arial" w:eastAsiaTheme="minorEastAsia"/>
                <w:lang w:eastAsia="zh-CN"/>
              </w:rPr>
              <w:t>lei.song@verizon.com</w:t>
            </w:r>
          </w:p>
        </w:tc>
      </w:tr>
      <w:tr w14:paraId="6CA7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C3F15AA">
            <w:pPr>
              <w:tabs>
                <w:tab w:val="left" w:pos="567"/>
              </w:tabs>
              <w:rPr>
                <w:rFonts w:ascii="Arial" w:hAnsi="Arial" w:cs="Arial"/>
                <w:b/>
              </w:rPr>
            </w:pPr>
          </w:p>
        </w:tc>
        <w:tc>
          <w:tcPr>
            <w:tcW w:w="1335" w:type="dxa"/>
          </w:tcPr>
          <w:p w14:paraId="7B2EF006">
            <w:pPr>
              <w:tabs>
                <w:tab w:val="left" w:pos="567"/>
              </w:tabs>
              <w:spacing w:after="0"/>
              <w:rPr>
                <w:rFonts w:ascii="Arial" w:hAnsi="Arial" w:cs="Arial"/>
                <w:b/>
              </w:rPr>
            </w:pPr>
            <w:r>
              <w:rPr>
                <w:rFonts w:ascii="Arial" w:hAnsi="Arial" w:cs="Arial"/>
                <w:b/>
              </w:rPr>
              <w:t>Name</w:t>
            </w:r>
          </w:p>
        </w:tc>
        <w:tc>
          <w:tcPr>
            <w:tcW w:w="7336" w:type="dxa"/>
          </w:tcPr>
          <w:p w14:paraId="52BB0B24">
            <w:pPr>
              <w:tabs>
                <w:tab w:val="left" w:pos="567"/>
              </w:tabs>
              <w:spacing w:after="0"/>
              <w:rPr>
                <w:rFonts w:ascii="Arial" w:hAnsi="Arial" w:cs="Arial" w:eastAsiaTheme="minorEastAsia"/>
                <w:lang w:eastAsia="zh-CN"/>
              </w:rPr>
            </w:pPr>
            <w:r>
              <w:rPr>
                <w:rFonts w:ascii="Arial" w:hAnsi="Arial" w:cs="Arial" w:eastAsiaTheme="minorEastAsia"/>
                <w:lang w:eastAsia="zh-CN"/>
              </w:rPr>
              <w:t>Tianyang Min</w:t>
            </w:r>
          </w:p>
        </w:tc>
      </w:tr>
      <w:tr w14:paraId="7B49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C514923">
            <w:pPr>
              <w:tabs>
                <w:tab w:val="left" w:pos="567"/>
              </w:tabs>
              <w:rPr>
                <w:rFonts w:ascii="Arial" w:hAnsi="Arial" w:cs="Arial"/>
                <w:b/>
              </w:rPr>
            </w:pPr>
          </w:p>
        </w:tc>
        <w:tc>
          <w:tcPr>
            <w:tcW w:w="1335" w:type="dxa"/>
          </w:tcPr>
          <w:p w14:paraId="256F838E">
            <w:pPr>
              <w:tabs>
                <w:tab w:val="left" w:pos="567"/>
              </w:tabs>
              <w:spacing w:after="0"/>
              <w:rPr>
                <w:rFonts w:ascii="Arial" w:hAnsi="Arial" w:cs="Arial"/>
                <w:b/>
              </w:rPr>
            </w:pPr>
            <w:r>
              <w:rPr>
                <w:rFonts w:ascii="Arial" w:hAnsi="Arial" w:cs="Arial"/>
                <w:b/>
              </w:rPr>
              <w:t>Company</w:t>
            </w:r>
          </w:p>
        </w:tc>
        <w:tc>
          <w:tcPr>
            <w:tcW w:w="7336" w:type="dxa"/>
          </w:tcPr>
          <w:p w14:paraId="4216AF22">
            <w:pPr>
              <w:tabs>
                <w:tab w:val="left" w:pos="567"/>
              </w:tabs>
              <w:spacing w:after="0"/>
              <w:rPr>
                <w:rFonts w:ascii="Arial" w:hAnsi="Arial" w:cs="Arial" w:eastAsiaTheme="minorEastAsia"/>
                <w:lang w:eastAsia="zh-CN"/>
              </w:rPr>
            </w:pPr>
            <w:r>
              <w:rPr>
                <w:rFonts w:ascii="Arial" w:hAnsi="Arial" w:cs="Arial" w:eastAsiaTheme="minorEastAsia"/>
                <w:lang w:eastAsia="zh-CN"/>
              </w:rPr>
              <w:t>NTT DOCOMO, INC.</w:t>
            </w:r>
          </w:p>
        </w:tc>
      </w:tr>
      <w:tr w14:paraId="6483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A8BF69">
            <w:pPr>
              <w:tabs>
                <w:tab w:val="left" w:pos="567"/>
              </w:tabs>
              <w:rPr>
                <w:rFonts w:ascii="Arial" w:hAnsi="Arial" w:cs="Arial"/>
                <w:b/>
              </w:rPr>
            </w:pPr>
          </w:p>
        </w:tc>
        <w:tc>
          <w:tcPr>
            <w:tcW w:w="1335" w:type="dxa"/>
          </w:tcPr>
          <w:p w14:paraId="27C3D804">
            <w:pPr>
              <w:tabs>
                <w:tab w:val="left" w:pos="567"/>
              </w:tabs>
              <w:spacing w:after="0"/>
              <w:rPr>
                <w:rFonts w:ascii="Arial" w:hAnsi="Arial" w:cs="Arial"/>
                <w:b/>
              </w:rPr>
            </w:pPr>
            <w:r>
              <w:rPr>
                <w:rFonts w:ascii="Arial" w:hAnsi="Arial" w:cs="Arial"/>
                <w:b/>
              </w:rPr>
              <w:t>Email</w:t>
            </w:r>
          </w:p>
        </w:tc>
        <w:tc>
          <w:tcPr>
            <w:tcW w:w="7336" w:type="dxa"/>
          </w:tcPr>
          <w:p w14:paraId="1F42E620">
            <w:pPr>
              <w:tabs>
                <w:tab w:val="left" w:pos="567"/>
              </w:tabs>
              <w:spacing w:after="0"/>
              <w:rPr>
                <w:rFonts w:ascii="Arial" w:hAnsi="Arial" w:cs="Arial" w:eastAsiaTheme="minorEastAsia"/>
                <w:lang w:eastAsia="zh-CN"/>
              </w:rPr>
            </w:pPr>
            <w:r>
              <w:rPr>
                <w:rFonts w:ascii="Arial" w:hAnsi="Arial" w:cs="Arial" w:eastAsiaTheme="minorEastAsia"/>
                <w:lang w:eastAsia="zh-CN"/>
              </w:rPr>
              <w:t>tianyang.min.ex@nttdocomo.com</w:t>
            </w:r>
          </w:p>
        </w:tc>
      </w:tr>
      <w:tr w14:paraId="4F4F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9DDAD21">
            <w:pPr>
              <w:tabs>
                <w:tab w:val="left" w:pos="567"/>
              </w:tabs>
              <w:rPr>
                <w:rFonts w:ascii="Arial" w:hAnsi="Arial" w:cs="Arial"/>
                <w:b/>
              </w:rPr>
            </w:pPr>
          </w:p>
        </w:tc>
        <w:tc>
          <w:tcPr>
            <w:tcW w:w="1335" w:type="dxa"/>
          </w:tcPr>
          <w:p w14:paraId="08479C37">
            <w:pPr>
              <w:tabs>
                <w:tab w:val="left" w:pos="567"/>
              </w:tabs>
              <w:spacing w:after="0"/>
              <w:rPr>
                <w:rFonts w:ascii="Arial" w:hAnsi="Arial" w:cs="Arial"/>
                <w:b/>
              </w:rPr>
            </w:pPr>
            <w:r>
              <w:rPr>
                <w:rFonts w:ascii="Arial" w:hAnsi="Arial" w:cs="Arial"/>
                <w:b/>
              </w:rPr>
              <w:t>Name</w:t>
            </w:r>
          </w:p>
        </w:tc>
        <w:tc>
          <w:tcPr>
            <w:tcW w:w="7336" w:type="dxa"/>
          </w:tcPr>
          <w:p w14:paraId="3E40998F">
            <w:pPr>
              <w:tabs>
                <w:tab w:val="left" w:pos="567"/>
              </w:tabs>
              <w:spacing w:after="0"/>
              <w:rPr>
                <w:rFonts w:ascii="Arial" w:hAnsi="Arial" w:cs="Arial" w:eastAsiaTheme="minorEastAsia"/>
                <w:lang w:eastAsia="zh-CN"/>
              </w:rPr>
            </w:pPr>
            <w:r>
              <w:rPr>
                <w:rFonts w:ascii="Arial" w:hAnsi="Arial" w:cs="Arial" w:eastAsiaTheme="minorEastAsia"/>
                <w:lang w:eastAsia="zh-CN"/>
              </w:rPr>
              <w:t>Axel Klatt</w:t>
            </w:r>
          </w:p>
        </w:tc>
      </w:tr>
      <w:tr w14:paraId="6BE6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900F2F">
            <w:pPr>
              <w:tabs>
                <w:tab w:val="left" w:pos="567"/>
              </w:tabs>
              <w:rPr>
                <w:rFonts w:ascii="Arial" w:hAnsi="Arial" w:cs="Arial"/>
                <w:b/>
              </w:rPr>
            </w:pPr>
          </w:p>
        </w:tc>
        <w:tc>
          <w:tcPr>
            <w:tcW w:w="1335" w:type="dxa"/>
          </w:tcPr>
          <w:p w14:paraId="49A370CA">
            <w:pPr>
              <w:tabs>
                <w:tab w:val="left" w:pos="567"/>
              </w:tabs>
              <w:spacing w:after="0"/>
              <w:rPr>
                <w:rFonts w:ascii="Arial" w:hAnsi="Arial" w:cs="Arial"/>
                <w:b/>
              </w:rPr>
            </w:pPr>
            <w:r>
              <w:rPr>
                <w:rFonts w:ascii="Arial" w:hAnsi="Arial" w:cs="Arial"/>
                <w:b/>
              </w:rPr>
              <w:t>Company</w:t>
            </w:r>
          </w:p>
        </w:tc>
        <w:tc>
          <w:tcPr>
            <w:tcW w:w="7336" w:type="dxa"/>
          </w:tcPr>
          <w:p w14:paraId="1E2AD2D2">
            <w:pPr>
              <w:tabs>
                <w:tab w:val="left" w:pos="567"/>
              </w:tabs>
              <w:spacing w:after="0"/>
              <w:rPr>
                <w:rFonts w:ascii="Arial" w:hAnsi="Arial" w:cs="Arial" w:eastAsiaTheme="minorEastAsia"/>
                <w:lang w:eastAsia="zh-CN"/>
              </w:rPr>
            </w:pPr>
            <w:r>
              <w:rPr>
                <w:rFonts w:ascii="Arial" w:hAnsi="Arial" w:cs="Arial" w:eastAsiaTheme="minorEastAsia"/>
                <w:lang w:eastAsia="zh-CN"/>
              </w:rPr>
              <w:t>Deutsche Telekom</w:t>
            </w:r>
          </w:p>
        </w:tc>
      </w:tr>
      <w:tr w14:paraId="5171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E5C9E2D">
            <w:pPr>
              <w:tabs>
                <w:tab w:val="left" w:pos="567"/>
              </w:tabs>
              <w:rPr>
                <w:rFonts w:ascii="Arial" w:hAnsi="Arial" w:cs="Arial"/>
                <w:b/>
              </w:rPr>
            </w:pPr>
          </w:p>
        </w:tc>
        <w:tc>
          <w:tcPr>
            <w:tcW w:w="1335" w:type="dxa"/>
          </w:tcPr>
          <w:p w14:paraId="122CEC6F">
            <w:pPr>
              <w:tabs>
                <w:tab w:val="left" w:pos="567"/>
              </w:tabs>
              <w:spacing w:after="0"/>
              <w:rPr>
                <w:rFonts w:ascii="Arial" w:hAnsi="Arial" w:cs="Arial"/>
                <w:b/>
              </w:rPr>
            </w:pPr>
            <w:r>
              <w:rPr>
                <w:rFonts w:ascii="Arial" w:hAnsi="Arial" w:cs="Arial"/>
                <w:b/>
              </w:rPr>
              <w:t>Email</w:t>
            </w:r>
          </w:p>
        </w:tc>
        <w:tc>
          <w:tcPr>
            <w:tcW w:w="7336" w:type="dxa"/>
          </w:tcPr>
          <w:p w14:paraId="607707C2">
            <w:pPr>
              <w:tabs>
                <w:tab w:val="left" w:pos="567"/>
              </w:tabs>
              <w:spacing w:after="0"/>
              <w:rPr>
                <w:rFonts w:ascii="Arial" w:hAnsi="Arial" w:cs="Arial" w:eastAsiaTheme="minorEastAsia"/>
                <w:lang w:eastAsia="zh-CN"/>
              </w:rPr>
            </w:pPr>
            <w:r>
              <w:rPr>
                <w:rFonts w:ascii="Arial" w:hAnsi="Arial" w:cs="Arial" w:eastAsiaTheme="minorEastAsia"/>
                <w:lang w:eastAsia="zh-CN"/>
              </w:rPr>
              <w:t>Axel.Klatt@telekom.de</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66"/>
              <w:jc w:val="center"/>
              <w:rPr>
                <w:b/>
                <w:bCs/>
              </w:rPr>
            </w:pPr>
            <w:r>
              <w:rPr>
                <w:b/>
                <w:bCs/>
              </w:rPr>
              <w:t>Do you want to modify the time budget for this WI/SI compared to what was endorsed at the last RAN meeting?</w:t>
            </w:r>
          </w:p>
        </w:tc>
        <w:tc>
          <w:tcPr>
            <w:tcW w:w="1037" w:type="dxa"/>
            <w:vAlign w:val="center"/>
          </w:tcPr>
          <w:p w14:paraId="0D9BB93B">
            <w:pPr>
              <w:pStyle w:val="66"/>
              <w:jc w:val="center"/>
              <w:rPr>
                <w:color w:val="FF0000"/>
                <w:lang w:eastAsia="ja-JP"/>
              </w:rPr>
            </w:pPr>
            <w:r>
              <w:rPr>
                <w:color w:val="000000" w:themeColor="text1"/>
                <w:lang w:eastAsia="ja-JP"/>
                <w14:textFill>
                  <w14:solidFill>
                    <w14:schemeClr w14:val="tx1"/>
                  </w14:solidFill>
                </w14:textFill>
              </w:rPr>
              <w:t>No</w:t>
            </w:r>
          </w:p>
        </w:tc>
      </w:tr>
    </w:tbl>
    <w:p w14:paraId="51D6C523">
      <w:pPr>
        <w:spacing w:after="0"/>
        <w:rPr>
          <w:rFonts w:ascii="Arial" w:hAnsi="Arial" w:cs="Arial"/>
        </w:rPr>
      </w:pPr>
    </w:p>
    <w:p w14:paraId="3755A2BC">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3"/>
      </w:pPr>
      <w:r>
        <w:t>2.</w:t>
      </w:r>
      <w:r>
        <w:tab/>
      </w:r>
      <w:r>
        <w:t>Detailed progress in RAN WGs since last TSG meeting (for all involved WGs)</w:t>
      </w:r>
    </w:p>
    <w:p w14:paraId="3F442E5F">
      <w:pPr>
        <w:pStyle w:val="3"/>
        <w:rPr>
          <w:rFonts w:eastAsiaTheme="minorEastAsia"/>
          <w:lang w:eastAsia="zh-CN"/>
        </w:rPr>
      </w:pPr>
      <w:r>
        <w:rPr>
          <w:lang w:eastAsia="ja-JP"/>
        </w:rPr>
        <w:t>2.</w:t>
      </w:r>
      <w:r>
        <w:rPr>
          <w:rFonts w:hint="eastAsia" w:eastAsiaTheme="minorEastAsia"/>
          <w:lang w:eastAsia="zh-CN"/>
        </w:rPr>
        <w:t>0</w:t>
      </w:r>
      <w:r>
        <w:rPr>
          <w:lang w:eastAsia="ja-JP"/>
        </w:rPr>
        <w:tab/>
      </w:r>
      <w:r>
        <w:rPr>
          <w:rFonts w:hint="eastAsia"/>
          <w:lang w:eastAsia="ja-JP"/>
        </w:rPr>
        <w:t>RAN</w:t>
      </w:r>
    </w:p>
    <w:p w14:paraId="34EDDFFC">
      <w:pPr>
        <w:pStyle w:val="5"/>
        <w:rPr>
          <w:rFonts w:hint="eastAsia" w:eastAsiaTheme="minorEastAsia"/>
          <w:lang w:eastAsia="zh-CN"/>
        </w:rPr>
      </w:pPr>
      <w:r>
        <w:rPr>
          <w:lang w:eastAsia="ja-JP"/>
        </w:rPr>
        <w:t>2.0.1</w:t>
      </w:r>
      <w:r>
        <w:rPr>
          <w:lang w:eastAsia="ja-JP"/>
        </w:rPr>
        <w:tab/>
      </w:r>
      <w:r>
        <w:rPr>
          <w:lang w:eastAsia="ja-JP"/>
        </w:rPr>
        <w:t>Agreements</w:t>
      </w:r>
    </w:p>
    <w:p w14:paraId="4A04AEAB">
      <w:pPr>
        <w:textAlignment w:val="auto"/>
        <w:rPr>
          <w:rFonts w:hint="eastAsia" w:eastAsia="等线"/>
          <w:bCs/>
          <w:lang w:eastAsia="zh-CN"/>
        </w:rPr>
      </w:pPr>
      <w:r>
        <w:rPr>
          <w:rFonts w:eastAsia="等线"/>
          <w:b/>
          <w:sz w:val="22"/>
          <w:szCs w:val="16"/>
          <w:u w:val="single"/>
          <w:lang w:eastAsia="zh-CN"/>
        </w:rPr>
        <w:t>TR 38.914 up</w:t>
      </w:r>
      <w:r>
        <w:rPr>
          <w:rFonts w:hint="eastAsia" w:eastAsia="等线"/>
          <w:b/>
          <w:sz w:val="22"/>
          <w:szCs w:val="16"/>
          <w:u w:val="single"/>
          <w:lang w:eastAsia="zh-CN"/>
        </w:rPr>
        <w:t>date</w:t>
      </w:r>
    </w:p>
    <w:p w14:paraId="043112BD">
      <w:pPr>
        <w:textAlignment w:val="auto"/>
        <w:rPr>
          <w:rFonts w:eastAsia="等线"/>
          <w:bCs/>
          <w:sz w:val="20"/>
          <w:szCs w:val="20"/>
          <w:lang w:eastAsia="zh-CN"/>
        </w:rPr>
      </w:pPr>
      <w:r>
        <w:rPr>
          <w:bCs/>
          <w:sz w:val="20"/>
          <w:szCs w:val="20"/>
        </w:rPr>
        <w:t>TR 38.914 v</w:t>
      </w:r>
      <w:r>
        <w:rPr>
          <w:rFonts w:eastAsia="等线"/>
          <w:bCs/>
          <w:sz w:val="20"/>
          <w:szCs w:val="20"/>
          <w:lang w:eastAsia="zh-CN"/>
        </w:rPr>
        <w:t>0</w:t>
      </w:r>
      <w:r>
        <w:rPr>
          <w:bCs/>
          <w:sz w:val="20"/>
          <w:szCs w:val="20"/>
        </w:rPr>
        <w:t>.</w:t>
      </w:r>
      <w:r>
        <w:rPr>
          <w:rFonts w:hint="eastAsia" w:eastAsia="宋体"/>
          <w:bCs/>
          <w:sz w:val="20"/>
          <w:szCs w:val="20"/>
          <w:lang w:val="en-US" w:eastAsia="zh-CN"/>
        </w:rPr>
        <w:t>3</w:t>
      </w:r>
      <w:r>
        <w:rPr>
          <w:bCs/>
          <w:sz w:val="20"/>
          <w:szCs w:val="20"/>
        </w:rPr>
        <w:t>.</w:t>
      </w:r>
      <w:r>
        <w:rPr>
          <w:rFonts w:eastAsia="等线"/>
          <w:bCs/>
          <w:sz w:val="20"/>
          <w:szCs w:val="20"/>
          <w:lang w:eastAsia="zh-CN"/>
        </w:rPr>
        <w:t>0</w:t>
      </w:r>
      <w:r>
        <w:rPr>
          <w:bCs/>
          <w:sz w:val="20"/>
          <w:szCs w:val="20"/>
        </w:rPr>
        <w:t xml:space="preserve"> for Study on 6G Scenarios and requirements </w:t>
      </w:r>
      <w:r>
        <w:rPr>
          <w:rFonts w:eastAsia="等线"/>
          <w:bCs/>
          <w:sz w:val="20"/>
          <w:szCs w:val="20"/>
          <w:lang w:eastAsia="zh-CN"/>
        </w:rPr>
        <w:t xml:space="preserve">was agreed </w:t>
      </w:r>
      <w:r>
        <w:rPr>
          <w:bCs/>
          <w:sz w:val="20"/>
          <w:szCs w:val="20"/>
        </w:rPr>
        <w:t>in RP-</w:t>
      </w:r>
      <w:r>
        <w:rPr>
          <w:rFonts w:hint="eastAsia" w:eastAsia="宋体"/>
          <w:bCs/>
          <w:sz w:val="20"/>
          <w:szCs w:val="20"/>
          <w:lang w:val="en-US" w:eastAsia="zh-CN"/>
        </w:rPr>
        <w:t>253750</w:t>
      </w:r>
      <w:r>
        <w:rPr>
          <w:rFonts w:eastAsia="等线"/>
          <w:bCs/>
          <w:sz w:val="20"/>
          <w:szCs w:val="20"/>
          <w:lang w:eastAsia="zh-CN"/>
        </w:rPr>
        <w:t>.</w:t>
      </w:r>
    </w:p>
    <w:p w14:paraId="22D4405E">
      <w:pPr>
        <w:pStyle w:val="131"/>
        <w:numPr>
          <w:ilvl w:val="0"/>
          <w:numId w:val="5"/>
        </w:numPr>
        <w:ind w:leftChars="0"/>
        <w:rPr>
          <w:rFonts w:ascii="Times New Roman" w:hAnsi="Times New Roman" w:eastAsia="等线"/>
          <w:bCs/>
          <w:sz w:val="20"/>
          <w:szCs w:val="20"/>
          <w:lang w:eastAsia="zh-CN"/>
        </w:rPr>
      </w:pPr>
      <w:r>
        <w:rPr>
          <w:rFonts w:hint="eastAsia" w:ascii="Times New Roman" w:hAnsi="Times New Roman" w:eastAsia="等线"/>
          <w:bCs/>
          <w:sz w:val="20"/>
          <w:szCs w:val="20"/>
          <w:lang w:eastAsia="zh-CN"/>
        </w:rPr>
        <w:t>Updated TR including pCRs approved at RAN#110 (RP-253873, RP-253869, RP-253870, RP-253754, RP-253756, RP-253757)</w:t>
      </w:r>
    </w:p>
    <w:p w14:paraId="564CC19F">
      <w:pPr>
        <w:rPr>
          <w:rFonts w:hint="eastAsia" w:eastAsia="等线"/>
          <w:bCs/>
          <w:lang w:eastAsia="zh-CN"/>
        </w:rPr>
      </w:pPr>
    </w:p>
    <w:p w14:paraId="26681E32">
      <w:pPr>
        <w:rPr>
          <w:rFonts w:hint="eastAsia" w:eastAsiaTheme="minorEastAsia"/>
          <w:b/>
          <w:sz w:val="22"/>
          <w:szCs w:val="16"/>
          <w:highlight w:val="none"/>
          <w:u w:val="single"/>
          <w:lang w:eastAsia="zh-CN"/>
        </w:rPr>
      </w:pPr>
      <w:r>
        <w:rPr>
          <w:rFonts w:hint="eastAsia" w:eastAsiaTheme="minorEastAsia"/>
          <w:b/>
          <w:sz w:val="22"/>
          <w:szCs w:val="16"/>
          <w:highlight w:val="none"/>
          <w:u w:val="single"/>
          <w:lang w:eastAsia="zh-CN"/>
        </w:rPr>
        <w:t>For 6GR deployment scenario</w:t>
      </w:r>
    </w:p>
    <w:p w14:paraId="35949F11">
      <w:pPr>
        <w:rPr>
          <w:rFonts w:hint="eastAsia" w:eastAsiaTheme="minorEastAsia"/>
          <w:highlight w:val="none"/>
          <w:lang w:eastAsia="zh-CN"/>
        </w:rPr>
      </w:pPr>
      <w:r>
        <w:rPr>
          <w:rFonts w:hint="eastAsia" w:eastAsiaTheme="minorEastAsia"/>
          <w:highlight w:val="none"/>
          <w:lang w:eastAsia="zh-CN"/>
        </w:rPr>
        <w:t>pCR to TR 38.914 for</w:t>
      </w:r>
      <w:r>
        <w:rPr>
          <w:rFonts w:hint="eastAsia" w:eastAsiaTheme="minorEastAsia"/>
          <w:highlight w:val="none"/>
          <w:lang w:val="en-US" w:eastAsia="zh-CN"/>
        </w:rPr>
        <w:t xml:space="preserve"> 6G deployment scenario</w:t>
      </w:r>
      <w:r>
        <w:rPr>
          <w:rFonts w:hint="eastAsia" w:eastAsiaTheme="minorEastAsia"/>
          <w:highlight w:val="none"/>
          <w:lang w:eastAsia="zh-CN"/>
        </w:rPr>
        <w:t xml:space="preserve"> is approved in RP-25</w:t>
      </w:r>
      <w:r>
        <w:rPr>
          <w:rFonts w:hint="eastAsia" w:eastAsiaTheme="minorEastAsia"/>
          <w:highlight w:val="none"/>
          <w:lang w:val="en-US" w:eastAsia="zh-CN"/>
        </w:rPr>
        <w:t>3873</w:t>
      </w:r>
      <w:r>
        <w:rPr>
          <w:rFonts w:hint="eastAsia" w:eastAsiaTheme="minorEastAsia"/>
          <w:highlight w:val="none"/>
          <w:lang w:eastAsia="zh-CN"/>
        </w:rPr>
        <w:t>.</w:t>
      </w:r>
    </w:p>
    <w:p w14:paraId="06D6B64D">
      <w:pPr>
        <w:rPr>
          <w:rFonts w:hint="eastAsia" w:eastAsiaTheme="minorEastAsia"/>
          <w:highlight w:val="none"/>
          <w:lang w:eastAsia="zh-CN"/>
        </w:rPr>
      </w:pPr>
    </w:p>
    <w:p w14:paraId="0F198EE0">
      <w:pPr>
        <w:rPr>
          <w:rFonts w:hint="eastAsia" w:eastAsiaTheme="minorEastAsia"/>
          <w:b/>
          <w:sz w:val="22"/>
          <w:szCs w:val="16"/>
          <w:highlight w:val="none"/>
          <w:u w:val="single"/>
          <w:lang w:eastAsia="zh-CN"/>
        </w:rPr>
      </w:pPr>
      <w:r>
        <w:rPr>
          <w:rFonts w:hint="eastAsia" w:eastAsiaTheme="minorEastAsia"/>
          <w:b/>
          <w:sz w:val="22"/>
          <w:szCs w:val="16"/>
          <w:highlight w:val="none"/>
          <w:u w:val="single"/>
          <w:lang w:eastAsia="zh-CN"/>
        </w:rPr>
        <w:t>For KPIs</w:t>
      </w:r>
    </w:p>
    <w:p w14:paraId="00D57FBE">
      <w:pPr>
        <w:rPr>
          <w:rFonts w:hint="default"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pCR to TR 38.914 for key performance indicators is approved in RP-253869.</w:t>
      </w:r>
    </w:p>
    <w:p w14:paraId="362F0828">
      <w:pPr>
        <w:rPr>
          <w:rFonts w:hint="eastAsia" w:eastAsiaTheme="minorEastAsia"/>
          <w:b/>
          <w:bCs/>
          <w:highlight w:val="none"/>
          <w:lang w:eastAsia="zh-CN"/>
        </w:rPr>
      </w:pPr>
      <w:r>
        <w:rPr>
          <w:rFonts w:hint="eastAsia" w:eastAsiaTheme="minorEastAsia"/>
          <w:b/>
          <w:bCs/>
          <w:highlight w:val="none"/>
          <w:lang w:eastAsia="zh-CN"/>
        </w:rPr>
        <w:t>Agreements:</w:t>
      </w:r>
    </w:p>
    <w:p w14:paraId="4343E471">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highlight w:val="none"/>
          <w:lang w:val="en-US" w:eastAsia="zh-CN"/>
          <w14:ligatures w14:val="none"/>
        </w:rPr>
      </w:pPr>
      <w:r>
        <w:rPr>
          <w:rFonts w:ascii="Times New Roman" w:hAnsi="Times New Roman" w:eastAsia="宋体" w:cs="Times New Roman"/>
          <w:kern w:val="0"/>
          <w:sz w:val="20"/>
          <w:szCs w:val="20"/>
          <w:highlight w:val="none"/>
          <w:lang w:val="en-US" w:eastAsia="zh-CN"/>
          <w14:ligatures w14:val="none"/>
        </w:rPr>
        <w:t>Proposal 1:</w:t>
      </w:r>
    </w:p>
    <w:p w14:paraId="76DF2CF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highlight w:val="none"/>
          <w:lang w:val="en-US" w:eastAsia="zh-CN"/>
          <w14:ligatures w14:val="none"/>
        </w:rPr>
      </w:pPr>
      <w:r>
        <w:rPr>
          <w:rFonts w:hint="eastAsia" w:ascii="Times New Roman" w:hAnsi="Times New Roman" w:eastAsia="宋体" w:cs="Times New Roman"/>
          <w:kern w:val="0"/>
          <w:sz w:val="20"/>
          <w:szCs w:val="20"/>
          <w:highlight w:val="none"/>
          <w:lang w:val="en-US" w:eastAsia="zh-CN"/>
          <w14:ligatures w14:val="none"/>
        </w:rPr>
        <w:t>6GR aims to r</w:t>
      </w:r>
      <w:r>
        <w:rPr>
          <w:rFonts w:ascii="Times New Roman" w:hAnsi="Times New Roman" w:eastAsia="宋体" w:cs="Times New Roman"/>
          <w:kern w:val="0"/>
          <w:sz w:val="20"/>
          <w:szCs w:val="20"/>
          <w:highlight w:val="none"/>
          <w:lang w:val="en-US" w:eastAsia="zh-CN"/>
          <w14:ligatures w14:val="none"/>
        </w:rPr>
        <w:t xml:space="preserve">e-use existing 5G mid-band (~3.5 GHz) site grid for 6G deployments in at least around 7 GHz and targeting </w:t>
      </w:r>
    </w:p>
    <w:p w14:paraId="237BB460">
      <w:pPr>
        <w:widowControl/>
        <w:numPr>
          <w:ilvl w:val="0"/>
          <w:numId w:val="6"/>
        </w:numPr>
        <w:overflowPunct w:val="0"/>
        <w:autoSpaceDE w:val="0"/>
        <w:autoSpaceDN w:val="0"/>
        <w:adjustRightInd w:val="0"/>
        <w:spacing w:after="180" w:line="240" w:lineRule="auto"/>
        <w:ind w:left="800" w:hanging="400"/>
        <w:contextualSpacing/>
        <w:jc w:val="both"/>
        <w:textAlignment w:val="baseline"/>
        <w:rPr>
          <w:rFonts w:ascii="Times New Roman" w:hAnsi="Times New Roman" w:eastAsia="宋体" w:cs="Times New Roman"/>
          <w:kern w:val="0"/>
          <w:sz w:val="20"/>
          <w:szCs w:val="20"/>
          <w:highlight w:val="none"/>
          <w:lang w:val="en-US" w:eastAsia="zh-CN" w:bidi="ar-SA"/>
          <w14:ligatures w14:val="none"/>
        </w:rPr>
      </w:pPr>
      <w:r>
        <w:rPr>
          <w:rFonts w:ascii="Times New Roman" w:hAnsi="Times New Roman" w:eastAsia="宋体" w:cs="Times New Roman"/>
          <w:kern w:val="0"/>
          <w:sz w:val="20"/>
          <w:szCs w:val="20"/>
          <w:highlight w:val="none"/>
          <w:lang w:val="en-US" w:eastAsia="zh-CN" w:bidi="ar-SA"/>
          <w14:ligatures w14:val="none"/>
        </w:rPr>
        <w:t>Same coverage (as 5G mid-band) for initial access</w:t>
      </w:r>
    </w:p>
    <w:p w14:paraId="42458E95">
      <w:pPr>
        <w:widowControl/>
        <w:numPr>
          <w:ilvl w:val="0"/>
          <w:numId w:val="6"/>
        </w:numPr>
        <w:overflowPunct w:val="0"/>
        <w:autoSpaceDE w:val="0"/>
        <w:autoSpaceDN w:val="0"/>
        <w:adjustRightInd w:val="0"/>
        <w:spacing w:after="180" w:line="240" w:lineRule="auto"/>
        <w:ind w:left="800" w:hanging="400"/>
        <w:contextualSpacing/>
        <w:jc w:val="both"/>
        <w:textAlignment w:val="baseline"/>
        <w:rPr>
          <w:rFonts w:ascii="Times New Roman" w:hAnsi="Times New Roman" w:eastAsia="宋体" w:cs="Times New Roman"/>
          <w:kern w:val="0"/>
          <w:sz w:val="20"/>
          <w:szCs w:val="20"/>
          <w:highlight w:val="none"/>
          <w:lang w:val="en-US" w:eastAsia="zh-CN" w:bidi="ar-SA"/>
          <w14:ligatures w14:val="none"/>
        </w:rPr>
      </w:pPr>
      <w:r>
        <w:rPr>
          <w:rFonts w:ascii="Times New Roman" w:hAnsi="Times New Roman" w:eastAsia="宋体" w:cs="Times New Roman"/>
          <w:kern w:val="0"/>
          <w:sz w:val="20"/>
          <w:szCs w:val="20"/>
          <w:highlight w:val="none"/>
          <w:lang w:val="en-US" w:eastAsia="zh-CN" w:bidi="ar-SA"/>
          <w14:ligatures w14:val="none"/>
        </w:rPr>
        <w:t>Comparable to same (as 5G mid-band) coverage for data channels with same data rate</w:t>
      </w:r>
    </w:p>
    <w:p w14:paraId="0683FEC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highlight w:val="none"/>
          <w:lang w:val="en-US" w:eastAsia="zh-CN"/>
          <w14:ligatures w14:val="none"/>
        </w:rPr>
      </w:pPr>
      <w:r>
        <w:rPr>
          <w:rFonts w:ascii="Times New Roman" w:hAnsi="Times New Roman" w:eastAsia="宋体" w:cs="Times New Roman"/>
          <w:kern w:val="0"/>
          <w:sz w:val="20"/>
          <w:szCs w:val="20"/>
          <w:highlight w:val="none"/>
          <w:lang w:val="en-US" w:eastAsia="zh-CN"/>
          <w14:ligatures w14:val="none"/>
        </w:rPr>
        <w:t>Proposal 2:</w:t>
      </w:r>
    </w:p>
    <w:p w14:paraId="367DC1D2">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highlight w:val="none"/>
          <w:lang w:val="en-US" w:eastAsia="zh-CN"/>
          <w14:ligatures w14:val="none"/>
        </w:rPr>
      </w:pPr>
      <w:r>
        <w:rPr>
          <w:rFonts w:hint="eastAsia" w:ascii="Times New Roman" w:hAnsi="Times New Roman" w:eastAsia="宋体" w:cs="Times New Roman"/>
          <w:kern w:val="0"/>
          <w:sz w:val="20"/>
          <w:szCs w:val="20"/>
          <w:highlight w:val="none"/>
          <w:lang w:val="en-GB" w:eastAsia="zh-CN"/>
          <w14:ligatures w14:val="none"/>
        </w:rPr>
        <w:t xml:space="preserve">6GR aims to </w:t>
      </w:r>
      <w:r>
        <w:rPr>
          <w:rFonts w:hint="eastAsia" w:ascii="Times New Roman" w:hAnsi="Times New Roman" w:eastAsia="宋体" w:cs="Times New Roman"/>
          <w:kern w:val="0"/>
          <w:sz w:val="20"/>
          <w:szCs w:val="20"/>
          <w:highlight w:val="none"/>
          <w:lang w:val="en-US" w:eastAsia="zh-CN"/>
          <w14:ligatures w14:val="none"/>
        </w:rPr>
        <w:t xml:space="preserve">provide </w:t>
      </w:r>
      <w:r>
        <w:rPr>
          <w:rFonts w:hint="eastAsia" w:ascii="Times New Roman" w:hAnsi="Times New Roman" w:eastAsia="宋体" w:cs="Times New Roman"/>
          <w:kern w:val="0"/>
          <w:sz w:val="20"/>
          <w:szCs w:val="20"/>
          <w:highlight w:val="none"/>
          <w:lang w:val="en-GB" w:eastAsia="zh-CN"/>
          <w14:ligatures w14:val="none"/>
        </w:rPr>
        <w:t>e</w:t>
      </w:r>
      <w:r>
        <w:rPr>
          <w:rFonts w:ascii="Times New Roman" w:hAnsi="Times New Roman" w:eastAsia="宋体" w:cs="Times New Roman"/>
          <w:kern w:val="0"/>
          <w:sz w:val="20"/>
          <w:szCs w:val="20"/>
          <w:highlight w:val="none"/>
          <w:lang w:val="en-GB" w:eastAsia="zh-CN"/>
          <w14:ligatures w14:val="none"/>
        </w:rPr>
        <w:t>nhanced overall coverage</w:t>
      </w:r>
      <w:r>
        <w:rPr>
          <w:rFonts w:hint="eastAsia" w:ascii="Times New Roman" w:hAnsi="Times New Roman" w:eastAsia="宋体" w:cs="Times New Roman"/>
          <w:kern w:val="0"/>
          <w:sz w:val="20"/>
          <w:szCs w:val="20"/>
          <w:highlight w:val="none"/>
          <w:lang w:val="en-US" w:eastAsia="zh-CN"/>
          <w14:ligatures w14:val="none"/>
        </w:rPr>
        <w:t xml:space="preserve"> compared to 5G</w:t>
      </w:r>
      <w:r>
        <w:rPr>
          <w:rFonts w:ascii="Times New Roman" w:hAnsi="Times New Roman" w:eastAsia="宋体" w:cs="Times New Roman"/>
          <w:kern w:val="0"/>
          <w:sz w:val="20"/>
          <w:szCs w:val="20"/>
          <w:highlight w:val="none"/>
          <w:lang w:val="en-US" w:eastAsia="zh-CN"/>
          <w14:ligatures w14:val="none"/>
        </w:rPr>
        <w:t xml:space="preserve"> </w:t>
      </w:r>
      <w:r>
        <w:rPr>
          <w:rFonts w:hint="eastAsia" w:ascii="Times New Roman" w:hAnsi="Times New Roman" w:eastAsia="宋体" w:cs="Times New Roman"/>
          <w:kern w:val="0"/>
          <w:sz w:val="20"/>
          <w:szCs w:val="20"/>
          <w:highlight w:val="none"/>
          <w:lang w:val="en-US" w:eastAsia="zh-CN"/>
          <w14:ligatures w14:val="none"/>
        </w:rPr>
        <w:t>in the same band, focus</w:t>
      </w:r>
      <w:r>
        <w:rPr>
          <w:rFonts w:ascii="Times New Roman" w:hAnsi="Times New Roman" w:eastAsia="宋体" w:cs="Times New Roman"/>
          <w:kern w:val="0"/>
          <w:sz w:val="20"/>
          <w:szCs w:val="20"/>
          <w:highlight w:val="none"/>
          <w:lang w:val="en-US" w:eastAsia="zh-CN"/>
          <w14:ligatures w14:val="none"/>
        </w:rPr>
        <w:t>ing</w:t>
      </w:r>
      <w:r>
        <w:rPr>
          <w:rFonts w:hint="eastAsia" w:ascii="Times New Roman" w:hAnsi="Times New Roman" w:eastAsia="宋体" w:cs="Times New Roman"/>
          <w:kern w:val="0"/>
          <w:sz w:val="20"/>
          <w:szCs w:val="20"/>
          <w:highlight w:val="none"/>
          <w:lang w:val="en-US" w:eastAsia="zh-CN"/>
          <w14:ligatures w14:val="none"/>
        </w:rPr>
        <w:t xml:space="preserve"> on cell-edge performance and UL coverage.</w:t>
      </w:r>
    </w:p>
    <w:p w14:paraId="3DE4F207">
      <w:pPr>
        <w:widowControl/>
        <w:numPr>
          <w:ilvl w:val="0"/>
          <w:numId w:val="6"/>
        </w:numPr>
        <w:overflowPunct w:val="0"/>
        <w:autoSpaceDE w:val="0"/>
        <w:autoSpaceDN w:val="0"/>
        <w:adjustRightInd w:val="0"/>
        <w:spacing w:after="180" w:line="240" w:lineRule="auto"/>
        <w:ind w:left="800" w:hanging="400"/>
        <w:contextualSpacing/>
        <w:jc w:val="both"/>
        <w:textAlignment w:val="baseline"/>
        <w:rPr>
          <w:rFonts w:ascii="Times New Roman" w:hAnsi="Times New Roman" w:eastAsia="宋体" w:cs="Times New Roman"/>
          <w:kern w:val="0"/>
          <w:sz w:val="20"/>
          <w:szCs w:val="20"/>
          <w:highlight w:val="none"/>
          <w:lang w:val="en-US" w:eastAsia="zh-CN" w:bidi="ar-SA"/>
          <w14:ligatures w14:val="none"/>
        </w:rPr>
      </w:pPr>
      <w:r>
        <w:rPr>
          <w:rFonts w:ascii="Times New Roman" w:hAnsi="Times New Roman" w:eastAsia="宋体" w:cs="Times New Roman"/>
          <w:kern w:val="0"/>
          <w:sz w:val="20"/>
          <w:szCs w:val="20"/>
          <w:highlight w:val="none"/>
          <w:lang w:val="en-US" w:eastAsia="zh-CN" w:bidi="ar-SA"/>
          <w14:ligatures w14:val="none"/>
        </w:rPr>
        <w:t>Above does not impact spectrum utilization study in RAN WGs</w:t>
      </w:r>
    </w:p>
    <w:p w14:paraId="0E8F6DC2">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highlight w:val="none"/>
          <w:lang w:val="en-US" w:eastAsia="zh-CN"/>
          <w14:ligatures w14:val="none"/>
        </w:rPr>
      </w:pPr>
      <w:r>
        <w:rPr>
          <w:rFonts w:hint="eastAsia" w:ascii="Times New Roman" w:hAnsi="Times New Roman" w:eastAsia="宋体" w:cs="Times New Roman"/>
          <w:kern w:val="0"/>
          <w:sz w:val="20"/>
          <w:szCs w:val="20"/>
          <w:highlight w:val="none"/>
          <w:lang w:val="en-US" w:eastAsia="zh-CN"/>
          <w14:ligatures w14:val="none"/>
        </w:rPr>
        <w:t>Proposal 3: Sensing resolution is not considered as a 3GPP internal KPI metric.</w:t>
      </w:r>
    </w:p>
    <w:p w14:paraId="3B5CF485">
      <w:pPr>
        <w:rPr>
          <w:rFonts w:hint="eastAsia" w:eastAsiaTheme="minorEastAsia"/>
          <w:highlight w:val="none"/>
          <w:lang w:eastAsia="zh-CN"/>
        </w:rPr>
      </w:pPr>
      <w:r>
        <w:rPr>
          <w:rFonts w:hint="eastAsia" w:eastAsiaTheme="minorEastAsia"/>
          <w:highlight w:val="none"/>
          <w:lang w:eastAsia="zh-CN"/>
        </w:rPr>
        <w:t>Proposal</w:t>
      </w:r>
      <w:r>
        <w:rPr>
          <w:rFonts w:hint="eastAsia" w:eastAsiaTheme="minorEastAsia"/>
          <w:highlight w:val="none"/>
          <w:lang w:val="en-US" w:eastAsia="zh-CN"/>
        </w:rPr>
        <w:t xml:space="preserve"> (peak data rate)</w:t>
      </w:r>
      <w:r>
        <w:rPr>
          <w:rFonts w:hint="eastAsia" w:eastAsiaTheme="minorEastAsia"/>
          <w:highlight w:val="none"/>
          <w:lang w:eastAsia="zh-CN"/>
        </w:rPr>
        <w:t xml:space="preserve"> (+80%):</w:t>
      </w:r>
    </w:p>
    <w:p w14:paraId="4633682A">
      <w:pPr>
        <w:pStyle w:val="87"/>
        <w:numPr>
          <w:ilvl w:val="0"/>
          <w:numId w:val="7"/>
        </w:numPr>
        <w:overflowPunct w:val="0"/>
        <w:autoSpaceDE w:val="0"/>
        <w:autoSpaceDN w:val="0"/>
        <w:adjustRightInd w:val="0"/>
        <w:spacing w:after="180"/>
        <w:ind w:left="440" w:leftChars="0" w:hanging="440" w:firstLineChars="0"/>
        <w:jc w:val="left"/>
        <w:textAlignment w:val="baseline"/>
        <w:rPr>
          <w:rFonts w:hint="eastAsia" w:ascii="Times New Roman" w:hAnsi="Times New Roman" w:cs="Times New Roman" w:eastAsiaTheme="minorEastAsia"/>
          <w:b w:val="0"/>
          <w:bCs w:val="0"/>
          <w:lang w:eastAsia="zh-CN"/>
        </w:rPr>
      </w:pPr>
      <w:r>
        <w:rPr>
          <w:rFonts w:hint="eastAsia" w:ascii="Times New Roman" w:hAnsi="Times New Roman" w:cs="Times New Roman" w:eastAsiaTheme="minorEastAsia"/>
          <w:b w:val="0"/>
          <w:bCs w:val="0"/>
          <w:lang w:eastAsia="zh-CN"/>
        </w:rPr>
        <w:t>The minimum requirements for 6GR peak data rate are as follows:</w:t>
      </w:r>
    </w:p>
    <w:p w14:paraId="4B63363E">
      <w:pPr>
        <w:pStyle w:val="87"/>
        <w:numPr>
          <w:ilvl w:val="1"/>
          <w:numId w:val="7"/>
        </w:numPr>
        <w:overflowPunct w:val="0"/>
        <w:autoSpaceDE w:val="0"/>
        <w:autoSpaceDN w:val="0"/>
        <w:adjustRightInd w:val="0"/>
        <w:spacing w:after="180"/>
        <w:ind w:left="880" w:leftChars="0" w:hanging="440" w:firstLineChars="0"/>
        <w:jc w:val="left"/>
        <w:textAlignment w:val="baseline"/>
        <w:rPr>
          <w:rFonts w:hint="eastAsia" w:ascii="Times New Roman" w:hAnsi="Times New Roman" w:cs="Times New Roman" w:eastAsiaTheme="minorEastAsia"/>
          <w:b w:val="0"/>
          <w:bCs w:val="0"/>
          <w:lang w:eastAsia="zh-CN"/>
        </w:rPr>
      </w:pPr>
      <w:r>
        <w:rPr>
          <w:rFonts w:hint="eastAsia" w:ascii="Times New Roman" w:hAnsi="Times New Roman" w:cs="Times New Roman" w:eastAsiaTheme="minorEastAsia"/>
          <w:b w:val="0"/>
          <w:bCs w:val="0"/>
          <w:lang w:eastAsia="zh-CN"/>
        </w:rPr>
        <w:t>Downlink peak data rate is 36 Gbps.</w:t>
      </w:r>
    </w:p>
    <w:p w14:paraId="09D68014">
      <w:pPr>
        <w:pStyle w:val="87"/>
        <w:numPr>
          <w:ilvl w:val="1"/>
          <w:numId w:val="7"/>
        </w:numPr>
        <w:overflowPunct w:val="0"/>
        <w:autoSpaceDE w:val="0"/>
        <w:autoSpaceDN w:val="0"/>
        <w:adjustRightInd w:val="0"/>
        <w:spacing w:after="180"/>
        <w:ind w:left="880" w:leftChars="0" w:hanging="440" w:firstLineChars="0"/>
        <w:jc w:val="left"/>
        <w:textAlignment w:val="baseline"/>
        <w:rPr>
          <w:rFonts w:hint="eastAsia" w:ascii="Times New Roman" w:hAnsi="Times New Roman" w:cs="Times New Roman" w:eastAsiaTheme="minorEastAsia"/>
          <w:b w:val="0"/>
          <w:bCs w:val="0"/>
          <w:lang w:eastAsia="zh-CN"/>
        </w:rPr>
      </w:pPr>
      <w:r>
        <w:rPr>
          <w:rFonts w:hint="eastAsia" w:ascii="Times New Roman" w:hAnsi="Times New Roman" w:cs="Times New Roman" w:eastAsiaTheme="minorEastAsia"/>
          <w:b w:val="0"/>
          <w:bCs w:val="0"/>
          <w:lang w:eastAsia="zh-CN"/>
        </w:rPr>
        <w:t>Uplink peak data rate is 18 Gbps.</w:t>
      </w:r>
    </w:p>
    <w:p w14:paraId="7387F330">
      <w:pPr>
        <w:numPr>
          <w:ilvl w:val="0"/>
          <w:numId w:val="8"/>
        </w:numPr>
        <w:ind w:left="420" w:leftChars="0" w:hanging="420" w:firstLineChars="0"/>
        <w:rPr>
          <w:rFonts w:hint="eastAsia" w:eastAsiaTheme="minorEastAsia"/>
          <w:highlight w:val="none"/>
          <w:lang w:eastAsia="zh-CN"/>
        </w:rPr>
      </w:pPr>
      <w:r>
        <w:rPr>
          <w:rFonts w:hint="eastAsia" w:eastAsiaTheme="minorEastAsia"/>
          <w:highlight w:val="none"/>
          <w:lang w:eastAsia="zh-CN"/>
        </w:rPr>
        <w:t>Note: The above peak data rate assumes 600 MHz aggregated BW</w:t>
      </w:r>
    </w:p>
    <w:p w14:paraId="2ECD0F24">
      <w:pPr>
        <w:numPr>
          <w:ilvl w:val="0"/>
          <w:numId w:val="8"/>
        </w:numPr>
        <w:ind w:left="420" w:leftChars="0" w:hanging="420" w:firstLineChars="0"/>
        <w:rPr>
          <w:rFonts w:hint="eastAsia" w:eastAsiaTheme="minorEastAsia"/>
          <w:highlight w:val="none"/>
          <w:lang w:eastAsia="zh-CN"/>
        </w:rPr>
      </w:pPr>
      <w:r>
        <w:rPr>
          <w:rFonts w:hint="eastAsia" w:eastAsiaTheme="minorEastAsia"/>
          <w:highlight w:val="none"/>
          <w:lang w:eastAsia="zh-CN"/>
        </w:rPr>
        <w:t>Note: the actual peak data rate depends on actual spectrum allocation for each MNO</w:t>
      </w:r>
    </w:p>
    <w:p w14:paraId="214605D2">
      <w:pPr>
        <w:rPr>
          <w:rFonts w:hint="eastAsia" w:eastAsiaTheme="minorEastAsia"/>
          <w:highlight w:val="none"/>
          <w:lang w:eastAsia="zh-CN"/>
        </w:rPr>
      </w:pPr>
    </w:p>
    <w:p w14:paraId="064E1053">
      <w:pPr>
        <w:rPr>
          <w:rFonts w:hint="eastAsia" w:eastAsiaTheme="minorEastAsia"/>
          <w:b/>
          <w:bCs w:val="0"/>
          <w:sz w:val="22"/>
          <w:szCs w:val="16"/>
          <w:highlight w:val="none"/>
          <w:u w:val="single"/>
          <w:lang w:eastAsia="zh-CN"/>
        </w:rPr>
      </w:pPr>
      <w:r>
        <w:rPr>
          <w:rFonts w:hint="eastAsia" w:eastAsiaTheme="minorEastAsia"/>
          <w:b/>
          <w:bCs w:val="0"/>
          <w:sz w:val="22"/>
          <w:szCs w:val="16"/>
          <w:highlight w:val="none"/>
          <w:u w:val="single"/>
          <w:lang w:eastAsia="zh-CN"/>
        </w:rPr>
        <w:t>For Architecture and Migration</w:t>
      </w:r>
    </w:p>
    <w:p w14:paraId="435D91EA">
      <w:pPr>
        <w:rPr>
          <w:rFonts w:hint="eastAsia" w:ascii="Times New Roman" w:hAnsi="Times New Roman" w:cs="Times New Roman" w:eastAsiaTheme="minorEastAsia"/>
          <w:highlight w:val="none"/>
          <w:lang w:val="en-US" w:eastAsia="ja-JP"/>
        </w:rPr>
      </w:pPr>
      <w:r>
        <w:rPr>
          <w:rFonts w:hint="eastAsia" w:ascii="Times New Roman" w:hAnsi="Times New Roman" w:cs="Times New Roman" w:eastAsiaTheme="minorEastAsia"/>
          <w:highlight w:val="none"/>
          <w:lang w:val="en-US" w:eastAsia="zh-CN"/>
        </w:rPr>
        <w:t>pCR to TR 38.914 for Architecture and Migration is approved in RP-253870.</w:t>
      </w:r>
    </w:p>
    <w:p w14:paraId="2B0F7EAA">
      <w:pPr>
        <w:rPr>
          <w:rFonts w:hint="eastAsia" w:ascii="Times New Roman" w:hAnsi="Times New Roman" w:cs="Times New Roman" w:eastAsiaTheme="minorEastAsia"/>
          <w:b/>
          <w:bCs/>
          <w:highlight w:val="none"/>
          <w:lang w:val="en-US" w:eastAsia="zh-CN"/>
        </w:rPr>
      </w:pPr>
      <w:r>
        <w:rPr>
          <w:rFonts w:hint="eastAsia" w:ascii="Times New Roman" w:hAnsi="Times New Roman" w:cs="Times New Roman" w:eastAsiaTheme="minorEastAsia"/>
          <w:b/>
          <w:bCs/>
          <w:highlight w:val="none"/>
          <w:lang w:eastAsia="ja-JP"/>
        </w:rPr>
        <w:t>Agreements</w:t>
      </w:r>
      <w:r>
        <w:rPr>
          <w:rFonts w:hint="eastAsia" w:ascii="Times New Roman" w:hAnsi="Times New Roman" w:cs="Times New Roman" w:eastAsiaTheme="minorEastAsia"/>
          <w:b/>
          <w:bCs/>
          <w:highlight w:val="none"/>
          <w:lang w:val="en-US" w:eastAsia="zh-CN"/>
        </w:rPr>
        <w:t>:</w:t>
      </w:r>
    </w:p>
    <w:p w14:paraId="6D36A9FA">
      <w:pPr>
        <w:pStyle w:val="87"/>
        <w:numPr>
          <w:ilvl w:val="0"/>
          <w:numId w:val="7"/>
        </w:numPr>
        <w:overflowPunct w:val="0"/>
        <w:autoSpaceDE w:val="0"/>
        <w:autoSpaceDN w:val="0"/>
        <w:adjustRightInd w:val="0"/>
        <w:spacing w:after="180"/>
        <w:ind w:left="440" w:leftChars="0" w:hanging="440" w:firstLineChars="0"/>
        <w:jc w:val="left"/>
        <w:textAlignment w:val="baseline"/>
        <w:rPr>
          <w:rFonts w:ascii="Times New Roman" w:hAnsi="Times New Roman" w:eastAsiaTheme="minorEastAsia"/>
          <w:b w:val="0"/>
          <w:bCs w:val="0"/>
          <w:lang w:eastAsia="ja-JP"/>
        </w:rPr>
      </w:pPr>
      <w:r>
        <w:rPr>
          <w:rFonts w:ascii="Times New Roman" w:hAnsi="Times New Roman" w:eastAsiaTheme="minorEastAsia"/>
          <w:b w:val="0"/>
          <w:bCs w:val="0"/>
          <w:lang w:eastAsia="ja-JP"/>
        </w:rPr>
        <w:t xml:space="preserve">The design of the 6G RAN architecture shall allow the collection and transport of </w:t>
      </w:r>
      <w:r>
        <w:rPr>
          <w:rFonts w:hint="eastAsia" w:ascii="Times New Roman" w:hAnsi="Times New Roman" w:eastAsiaTheme="minorEastAsia"/>
          <w:b w:val="0"/>
          <w:bCs w:val="0"/>
          <w:lang w:eastAsia="ja-JP"/>
        </w:rPr>
        <w:t xml:space="preserve">standardized measurement </w:t>
      </w:r>
      <w:r>
        <w:rPr>
          <w:rFonts w:ascii="Times New Roman" w:hAnsi="Times New Roman" w:eastAsiaTheme="minorEastAsia"/>
          <w:b w:val="0"/>
          <w:bCs w:val="0"/>
          <w:lang w:eastAsia="ja-JP"/>
        </w:rPr>
        <w:t>data</w:t>
      </w:r>
      <w:r>
        <w:rPr>
          <w:rFonts w:hint="eastAsia" w:ascii="Times New Roman" w:hAnsi="Times New Roman" w:eastAsiaTheme="minorEastAsia"/>
          <w:b w:val="0"/>
          <w:bCs w:val="0"/>
          <w:lang w:eastAsia="ja-JP"/>
        </w:rPr>
        <w:t xml:space="preserve"> (e.g. AIML data and sensing data) in an efficient way and under operator control </w:t>
      </w:r>
      <w:r>
        <w:rPr>
          <w:rFonts w:ascii="Times New Roman" w:hAnsi="Times New Roman" w:eastAsiaTheme="minorEastAsia"/>
          <w:b w:val="0"/>
          <w:bCs w:val="0"/>
          <w:lang w:eastAsia="ja-JP"/>
        </w:rPr>
        <w:t>to fulfil existing and new service requirements</w:t>
      </w:r>
      <w:r>
        <w:rPr>
          <w:rFonts w:hint="eastAsia" w:ascii="Times New Roman" w:hAnsi="Times New Roman" w:eastAsiaTheme="minorEastAsia"/>
          <w:b w:val="0"/>
          <w:bCs w:val="0"/>
          <w:lang w:eastAsia="ja-JP"/>
        </w:rPr>
        <w:t>.</w:t>
      </w:r>
      <w:r>
        <w:rPr>
          <w:rFonts w:ascii="Times New Roman" w:hAnsi="Times New Roman" w:eastAsiaTheme="minorEastAsia"/>
          <w:b w:val="0"/>
          <w:bCs w:val="0"/>
          <w:lang w:eastAsia="ja-JP"/>
        </w:rPr>
        <w:t xml:space="preserve"> </w:t>
      </w:r>
    </w:p>
    <w:p w14:paraId="6523D414">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eastAsiaTheme="minorEastAsia"/>
          <w:b w:val="0"/>
          <w:bCs w:val="0"/>
          <w:lang w:eastAsia="ja-JP"/>
        </w:rPr>
      </w:pPr>
      <w:r>
        <w:rPr>
          <w:rFonts w:ascii="Times New Roman" w:hAnsi="Times New Roman" w:eastAsiaTheme="minorEastAsia"/>
          <w:b w:val="0"/>
          <w:bCs w:val="0"/>
          <w:lang w:eastAsia="ja-JP"/>
        </w:rPr>
        <w:t>User data privacy</w:t>
      </w:r>
      <w:r>
        <w:rPr>
          <w:rFonts w:hint="eastAsia" w:ascii="Times New Roman" w:hAnsi="Times New Roman" w:eastAsiaTheme="minorEastAsia"/>
          <w:b w:val="0"/>
          <w:bCs w:val="0"/>
          <w:lang w:eastAsia="ja-JP"/>
        </w:rPr>
        <w:t xml:space="preserve"> and </w:t>
      </w:r>
      <w:r>
        <w:rPr>
          <w:rFonts w:ascii="Times New Roman" w:hAnsi="Times New Roman" w:eastAsiaTheme="minorEastAsia"/>
          <w:b w:val="0"/>
          <w:bCs w:val="0"/>
          <w:lang w:eastAsia="ja-JP"/>
        </w:rPr>
        <w:t>anonymity</w:t>
      </w:r>
      <w:r>
        <w:rPr>
          <w:rFonts w:hint="eastAsia" w:ascii="Times New Roman" w:hAnsi="Times New Roman" w:eastAsiaTheme="minorEastAsia"/>
          <w:b w:val="0"/>
          <w:bCs w:val="0"/>
          <w:lang w:eastAsia="ja-JP"/>
        </w:rPr>
        <w:t xml:space="preserve"> is supported and preserved </w:t>
      </w:r>
      <w:r>
        <w:rPr>
          <w:rFonts w:ascii="Times New Roman" w:hAnsi="Times New Roman" w:eastAsiaTheme="minorEastAsia"/>
          <w:b w:val="0"/>
          <w:bCs w:val="0"/>
          <w:lang w:eastAsia="ja-JP"/>
        </w:rPr>
        <w:t>as part of data collection, transmission and operation.</w:t>
      </w:r>
    </w:p>
    <w:p w14:paraId="375CD759">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eastAsiaTheme="minorEastAsia"/>
          <w:b w:val="0"/>
          <w:bCs w:val="0"/>
          <w:lang w:eastAsia="ja-JP"/>
        </w:rPr>
      </w:pPr>
      <w:r>
        <w:rPr>
          <w:rFonts w:hint="eastAsia" w:ascii="Times New Roman" w:hAnsi="Times New Roman" w:eastAsiaTheme="minorEastAsia"/>
          <w:b w:val="0"/>
          <w:bCs w:val="0"/>
          <w:lang w:eastAsia="ja-JP"/>
        </w:rPr>
        <w:t>user consent as part of outcome of SA.</w:t>
      </w:r>
    </w:p>
    <w:p w14:paraId="3FD51941">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eastAsiaTheme="minorEastAsia"/>
          <w:b w:val="0"/>
          <w:bCs w:val="0"/>
          <w:lang w:eastAsia="ja-JP"/>
        </w:rPr>
      </w:pPr>
      <w:r>
        <w:rPr>
          <w:rFonts w:hint="eastAsia" w:ascii="Times New Roman" w:hAnsi="Times New Roman" w:eastAsiaTheme="minorEastAsia"/>
          <w:b w:val="0"/>
          <w:bCs w:val="0"/>
          <w:lang w:eastAsia="ja-JP"/>
        </w:rPr>
        <w:t xml:space="preserve">Operator control: </w:t>
      </w:r>
      <w:r>
        <w:rPr>
          <w:rFonts w:ascii="Times New Roman" w:hAnsi="Times New Roman" w:eastAsiaTheme="minorEastAsia"/>
          <w:b w:val="0"/>
          <w:bCs w:val="0"/>
          <w:lang w:eastAsia="ja-JP"/>
        </w:rPr>
        <w:t xml:space="preserve">operator can control and configure the data to be collected, </w:t>
      </w:r>
      <w:r>
        <w:rPr>
          <w:rFonts w:hint="eastAsia" w:ascii="Times New Roman" w:hAnsi="Times New Roman" w:eastAsiaTheme="minorEastAsia"/>
          <w:b w:val="0"/>
          <w:bCs w:val="0"/>
          <w:lang w:eastAsia="ja-JP"/>
        </w:rPr>
        <w:t>to have visibility of</w:t>
      </w:r>
      <w:r>
        <w:rPr>
          <w:rFonts w:ascii="Times New Roman" w:hAnsi="Times New Roman" w:eastAsiaTheme="minorEastAsia"/>
          <w:b w:val="0"/>
          <w:bCs w:val="0"/>
          <w:lang w:eastAsia="ja-JP"/>
        </w:rPr>
        <w:t xml:space="preserve"> the collected data, and decide whether to start or stop data collection based on user consent</w:t>
      </w:r>
      <w:r>
        <w:rPr>
          <w:rFonts w:hint="eastAsia" w:ascii="Times New Roman" w:hAnsi="Times New Roman" w:eastAsiaTheme="minorEastAsia"/>
          <w:b w:val="0"/>
          <w:bCs w:val="0"/>
          <w:lang w:eastAsia="ja-JP"/>
        </w:rPr>
        <w:t xml:space="preserve"> where necessary</w:t>
      </w:r>
      <w:r>
        <w:rPr>
          <w:rFonts w:ascii="Times New Roman" w:hAnsi="Times New Roman" w:eastAsiaTheme="minorEastAsia"/>
          <w:b w:val="0"/>
          <w:bCs w:val="0"/>
          <w:lang w:eastAsia="ja-JP"/>
        </w:rPr>
        <w:t>, while ensuring user privacy and anonymity.</w:t>
      </w:r>
    </w:p>
    <w:p w14:paraId="3B069370">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eastAsiaTheme="minorEastAsia"/>
          <w:b w:val="0"/>
          <w:bCs w:val="0"/>
          <w:lang w:eastAsia="ja-JP"/>
        </w:rPr>
      </w:pPr>
      <w:r>
        <w:rPr>
          <w:rFonts w:ascii="Times New Roman" w:hAnsi="Times New Roman" w:eastAsiaTheme="minorEastAsia"/>
          <w:b w:val="0"/>
          <w:bCs w:val="0"/>
          <w:lang w:eastAsia="ja-JP"/>
        </w:rPr>
        <w:t>Note: The term ‘user</w:t>
      </w:r>
      <w:r>
        <w:rPr>
          <w:rFonts w:hint="eastAsia" w:ascii="Times New Roman" w:hAnsi="Times New Roman" w:eastAsiaTheme="minorEastAsia"/>
          <w:b w:val="0"/>
          <w:bCs w:val="0"/>
          <w:lang w:eastAsia="ja-JP"/>
        </w:rPr>
        <w:t xml:space="preserve"> consent</w:t>
      </w:r>
      <w:r>
        <w:rPr>
          <w:rFonts w:ascii="Times New Roman" w:hAnsi="Times New Roman" w:eastAsiaTheme="minorEastAsia"/>
          <w:b w:val="0"/>
          <w:bCs w:val="0"/>
          <w:lang w:eastAsia="ja-JP"/>
        </w:rPr>
        <w:t>’ may be further modified depending on SA discussion/outcome</w:t>
      </w:r>
      <w:r>
        <w:rPr>
          <w:rFonts w:hint="eastAsia" w:ascii="Times New Roman" w:hAnsi="Times New Roman" w:eastAsiaTheme="minorEastAsia"/>
          <w:b w:val="0"/>
          <w:bCs w:val="0"/>
          <w:lang w:eastAsia="ja-JP"/>
        </w:rPr>
        <w:t>.</w:t>
      </w:r>
    </w:p>
    <w:p w14:paraId="00399ABD">
      <w:pPr>
        <w:pStyle w:val="87"/>
        <w:numPr>
          <w:ilvl w:val="0"/>
          <w:numId w:val="7"/>
        </w:numPr>
        <w:overflowPunct w:val="0"/>
        <w:autoSpaceDE w:val="0"/>
        <w:autoSpaceDN w:val="0"/>
        <w:adjustRightInd w:val="0"/>
        <w:spacing w:after="180"/>
        <w:ind w:left="440" w:leftChars="0" w:hanging="440" w:firstLineChars="0"/>
        <w:jc w:val="left"/>
        <w:textAlignment w:val="baseline"/>
        <w:rPr>
          <w:rFonts w:ascii="Times New Roman" w:hAnsi="Times New Roman" w:eastAsiaTheme="minorEastAsia"/>
          <w:b w:val="0"/>
          <w:bCs w:val="0"/>
          <w:lang w:eastAsia="ja-JP"/>
        </w:rPr>
      </w:pPr>
      <w:r>
        <w:rPr>
          <w:rFonts w:ascii="Times New Roman" w:hAnsi="Times New Roman" w:eastAsiaTheme="minorEastAsia"/>
          <w:b w:val="0"/>
          <w:bCs w:val="0"/>
          <w:lang w:eastAsia="ja-JP"/>
        </w:rPr>
        <w:t>The design of the 6G RAN architecture shall enable lower energy consumption with respect to current networks to achieve sustainability.</w:t>
      </w:r>
    </w:p>
    <w:p w14:paraId="3CF1F870">
      <w:pPr>
        <w:pStyle w:val="87"/>
        <w:numPr>
          <w:ilvl w:val="0"/>
          <w:numId w:val="7"/>
        </w:numPr>
        <w:overflowPunct w:val="0"/>
        <w:autoSpaceDE w:val="0"/>
        <w:autoSpaceDN w:val="0"/>
        <w:adjustRightInd w:val="0"/>
        <w:spacing w:after="180"/>
        <w:ind w:left="440" w:leftChars="0" w:hanging="440" w:firstLineChars="0"/>
        <w:jc w:val="left"/>
        <w:textAlignment w:val="baseline"/>
        <w:rPr>
          <w:rFonts w:ascii="Times New Roman" w:hAnsi="Times New Roman" w:eastAsiaTheme="minorEastAsia"/>
          <w:b w:val="0"/>
          <w:bCs w:val="0"/>
          <w:lang w:eastAsia="ja-JP"/>
        </w:rPr>
      </w:pPr>
      <w:bookmarkStart w:id="1" w:name="_Hlk216326030"/>
      <w:r>
        <w:rPr>
          <w:rFonts w:ascii="Times New Roman" w:hAnsi="Times New Roman" w:eastAsiaTheme="minorEastAsia"/>
          <w:b w:val="0"/>
          <w:bCs w:val="0"/>
          <w:lang w:eastAsia="ja-JP"/>
        </w:rPr>
        <w:t xml:space="preserve">The 6G RAN shall </w:t>
      </w:r>
      <w:r>
        <w:rPr>
          <w:rFonts w:hint="eastAsia" w:ascii="Times New Roman" w:hAnsi="Times New Roman" w:eastAsiaTheme="minorEastAsia"/>
          <w:b w:val="0"/>
          <w:bCs w:val="0"/>
          <w:lang w:eastAsia="ja-JP"/>
        </w:rPr>
        <w:t xml:space="preserve">at least </w:t>
      </w:r>
      <w:r>
        <w:rPr>
          <w:rFonts w:ascii="Times New Roman" w:hAnsi="Times New Roman" w:eastAsiaTheme="minorEastAsia"/>
          <w:b w:val="0"/>
          <w:bCs w:val="0"/>
          <w:lang w:eastAsia="ja-JP"/>
        </w:rPr>
        <w:t>support idle mode inter-RAT mobility between the 6GR and E-UTRA</w:t>
      </w:r>
      <w:r>
        <w:rPr>
          <w:rFonts w:hint="eastAsia" w:ascii="Times New Roman" w:hAnsi="Times New Roman" w:eastAsiaTheme="minorEastAsia"/>
          <w:b w:val="0"/>
          <w:bCs w:val="0"/>
          <w:lang w:eastAsia="ja-JP"/>
        </w:rPr>
        <w:t>N.</w:t>
      </w:r>
    </w:p>
    <w:bookmarkEnd w:id="1"/>
    <w:p w14:paraId="3E462160">
      <w:pPr>
        <w:pStyle w:val="87"/>
        <w:numPr>
          <w:ilvl w:val="0"/>
          <w:numId w:val="7"/>
        </w:numPr>
        <w:overflowPunct w:val="0"/>
        <w:autoSpaceDE w:val="0"/>
        <w:autoSpaceDN w:val="0"/>
        <w:adjustRightInd w:val="0"/>
        <w:spacing w:after="180"/>
        <w:ind w:left="440" w:leftChars="0" w:hanging="440" w:firstLineChars="0"/>
        <w:jc w:val="left"/>
        <w:textAlignment w:val="baseline"/>
        <w:rPr>
          <w:rFonts w:ascii="Times New Roman" w:hAnsi="Times New Roman" w:eastAsiaTheme="minorEastAsia"/>
          <w:b w:val="0"/>
          <w:bCs w:val="0"/>
          <w:lang w:eastAsia="ja-JP"/>
        </w:rPr>
      </w:pPr>
      <w:r>
        <w:rPr>
          <w:rFonts w:ascii="Times New Roman" w:hAnsi="Times New Roman" w:eastAsiaTheme="minorEastAsia"/>
          <w:b w:val="0"/>
          <w:bCs w:val="0"/>
          <w:lang w:eastAsia="ja-JP"/>
        </w:rPr>
        <w:t>The 6GR shall support coexistence with NB-IoT (all deployment modes) and eMTC via semi-static configuration.</w:t>
      </w:r>
    </w:p>
    <w:p w14:paraId="79C6352B">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eastAsiaTheme="minorEastAsia"/>
          <w:b w:val="0"/>
          <w:bCs w:val="0"/>
          <w:lang w:eastAsia="ja-JP"/>
        </w:rPr>
      </w:pPr>
      <w:r>
        <w:rPr>
          <w:rFonts w:hint="eastAsia" w:ascii="Times New Roman" w:hAnsi="Times New Roman" w:eastAsiaTheme="minorEastAsia"/>
          <w:b w:val="0"/>
          <w:bCs w:val="0"/>
          <w:lang w:eastAsia="ja-JP"/>
        </w:rPr>
        <w:t xml:space="preserve">This text is moved to 5.2 and remove </w:t>
      </w:r>
      <w:r>
        <w:rPr>
          <w:rFonts w:ascii="Times New Roman" w:hAnsi="Times New Roman" w:eastAsiaTheme="minorEastAsia"/>
          <w:b w:val="0"/>
          <w:bCs w:val="0"/>
          <w:lang w:eastAsia="ja-JP"/>
        </w:rPr>
        <w:t>existing</w:t>
      </w:r>
      <w:r>
        <w:rPr>
          <w:rFonts w:hint="eastAsia" w:ascii="Times New Roman" w:hAnsi="Times New Roman" w:eastAsiaTheme="minorEastAsia"/>
          <w:b w:val="0"/>
          <w:bCs w:val="0"/>
          <w:lang w:eastAsia="ja-JP"/>
        </w:rPr>
        <w:t xml:space="preserve"> editor</w:t>
      </w:r>
      <w:r>
        <w:rPr>
          <w:rFonts w:ascii="Times New Roman" w:hAnsi="Times New Roman" w:eastAsiaTheme="minorEastAsia"/>
          <w:b w:val="0"/>
          <w:bCs w:val="0"/>
          <w:lang w:eastAsia="ja-JP"/>
        </w:rPr>
        <w:t>’</w:t>
      </w:r>
      <w:r>
        <w:rPr>
          <w:rFonts w:hint="eastAsia" w:ascii="Times New Roman" w:hAnsi="Times New Roman" w:eastAsiaTheme="minorEastAsia"/>
          <w:b w:val="0"/>
          <w:bCs w:val="0"/>
          <w:lang w:eastAsia="ja-JP"/>
        </w:rPr>
        <w:t>s note</w:t>
      </w:r>
    </w:p>
    <w:p w14:paraId="29D4A7DF">
      <w:pPr>
        <w:pStyle w:val="87"/>
        <w:numPr>
          <w:ilvl w:val="0"/>
          <w:numId w:val="7"/>
        </w:numPr>
        <w:overflowPunct w:val="0"/>
        <w:autoSpaceDE w:val="0"/>
        <w:autoSpaceDN w:val="0"/>
        <w:adjustRightInd w:val="0"/>
        <w:spacing w:after="180"/>
        <w:ind w:left="440" w:leftChars="0" w:hanging="440" w:firstLineChars="0"/>
        <w:jc w:val="left"/>
        <w:textAlignment w:val="baseline"/>
        <w:rPr>
          <w:rFonts w:ascii="Times New Roman" w:hAnsi="Times New Roman" w:eastAsiaTheme="minorEastAsia"/>
          <w:b w:val="0"/>
          <w:bCs w:val="0"/>
          <w:lang w:eastAsia="ja-JP"/>
        </w:rPr>
      </w:pPr>
      <w:r>
        <w:rPr>
          <w:rFonts w:ascii="Times New Roman" w:hAnsi="Times New Roman" w:eastAsiaTheme="minorEastAsia"/>
          <w:b w:val="0"/>
          <w:bCs w:val="0"/>
          <w:lang w:eastAsia="ja-JP"/>
        </w:rPr>
        <w:t>The 6G R</w:t>
      </w:r>
      <w:r>
        <w:rPr>
          <w:rFonts w:hint="eastAsia" w:ascii="Times New Roman" w:hAnsi="Times New Roman" w:eastAsiaTheme="minorEastAsia"/>
          <w:b w:val="0"/>
          <w:bCs w:val="0"/>
          <w:lang w:eastAsia="ja-JP"/>
        </w:rPr>
        <w:t>AN</w:t>
      </w:r>
      <w:r>
        <w:rPr>
          <w:rFonts w:ascii="Times New Roman" w:hAnsi="Times New Roman" w:eastAsiaTheme="minorEastAsia"/>
          <w:b w:val="0"/>
          <w:bCs w:val="0"/>
          <w:lang w:eastAsia="ja-JP"/>
        </w:rPr>
        <w:t xml:space="preserve"> shall support </w:t>
      </w:r>
      <w:r>
        <w:rPr>
          <w:rFonts w:hint="eastAsia" w:ascii="Times New Roman" w:hAnsi="Times New Roman" w:eastAsiaTheme="minorEastAsia"/>
          <w:b w:val="0"/>
          <w:bCs w:val="0"/>
          <w:lang w:eastAsia="ja-JP"/>
        </w:rPr>
        <w:t xml:space="preserve">network </w:t>
      </w:r>
      <w:r>
        <w:rPr>
          <w:rFonts w:ascii="Times New Roman" w:hAnsi="Times New Roman" w:eastAsiaTheme="minorEastAsia"/>
          <w:b w:val="0"/>
          <w:bCs w:val="0"/>
          <w:lang w:eastAsia="ja-JP"/>
        </w:rPr>
        <w:t>performance</w:t>
      </w:r>
      <w:r>
        <w:rPr>
          <w:rFonts w:hint="eastAsia" w:ascii="Times New Roman" w:hAnsi="Times New Roman" w:eastAsiaTheme="minorEastAsia"/>
          <w:b w:val="0"/>
          <w:bCs w:val="0"/>
          <w:lang w:eastAsia="ja-JP"/>
        </w:rPr>
        <w:t xml:space="preserve"> </w:t>
      </w:r>
      <w:r>
        <w:rPr>
          <w:rFonts w:ascii="Times New Roman" w:hAnsi="Times New Roman" w:eastAsiaTheme="minorEastAsia"/>
          <w:b w:val="0"/>
          <w:bCs w:val="0"/>
          <w:lang w:eastAsia="ja-JP"/>
        </w:rPr>
        <w:t>monitoring</w:t>
      </w:r>
      <w:r>
        <w:rPr>
          <w:rFonts w:hint="eastAsia" w:ascii="Times New Roman" w:hAnsi="Times New Roman" w:eastAsiaTheme="minorEastAsia"/>
          <w:b w:val="0"/>
          <w:bCs w:val="0"/>
          <w:lang w:eastAsia="ja-JP"/>
        </w:rPr>
        <w:t>.</w:t>
      </w:r>
    </w:p>
    <w:p w14:paraId="056129B3">
      <w:pPr>
        <w:rPr>
          <w:rFonts w:eastAsiaTheme="minorEastAsia"/>
          <w:bCs/>
          <w:highlight w:val="yellow"/>
          <w:lang w:val="en-US" w:eastAsia="zh-CN"/>
        </w:rPr>
      </w:pPr>
    </w:p>
    <w:p w14:paraId="18321DCC">
      <w:pPr>
        <w:rPr>
          <w:rFonts w:hint="default" w:eastAsiaTheme="minorEastAsia"/>
          <w:highlight w:val="none"/>
          <w:lang w:val="en-US" w:eastAsia="zh-CN"/>
        </w:rPr>
      </w:pPr>
      <w:r>
        <w:rPr>
          <w:rFonts w:hint="eastAsia" w:eastAsiaTheme="minorEastAsia"/>
          <w:b/>
          <w:sz w:val="22"/>
          <w:szCs w:val="16"/>
          <w:highlight w:val="none"/>
          <w:u w:val="single"/>
          <w:lang w:eastAsia="zh-CN"/>
        </w:rPr>
        <w:t xml:space="preserve">For </w:t>
      </w:r>
      <w:r>
        <w:rPr>
          <w:rFonts w:hint="eastAsia" w:eastAsiaTheme="minorEastAsia"/>
          <w:b/>
          <w:sz w:val="22"/>
          <w:szCs w:val="16"/>
          <w:highlight w:val="none"/>
          <w:u w:val="single"/>
          <w:lang w:val="en-US" w:eastAsia="zh-CN"/>
        </w:rPr>
        <w:t>operational requirements</w:t>
      </w:r>
    </w:p>
    <w:p w14:paraId="21D32BA7">
      <w:pPr>
        <w:rPr>
          <w:rFonts w:hint="eastAsia" w:eastAsiaTheme="minorEastAsia"/>
          <w:highlight w:val="none"/>
          <w:lang w:val="en-US" w:eastAsia="zh-CN"/>
        </w:rPr>
      </w:pPr>
      <w:r>
        <w:rPr>
          <w:rFonts w:hint="eastAsia" w:eastAsiaTheme="minorEastAsia"/>
          <w:highlight w:val="none"/>
          <w:lang w:val="en-US" w:eastAsia="zh-CN"/>
        </w:rPr>
        <w:t>pCR to TR 38.914 for Spectrum is approved in RP-253754.</w:t>
      </w:r>
    </w:p>
    <w:p w14:paraId="2853144E">
      <w:pPr>
        <w:rPr>
          <w:rFonts w:hint="default" w:eastAsiaTheme="minorEastAsia"/>
          <w:highlight w:val="none"/>
          <w:lang w:val="en-US" w:eastAsia="zh-CN"/>
        </w:rPr>
      </w:pPr>
      <w:r>
        <w:rPr>
          <w:rFonts w:hint="eastAsia" w:eastAsiaTheme="minorEastAsia"/>
          <w:highlight w:val="none"/>
          <w:lang w:val="en-US" w:eastAsia="zh-CN"/>
        </w:rPr>
        <w:t>pCR to TR 38.914 for other operational requirements is approved in RP-253756.</w:t>
      </w:r>
    </w:p>
    <w:p w14:paraId="02C5FD30">
      <w:pPr>
        <w:rPr>
          <w:rFonts w:hint="eastAsia" w:ascii="Times New Roman" w:hAnsi="Times New Roman" w:cs="Times New Roman" w:eastAsiaTheme="minorEastAsia"/>
          <w:b/>
          <w:bCs/>
          <w:highlight w:val="none"/>
          <w:lang w:val="en-US" w:eastAsia="zh-CN"/>
        </w:rPr>
      </w:pPr>
      <w:r>
        <w:rPr>
          <w:rFonts w:hint="eastAsia" w:ascii="Times New Roman" w:hAnsi="Times New Roman" w:cs="Times New Roman" w:eastAsiaTheme="minorEastAsia"/>
          <w:b/>
          <w:bCs/>
          <w:highlight w:val="none"/>
          <w:lang w:eastAsia="ja-JP"/>
        </w:rPr>
        <w:t>Agreements</w:t>
      </w:r>
      <w:r>
        <w:rPr>
          <w:rFonts w:hint="eastAsia" w:ascii="Times New Roman" w:hAnsi="Times New Roman" w:cs="Times New Roman" w:eastAsiaTheme="minorEastAsia"/>
          <w:b/>
          <w:bCs/>
          <w:highlight w:val="none"/>
          <w:lang w:val="en-US" w:eastAsia="zh-CN"/>
        </w:rPr>
        <w:t>:</w:t>
      </w:r>
    </w:p>
    <w:p w14:paraId="0B4D7B59">
      <w:pPr>
        <w:numPr>
          <w:ilvl w:val="0"/>
          <w:numId w:val="9"/>
        </w:numPr>
        <w:ind w:left="420" w:leftChars="0" w:hanging="420" w:firstLineChars="0"/>
        <w:rPr>
          <w:rFonts w:hint="eastAsia" w:ascii="Times New Roman" w:hAnsi="Times New Roman" w:cs="Times New Roman" w:eastAsiaTheme="minorEastAsia"/>
          <w:b/>
          <w:bCs/>
          <w:highlight w:val="none"/>
          <w:lang w:eastAsia="ja-JP"/>
        </w:rPr>
      </w:pPr>
      <w:r>
        <w:rPr>
          <w:rFonts w:hint="eastAsia" w:eastAsiaTheme="minorEastAsia"/>
          <w:b/>
          <w:bCs/>
          <w:i/>
          <w:iCs/>
          <w:highlight w:val="none"/>
          <w:u w:val="single"/>
          <w:lang w:val="en-US" w:eastAsia="zh-CN"/>
        </w:rPr>
        <w:t>Spectrum</w:t>
      </w:r>
    </w:p>
    <w:p w14:paraId="2B2183F0">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cs="Times New Roman" w:eastAsiaTheme="minorEastAsia"/>
          <w:b w:val="0"/>
          <w:bCs w:val="0"/>
          <w:lang w:eastAsia="zh-CN"/>
        </w:rPr>
      </w:pPr>
      <w:r>
        <w:rPr>
          <w:rFonts w:ascii="Times New Roman" w:hAnsi="Times New Roman" w:cs="Times New Roman" w:eastAsiaTheme="minorEastAsia"/>
          <w:b w:val="0"/>
          <w:bCs w:val="0"/>
          <w:lang w:eastAsia="zh-CN"/>
        </w:rPr>
        <w:t>6G</w:t>
      </w:r>
      <w:r>
        <w:rPr>
          <w:rFonts w:hint="eastAsia" w:ascii="Times New Roman" w:hAnsi="Times New Roman" w:cs="Times New Roman" w:eastAsiaTheme="minorEastAsia"/>
          <w:b w:val="0"/>
          <w:bCs w:val="0"/>
          <w:lang w:eastAsia="zh-CN"/>
        </w:rPr>
        <w:t>R</w:t>
      </w:r>
      <w:r>
        <w:rPr>
          <w:rFonts w:ascii="Times New Roman" w:hAnsi="Times New Roman" w:cs="Times New Roman" w:eastAsiaTheme="minorEastAsia"/>
          <w:b w:val="0"/>
          <w:bCs w:val="0"/>
          <w:lang w:eastAsia="zh-CN"/>
        </w:rPr>
        <w:t xml:space="preserve"> </w:t>
      </w:r>
      <w:r>
        <w:rPr>
          <w:rFonts w:hint="eastAsia" w:ascii="Times New Roman" w:hAnsi="Times New Roman" w:cs="Times New Roman" w:eastAsiaTheme="minorEastAsia"/>
          <w:b w:val="0"/>
          <w:bCs w:val="0"/>
          <w:lang w:eastAsia="zh-CN"/>
        </w:rPr>
        <w:t xml:space="preserve">aims </w:t>
      </w:r>
      <w:r>
        <w:rPr>
          <w:rFonts w:ascii="Times New Roman" w:hAnsi="Times New Roman" w:cs="Times New Roman" w:eastAsiaTheme="minorEastAsia"/>
          <w:b w:val="0"/>
          <w:bCs w:val="0"/>
          <w:lang w:eastAsia="zh-CN"/>
        </w:rPr>
        <w:t>to support spectrum allocation scalability, including the fragmented</w:t>
      </w:r>
      <w:r>
        <w:rPr>
          <w:rFonts w:hint="eastAsia" w:ascii="Times New Roman" w:hAnsi="Times New Roman" w:cs="Times New Roman" w:eastAsiaTheme="minorEastAsia"/>
          <w:b w:val="0"/>
          <w:bCs w:val="0"/>
          <w:lang w:eastAsia="zh-CN"/>
        </w:rPr>
        <w:t>, irregular</w:t>
      </w:r>
      <w:r>
        <w:rPr>
          <w:rFonts w:ascii="Times New Roman" w:hAnsi="Times New Roman" w:cs="Times New Roman" w:eastAsiaTheme="minorEastAsia"/>
          <w:b w:val="0"/>
          <w:bCs w:val="0"/>
          <w:lang w:eastAsia="zh-CN"/>
        </w:rPr>
        <w:t xml:space="preserve"> spectrum allocations. </w:t>
      </w:r>
    </w:p>
    <w:p w14:paraId="3FCF61BC">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cs="Times New Roman" w:eastAsiaTheme="minorEastAsia"/>
          <w:b w:val="0"/>
          <w:bCs w:val="0"/>
          <w:lang w:eastAsia="zh-CN"/>
        </w:rPr>
      </w:pPr>
      <w:r>
        <w:rPr>
          <w:rFonts w:ascii="Times New Roman" w:hAnsi="Times New Roman" w:cs="Times New Roman" w:eastAsiaTheme="minorEastAsia"/>
          <w:b w:val="0"/>
          <w:bCs w:val="0"/>
          <w:lang w:eastAsia="zh-CN"/>
        </w:rPr>
        <w:t>6GR aims to support UEs with different BW capability in the same spectrum and in the same base station.</w:t>
      </w:r>
    </w:p>
    <w:p w14:paraId="11CBF586">
      <w:pPr>
        <w:pStyle w:val="87"/>
        <w:numPr>
          <w:ilvl w:val="1"/>
          <w:numId w:val="7"/>
        </w:numPr>
        <w:overflowPunct w:val="0"/>
        <w:autoSpaceDE w:val="0"/>
        <w:autoSpaceDN w:val="0"/>
        <w:adjustRightInd w:val="0"/>
        <w:spacing w:after="180"/>
        <w:ind w:left="880" w:leftChars="0" w:hanging="440" w:firstLineChars="0"/>
        <w:jc w:val="left"/>
        <w:textAlignment w:val="baseline"/>
        <w:rPr>
          <w:rFonts w:ascii="Times New Roman" w:hAnsi="Times New Roman" w:cs="Times New Roman" w:eastAsiaTheme="minorEastAsia"/>
          <w:b w:val="0"/>
          <w:bCs w:val="0"/>
          <w:lang w:eastAsia="zh-CN"/>
        </w:rPr>
      </w:pPr>
      <w:r>
        <w:rPr>
          <w:rFonts w:ascii="Times New Roman" w:hAnsi="Times New Roman" w:cs="Times New Roman" w:eastAsiaTheme="minorEastAsia"/>
          <w:b w:val="0"/>
          <w:bCs w:val="0"/>
          <w:lang w:eastAsia="zh-CN"/>
        </w:rPr>
        <w:t>6GR shall support the allocated frequency ranges between [410MHz] and 52.6GHz for TN</w:t>
      </w:r>
    </w:p>
    <w:p w14:paraId="5896D30B">
      <w:pPr>
        <w:pStyle w:val="87"/>
        <w:numPr>
          <w:ilvl w:val="2"/>
          <w:numId w:val="7"/>
        </w:numPr>
        <w:overflowPunct w:val="0"/>
        <w:autoSpaceDE w:val="0"/>
        <w:autoSpaceDN w:val="0"/>
        <w:adjustRightInd w:val="0"/>
        <w:spacing w:after="180"/>
        <w:ind w:left="1320" w:leftChars="0" w:hanging="440" w:firstLineChars="0"/>
        <w:jc w:val="left"/>
        <w:textAlignment w:val="baseline"/>
        <w:rPr>
          <w:rFonts w:ascii="Times New Roman" w:hAnsi="Times New Roman" w:cs="Times New Roman" w:eastAsiaTheme="minorEastAsia"/>
          <w:b w:val="0"/>
          <w:bCs w:val="0"/>
          <w:lang w:eastAsia="zh-CN"/>
        </w:rPr>
      </w:pPr>
      <w:r>
        <w:rPr>
          <w:rFonts w:ascii="Times New Roman" w:hAnsi="Times New Roman" w:cs="Times New Roman" w:eastAsiaTheme="minorEastAsia"/>
          <w:b w:val="0"/>
          <w:bCs w:val="0"/>
          <w:lang w:eastAsia="zh-CN"/>
        </w:rPr>
        <w:t xml:space="preserve">RAN4 is tasked to study how to </w:t>
      </w:r>
      <w:r>
        <w:rPr>
          <w:rFonts w:hint="eastAsia" w:ascii="Times New Roman" w:hAnsi="Times New Roman" w:cs="Times New Roman" w:eastAsiaTheme="minorEastAsia"/>
          <w:b w:val="0"/>
          <w:bCs w:val="0"/>
          <w:lang w:eastAsia="zh-CN"/>
        </w:rPr>
        <w:t>defin</w:t>
      </w:r>
      <w:r>
        <w:rPr>
          <w:rFonts w:ascii="Times New Roman" w:hAnsi="Times New Roman" w:cs="Times New Roman" w:eastAsiaTheme="minorEastAsia"/>
          <w:b w:val="0"/>
          <w:bCs w:val="0"/>
          <w:lang w:eastAsia="zh-CN"/>
        </w:rPr>
        <w:t>e the 6G operational bands and frequency ranges</w:t>
      </w:r>
    </w:p>
    <w:p w14:paraId="2D2B4422">
      <w:pPr>
        <w:pStyle w:val="87"/>
        <w:numPr>
          <w:ilvl w:val="2"/>
          <w:numId w:val="7"/>
        </w:numPr>
        <w:overflowPunct w:val="0"/>
        <w:autoSpaceDE w:val="0"/>
        <w:autoSpaceDN w:val="0"/>
        <w:adjustRightInd w:val="0"/>
        <w:spacing w:after="180"/>
        <w:ind w:left="1320" w:leftChars="0" w:hanging="440" w:firstLineChars="0"/>
        <w:jc w:val="left"/>
        <w:textAlignment w:val="baseline"/>
        <w:rPr>
          <w:rFonts w:ascii="Times New Roman" w:hAnsi="Times New Roman" w:cs="Times New Roman" w:eastAsiaTheme="minorEastAsia"/>
          <w:b w:val="0"/>
          <w:bCs w:val="0"/>
          <w:lang w:eastAsia="zh-CN"/>
        </w:rPr>
      </w:pPr>
      <w:r>
        <w:rPr>
          <w:rFonts w:ascii="Times New Roman" w:hAnsi="Times New Roman" w:cs="Times New Roman" w:eastAsiaTheme="minorEastAsia"/>
          <w:b w:val="0"/>
          <w:bCs w:val="0"/>
          <w:lang w:eastAsia="zh-CN"/>
        </w:rPr>
        <w:t>The supported frequency ranges include existing NR TN operating bands</w:t>
      </w:r>
    </w:p>
    <w:p w14:paraId="6FE19ED8">
      <w:pPr>
        <w:pStyle w:val="87"/>
        <w:numPr>
          <w:ilvl w:val="2"/>
          <w:numId w:val="7"/>
        </w:numPr>
        <w:overflowPunct w:val="0"/>
        <w:autoSpaceDE w:val="0"/>
        <w:autoSpaceDN w:val="0"/>
        <w:adjustRightInd w:val="0"/>
        <w:spacing w:after="180"/>
        <w:ind w:left="1320" w:leftChars="0" w:hanging="440" w:firstLineChars="0"/>
        <w:jc w:val="left"/>
        <w:textAlignment w:val="baseline"/>
        <w:rPr>
          <w:rFonts w:ascii="Times New Roman" w:hAnsi="Times New Roman" w:cs="Times New Roman" w:eastAsiaTheme="minorEastAsia"/>
          <w:b w:val="0"/>
          <w:bCs w:val="0"/>
          <w:lang w:eastAsia="zh-CN"/>
        </w:rPr>
      </w:pPr>
      <w:r>
        <w:rPr>
          <w:rFonts w:ascii="Times New Roman" w:hAnsi="Times New Roman" w:cs="Times New Roman" w:eastAsiaTheme="minorEastAsia"/>
          <w:b w:val="0"/>
          <w:bCs w:val="0"/>
          <w:lang w:eastAsia="zh-CN"/>
        </w:rPr>
        <w:t>The lower bound of the considered frequency ranges can be revisited based on operators’ input</w:t>
      </w:r>
    </w:p>
    <w:p w14:paraId="4809005A">
      <w:pPr>
        <w:numPr>
          <w:ilvl w:val="0"/>
          <w:numId w:val="9"/>
        </w:numPr>
        <w:ind w:left="420" w:leftChars="0" w:hanging="420" w:firstLineChars="0"/>
        <w:rPr>
          <w:rFonts w:eastAsia="Batang"/>
          <w:kern w:val="0"/>
          <w:sz w:val="20"/>
          <w:szCs w:val="20"/>
          <w:lang w:val="en-US" w:eastAsia="zh-CN"/>
          <w14:ligatures w14:val="none"/>
        </w:rPr>
      </w:pPr>
      <w:r>
        <w:rPr>
          <w:rFonts w:hint="eastAsia" w:ascii="Times New Roman" w:hAnsi="Times New Roman" w:cs="Times New Roman" w:eastAsiaTheme="minorEastAsia"/>
          <w:b/>
          <w:bCs/>
          <w:i/>
          <w:iCs/>
          <w:highlight w:val="none"/>
          <w:u w:val="single"/>
          <w:lang w:val="en-US" w:eastAsia="zh-CN"/>
        </w:rPr>
        <w:t>Diverse Device Type</w:t>
      </w:r>
    </w:p>
    <w:p w14:paraId="11CF05B3">
      <w:pPr>
        <w:overflowPunct/>
        <w:autoSpaceDE/>
        <w:autoSpaceDN/>
        <w:adjustRightInd/>
        <w:spacing w:after="0" w:line="252" w:lineRule="auto"/>
        <w:contextualSpacing/>
        <w:jc w:val="both"/>
        <w:textAlignment w:val="auto"/>
        <w:rPr>
          <w:rFonts w:ascii="Times New Roman" w:hAnsi="Times New Roman" w:eastAsia="Batang" w:cs="Times New Roman"/>
          <w:b w:val="0"/>
          <w:bCs w:val="0"/>
          <w:kern w:val="0"/>
          <w:sz w:val="20"/>
          <w:szCs w:val="20"/>
          <w:u w:val="none"/>
          <w:lang w:val="en-US" w:eastAsia="zh-CN"/>
          <w14:ligatures w14:val="none"/>
        </w:rPr>
      </w:pPr>
      <w:r>
        <w:rPr>
          <w:rFonts w:ascii="Times New Roman" w:hAnsi="Times New Roman" w:eastAsia="Batang" w:cs="Times New Roman"/>
          <w:b w:val="0"/>
          <w:bCs w:val="0"/>
          <w:kern w:val="0"/>
          <w:sz w:val="20"/>
          <w:szCs w:val="20"/>
          <w:u w:val="none"/>
          <w:lang w:val="en-US" w:eastAsia="zh-CN"/>
          <w14:ligatures w14:val="none"/>
        </w:rPr>
        <w:t>Proposal 1:</w:t>
      </w:r>
      <w:r>
        <w:rPr>
          <w:rFonts w:ascii="Times New Roman" w:hAnsi="Times New Roman" w:eastAsia="Batang" w:cs="Times New Roman"/>
          <w:b w:val="0"/>
          <w:bCs w:val="0"/>
          <w:kern w:val="0"/>
          <w:sz w:val="20"/>
          <w:szCs w:val="20"/>
          <w:u w:val="none"/>
          <w:lang w:val="en-US" w:eastAsia="zh-CN"/>
          <w14:ligatures w14:val="none"/>
        </w:rPr>
        <w:t xml:space="preserve"> </w:t>
      </w:r>
    </w:p>
    <w:p w14:paraId="5E3337E5">
      <w:pPr>
        <w:numPr>
          <w:ilvl w:val="0"/>
          <w:numId w:val="10"/>
        </w:numPr>
        <w:spacing w:after="0" w:line="252" w:lineRule="auto"/>
        <w:ind w:left="936" w:hanging="360"/>
        <w:contextualSpacing/>
        <w:jc w:val="both"/>
        <w:rPr>
          <w:rFonts w:ascii="Times New Roman" w:hAnsi="Times New Roman" w:eastAsia="Batang" w:cs="Times New Roman"/>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6GR supports the operation (but not required to be optimized for performance) in a minimum spectrum allocation of 3MHz with a 15kHz SCS</w:t>
      </w:r>
    </w:p>
    <w:p w14:paraId="50B07570">
      <w:pPr>
        <w:overflowPunct/>
        <w:autoSpaceDE/>
        <w:autoSpaceDN/>
        <w:adjustRightInd/>
        <w:spacing w:after="0" w:line="252" w:lineRule="auto"/>
        <w:ind w:left="936"/>
        <w:jc w:val="both"/>
        <w:textAlignment w:val="auto"/>
        <w:rPr>
          <w:rFonts w:ascii="Times New Roman" w:hAnsi="Times New Roman" w:eastAsia="Batang" w:cs="Times New Roman"/>
          <w:kern w:val="0"/>
          <w:sz w:val="20"/>
          <w:szCs w:val="20"/>
          <w:lang w:val="en-US" w:eastAsia="zh-CN"/>
          <w14:ligatures w14:val="none"/>
        </w:rPr>
      </w:pPr>
      <w:r>
        <w:rPr>
          <w:rFonts w:ascii="Times New Roman" w:hAnsi="Times New Roman" w:eastAsia="Batang" w:cs="Times New Roman"/>
          <w:kern w:val="0"/>
          <w:sz w:val="20"/>
          <w:szCs w:val="20"/>
          <w:lang w:val="en-US" w:eastAsia="zh-CN"/>
          <w14:ligatures w14:val="none"/>
        </w:rPr>
        <w:t xml:space="preserve">Note: the following agreement made in RAN1#123 still holds, with the clarification that the bandwidth in Opt 1 below is assumed to be at least 5MHz with a 15kHz SCS. </w:t>
      </w:r>
    </w:p>
    <w:p w14:paraId="1954A280">
      <w:pPr>
        <w:overflowPunct/>
        <w:autoSpaceDE/>
        <w:autoSpaceDN/>
        <w:adjustRightInd/>
        <w:spacing w:after="0" w:line="252" w:lineRule="auto"/>
        <w:ind w:left="936"/>
        <w:jc w:val="both"/>
        <w:textAlignment w:val="auto"/>
        <w:rPr>
          <w:rFonts w:ascii="Times New Roman" w:hAnsi="Times New Roman" w:eastAsia="Batang" w:cs="Times New Roman"/>
          <w:kern w:val="0"/>
          <w:sz w:val="20"/>
          <w:szCs w:val="20"/>
          <w:lang w:val="en-US" w:eastAsia="zh-CN"/>
          <w14:ligatures w14:val="none"/>
        </w:rPr>
      </w:pPr>
    </w:p>
    <w:p w14:paraId="3A2D069C">
      <w:pPr>
        <w:overflowPunct/>
        <w:autoSpaceDE/>
        <w:autoSpaceDN/>
        <w:adjustRightInd/>
        <w:spacing w:after="0" w:line="240" w:lineRule="auto"/>
        <w:ind w:left="1440"/>
        <w:textAlignment w:val="auto"/>
        <w:rPr>
          <w:rFonts w:ascii="Times New Roman" w:hAnsi="Times New Roman" w:eastAsia="Times New Roman" w:cs="Times New Roman"/>
          <w:i/>
          <w:iCs/>
          <w:kern w:val="0"/>
          <w:sz w:val="20"/>
          <w:szCs w:val="20"/>
          <w:lang w:val="en-US" w:eastAsia="zh-CN"/>
          <w14:ligatures w14:val="none"/>
        </w:rPr>
      </w:pPr>
      <w:r>
        <w:rPr>
          <w:rFonts w:ascii="Times New Roman" w:hAnsi="Times New Roman" w:eastAsia="Times New Roman" w:cs="Times New Roman"/>
          <w:i/>
          <w:iCs/>
          <w:kern w:val="0"/>
          <w:sz w:val="20"/>
          <w:szCs w:val="20"/>
          <w:highlight w:val="green"/>
          <w:lang w:val="en-US" w:eastAsia="zh-CN"/>
          <w14:ligatures w14:val="none"/>
        </w:rPr>
        <w:t>Agreement</w:t>
      </w:r>
    </w:p>
    <w:p w14:paraId="6672605A">
      <w:pPr>
        <w:overflowPunct/>
        <w:autoSpaceDE/>
        <w:autoSpaceDN/>
        <w:adjustRightInd/>
        <w:spacing w:after="0" w:line="240" w:lineRule="auto"/>
        <w:ind w:left="1440"/>
        <w:textAlignment w:val="auto"/>
        <w:rPr>
          <w:rFonts w:ascii="Times New Roman" w:hAnsi="Times New Roman" w:eastAsia="等线" w:cs="Times New Roman"/>
          <w:i/>
          <w:iCs/>
          <w:kern w:val="0"/>
          <w:sz w:val="20"/>
          <w:szCs w:val="20"/>
          <w:lang w:val="en-US" w:eastAsia="zh-CN"/>
          <w14:ligatures w14:val="none"/>
        </w:rPr>
      </w:pPr>
      <w:r>
        <w:rPr>
          <w:rFonts w:ascii="Times New Roman" w:hAnsi="Times New Roman" w:eastAsia="等线" w:cs="Times New Roman"/>
          <w:i/>
          <w:iCs/>
          <w:kern w:val="0"/>
          <w:sz w:val="20"/>
          <w:szCs w:val="20"/>
          <w:lang w:val="en-US" w:eastAsia="zh-CN"/>
          <w14:ligatures w14:val="none"/>
        </w:rPr>
        <w:t>If the minimum</w:t>
      </w:r>
      <w:r>
        <w:rPr>
          <w:rFonts w:ascii="Times New Roman" w:hAnsi="Times New Roman" w:eastAsia="Times New Roman" w:cs="Times New Roman"/>
          <w:i/>
          <w:iCs/>
          <w:kern w:val="0"/>
          <w:sz w:val="20"/>
          <w:szCs w:val="20"/>
          <w:lang w:val="en-US" w:eastAsia="zh-CN"/>
          <w14:ligatures w14:val="none"/>
        </w:rPr>
        <w:t xml:space="preserve"> spectrum allocation</w:t>
      </w:r>
      <w:r>
        <w:rPr>
          <w:rFonts w:ascii="Times New Roman" w:hAnsi="Times New Roman" w:eastAsia="等线" w:cs="Times New Roman"/>
          <w:i/>
          <w:iCs/>
          <w:kern w:val="0"/>
          <w:sz w:val="20"/>
          <w:szCs w:val="20"/>
          <w:lang w:val="en-US" w:eastAsia="zh-CN"/>
          <w14:ligatures w14:val="none"/>
        </w:rPr>
        <w:t xml:space="preserve"> is 3MHz with 15kHz SCS for 6GR,</w:t>
      </w:r>
    </w:p>
    <w:p w14:paraId="0EE893A5">
      <w:pPr>
        <w:numPr>
          <w:ilvl w:val="0"/>
          <w:numId w:val="11"/>
        </w:numPr>
        <w:spacing w:after="0" w:line="240" w:lineRule="auto"/>
        <w:ind w:left="1880"/>
        <w:contextualSpacing w:val="0"/>
        <w:rPr>
          <w:rFonts w:ascii="Times New Roman" w:hAnsi="Times New Roman" w:eastAsia="Times New Roman" w:cs="Times New Roman"/>
          <w:i/>
          <w:iCs/>
          <w:kern w:val="0"/>
          <w:sz w:val="20"/>
          <w:szCs w:val="20"/>
          <w:lang w:val="en-US" w:eastAsia="zh-CN" w:bidi="ar-SA"/>
          <w14:ligatures w14:val="none"/>
        </w:rPr>
      </w:pPr>
      <w:r>
        <w:rPr>
          <w:rFonts w:ascii="Times New Roman" w:hAnsi="Times New Roman" w:eastAsia="Times New Roman" w:cs="Times New Roman"/>
          <w:i/>
          <w:iCs/>
          <w:kern w:val="0"/>
          <w:sz w:val="20"/>
          <w:szCs w:val="20"/>
          <w:lang w:val="en-US" w:eastAsia="zh-CN" w:bidi="ar-SA"/>
          <w14:ligatures w14:val="none"/>
        </w:rPr>
        <w:t>Opt1: Design of the common signals/channels</w:t>
      </w:r>
      <w:r>
        <w:rPr>
          <w:rFonts w:ascii="Times New Roman" w:hAnsi="Times New Roman" w:eastAsia="等线" w:cs="Times New Roman"/>
          <w:i/>
          <w:iCs/>
          <w:kern w:val="0"/>
          <w:sz w:val="20"/>
          <w:szCs w:val="20"/>
          <w:lang w:val="en-US" w:eastAsia="zh-CN" w:bidi="ar-SA"/>
          <w14:ligatures w14:val="none"/>
        </w:rPr>
        <w:t xml:space="preserve"> (at least for SSB)</w:t>
      </w:r>
      <w:r>
        <w:rPr>
          <w:rFonts w:ascii="Times New Roman" w:hAnsi="Times New Roman" w:eastAsia="Times New Roman" w:cs="Times New Roman"/>
          <w:i/>
          <w:iCs/>
          <w:kern w:val="0"/>
          <w:sz w:val="20"/>
          <w:szCs w:val="20"/>
          <w:lang w:val="en-US" w:eastAsia="zh-CN" w:bidi="ar-SA"/>
          <w14:ligatures w14:val="none"/>
        </w:rPr>
        <w:t xml:space="preserve"> for initial access by assuming </w:t>
      </w:r>
      <w:r>
        <w:rPr>
          <w:rFonts w:ascii="Times New Roman" w:hAnsi="Times New Roman" w:eastAsia="等线" w:cs="Times New Roman"/>
          <w:i/>
          <w:iCs/>
          <w:kern w:val="0"/>
          <w:sz w:val="20"/>
          <w:szCs w:val="20"/>
          <w:lang w:val="en-US" w:eastAsia="zh-CN" w:bidi="ar-SA"/>
          <w14:ligatures w14:val="none"/>
        </w:rPr>
        <w:t>bandwidth</w:t>
      </w:r>
      <w:r>
        <w:rPr>
          <w:rFonts w:ascii="Times New Roman" w:hAnsi="Times New Roman" w:eastAsia="Times New Roman" w:cs="Times New Roman"/>
          <w:i/>
          <w:iCs/>
          <w:kern w:val="0"/>
          <w:sz w:val="20"/>
          <w:szCs w:val="20"/>
          <w:lang w:val="en-US" w:eastAsia="zh-CN" w:bidi="ar-SA"/>
          <w14:ligatures w14:val="none"/>
        </w:rPr>
        <w:t xml:space="preserve"> larger than </w:t>
      </w:r>
      <w:r>
        <w:rPr>
          <w:rFonts w:ascii="Times New Roman" w:hAnsi="Times New Roman" w:eastAsia="等线" w:cs="Times New Roman"/>
          <w:i/>
          <w:iCs/>
          <w:kern w:val="0"/>
          <w:sz w:val="20"/>
          <w:szCs w:val="20"/>
          <w:lang w:val="en-US" w:eastAsia="zh-CN" w:bidi="ar-SA"/>
          <w14:ligatures w14:val="none"/>
        </w:rPr>
        <w:t>3MHz</w:t>
      </w:r>
      <w:r>
        <w:rPr>
          <w:rFonts w:ascii="Times New Roman" w:hAnsi="Times New Roman" w:eastAsia="Times New Roman" w:cs="Times New Roman"/>
          <w:i/>
          <w:iCs/>
          <w:kern w:val="0"/>
          <w:sz w:val="20"/>
          <w:szCs w:val="20"/>
          <w:lang w:val="en-US" w:eastAsia="zh-CN" w:bidi="ar-SA"/>
          <w14:ligatures w14:val="none"/>
        </w:rPr>
        <w:t>, which is applicable to any spectrum allocations</w:t>
      </w:r>
      <w:r>
        <w:rPr>
          <w:rFonts w:ascii="Times New Roman" w:hAnsi="Times New Roman" w:eastAsia="等线" w:cs="Times New Roman"/>
          <w:i/>
          <w:iCs/>
          <w:kern w:val="0"/>
          <w:sz w:val="20"/>
          <w:szCs w:val="20"/>
          <w:lang w:val="en-US" w:eastAsia="zh-CN" w:bidi="ar-SA"/>
          <w14:ligatures w14:val="none"/>
        </w:rPr>
        <w:t xml:space="preserve"> with adjustment, if applicable</w:t>
      </w:r>
    </w:p>
    <w:p w14:paraId="05387CB9">
      <w:pPr>
        <w:numPr>
          <w:ilvl w:val="0"/>
          <w:numId w:val="11"/>
        </w:numPr>
        <w:spacing w:after="0" w:line="240" w:lineRule="auto"/>
        <w:ind w:left="1880"/>
        <w:contextualSpacing w:val="0"/>
        <w:rPr>
          <w:rFonts w:ascii="Times New Roman" w:hAnsi="Times New Roman" w:eastAsia="Times New Roman" w:cs="Times New Roman"/>
          <w:i/>
          <w:iCs/>
          <w:kern w:val="0"/>
          <w:sz w:val="20"/>
          <w:szCs w:val="20"/>
          <w:lang w:val="en-US" w:eastAsia="zh-CN" w:bidi="ar-SA"/>
          <w14:ligatures w14:val="none"/>
        </w:rPr>
      </w:pPr>
      <w:r>
        <w:rPr>
          <w:rFonts w:ascii="Times New Roman" w:hAnsi="Times New Roman" w:eastAsia="Times New Roman" w:cs="Times New Roman"/>
          <w:i/>
          <w:iCs/>
          <w:kern w:val="0"/>
          <w:sz w:val="20"/>
          <w:szCs w:val="20"/>
          <w:lang w:val="en-US" w:eastAsia="zh-CN" w:bidi="ar-SA"/>
          <w14:ligatures w14:val="none"/>
        </w:rPr>
        <w:t>Opt2: A single design of the common signals/channels</w:t>
      </w:r>
      <w:r>
        <w:rPr>
          <w:rFonts w:ascii="Times New Roman" w:hAnsi="Times New Roman" w:eastAsia="等线" w:cs="Times New Roman"/>
          <w:i/>
          <w:iCs/>
          <w:kern w:val="0"/>
          <w:sz w:val="20"/>
          <w:szCs w:val="20"/>
          <w:lang w:val="en-US" w:eastAsia="zh-CN" w:bidi="ar-SA"/>
          <w14:ligatures w14:val="none"/>
        </w:rPr>
        <w:t xml:space="preserve"> (at least for SSB)</w:t>
      </w:r>
      <w:r>
        <w:rPr>
          <w:rFonts w:ascii="Times New Roman" w:hAnsi="Times New Roman" w:eastAsia="Times New Roman" w:cs="Times New Roman"/>
          <w:i/>
          <w:iCs/>
          <w:kern w:val="0"/>
          <w:sz w:val="20"/>
          <w:szCs w:val="20"/>
          <w:lang w:val="en-US" w:eastAsia="zh-CN" w:bidi="ar-SA"/>
          <w14:ligatures w14:val="none"/>
        </w:rPr>
        <w:t xml:space="preserve"> for initial access by assuming minimum spectrum allocation as target bandwidth</w:t>
      </w:r>
      <w:r>
        <w:rPr>
          <w:rFonts w:ascii="Times New Roman" w:hAnsi="Times New Roman" w:eastAsia="等线" w:cs="Times New Roman"/>
          <w:i/>
          <w:iCs/>
          <w:kern w:val="0"/>
          <w:sz w:val="20"/>
          <w:szCs w:val="20"/>
          <w:lang w:val="en-US" w:eastAsia="zh-CN" w:bidi="ar-SA"/>
          <w14:ligatures w14:val="none"/>
        </w:rPr>
        <w:t xml:space="preserve"> 3MHz</w:t>
      </w:r>
      <w:r>
        <w:rPr>
          <w:rFonts w:ascii="Times New Roman" w:hAnsi="Times New Roman" w:eastAsia="Times New Roman" w:cs="Times New Roman"/>
          <w:i/>
          <w:iCs/>
          <w:kern w:val="0"/>
          <w:sz w:val="20"/>
          <w:szCs w:val="20"/>
          <w:lang w:val="en-US" w:eastAsia="zh-CN" w:bidi="ar-SA"/>
          <w14:ligatures w14:val="none"/>
        </w:rPr>
        <w:t>,</w:t>
      </w:r>
      <w:r>
        <w:rPr>
          <w:rFonts w:ascii="Times New Roman" w:hAnsi="Times New Roman" w:eastAsia="等线" w:cs="Times New Roman"/>
          <w:i/>
          <w:iCs/>
          <w:kern w:val="0"/>
          <w:sz w:val="20"/>
          <w:szCs w:val="20"/>
          <w:lang w:val="en-US" w:eastAsia="zh-CN" w:bidi="ar-SA"/>
          <w14:ligatures w14:val="none"/>
        </w:rPr>
        <w:t xml:space="preserve"> </w:t>
      </w:r>
      <w:r>
        <w:rPr>
          <w:rFonts w:ascii="Times New Roman" w:hAnsi="Times New Roman" w:eastAsia="Times New Roman" w:cs="Times New Roman"/>
          <w:i/>
          <w:iCs/>
          <w:kern w:val="0"/>
          <w:sz w:val="20"/>
          <w:szCs w:val="20"/>
          <w:lang w:val="en-US" w:eastAsia="zh-CN" w:bidi="ar-SA"/>
          <w14:ligatures w14:val="none"/>
        </w:rPr>
        <w:t>which is applicable to any spectrum allocations</w:t>
      </w:r>
    </w:p>
    <w:p w14:paraId="24C549C1">
      <w:pPr>
        <w:overflowPunct/>
        <w:autoSpaceDE/>
        <w:autoSpaceDN/>
        <w:adjustRightInd/>
        <w:spacing w:after="0" w:line="252" w:lineRule="auto"/>
        <w:ind w:left="936"/>
        <w:jc w:val="both"/>
        <w:textAlignment w:val="auto"/>
        <w:rPr>
          <w:rFonts w:ascii="Times New Roman" w:hAnsi="Times New Roman" w:eastAsia="Batang" w:cs="Times New Roman"/>
          <w:kern w:val="0"/>
          <w:sz w:val="20"/>
          <w:szCs w:val="20"/>
          <w:lang w:val="en-US" w:eastAsia="zh-CN"/>
          <w14:ligatures w14:val="none"/>
        </w:rPr>
      </w:pPr>
    </w:p>
    <w:p w14:paraId="7ECC6FFF">
      <w:pPr>
        <w:numPr>
          <w:ilvl w:val="0"/>
          <w:numId w:val="10"/>
        </w:numPr>
        <w:spacing w:after="0" w:line="252" w:lineRule="auto"/>
        <w:ind w:left="936" w:hanging="360"/>
        <w:contextualSpacing/>
        <w:jc w:val="both"/>
        <w:rPr>
          <w:rFonts w:ascii="Times New Roman" w:hAnsi="Times New Roman" w:eastAsia="Batang" w:cs="Times New Roman"/>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 xml:space="preserve">Regarding the smallest maximum UE bandwidth as discussed in the following RAN1 agreement, Opt 1 is excluded. Aim to conclude by RAN plenary no later than RAN#112 (June 2026). </w:t>
      </w:r>
    </w:p>
    <w:p w14:paraId="1FF2C5A0">
      <w:pPr>
        <w:numPr>
          <w:ilvl w:val="1"/>
          <w:numId w:val="10"/>
        </w:numPr>
        <w:spacing w:after="0" w:line="252" w:lineRule="auto"/>
        <w:ind w:left="1656" w:hanging="360"/>
        <w:contextualSpacing/>
        <w:jc w:val="both"/>
        <w:rPr>
          <w:rFonts w:ascii="Times New Roman" w:hAnsi="Times New Roman" w:eastAsia="Batang" w:cs="Times New Roman"/>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RAN1 and RAN4 is tasked to continue providing more analysis accordingly.</w:t>
      </w:r>
    </w:p>
    <w:p w14:paraId="0E25C30E">
      <w:pPr>
        <w:numPr>
          <w:ilvl w:val="1"/>
          <w:numId w:val="10"/>
        </w:numPr>
        <w:spacing w:after="0" w:line="252" w:lineRule="auto"/>
        <w:ind w:left="1656" w:hanging="360"/>
        <w:contextualSpacing/>
        <w:jc w:val="both"/>
        <w:rPr>
          <w:rFonts w:ascii="Times New Roman" w:hAnsi="Times New Roman" w:eastAsia="Batang" w:cs="Times New Roman"/>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Companies are encouraged to provide more analysis at RAN plenary particularly regarding the use cases, requirements, economy of scale, etc.</w:t>
      </w:r>
    </w:p>
    <w:p w14:paraId="29B9E4B0">
      <w:pPr>
        <w:overflowPunct/>
        <w:autoSpaceDE/>
        <w:autoSpaceDN/>
        <w:adjustRightInd/>
        <w:spacing w:after="0" w:line="252" w:lineRule="auto"/>
        <w:jc w:val="both"/>
        <w:textAlignment w:val="auto"/>
        <w:rPr>
          <w:rFonts w:ascii="Times New Roman" w:hAnsi="Times New Roman" w:eastAsia="Batang" w:cs="Times New Roman"/>
          <w:kern w:val="0"/>
          <w:sz w:val="20"/>
          <w:szCs w:val="20"/>
          <w:lang w:val="en-US" w:eastAsia="zh-CN"/>
          <w14:ligatures w14:val="none"/>
        </w:rPr>
      </w:pPr>
    </w:p>
    <w:p w14:paraId="4250FCE0">
      <w:pPr>
        <w:overflowPunct/>
        <w:autoSpaceDE/>
        <w:autoSpaceDN/>
        <w:adjustRightInd/>
        <w:spacing w:after="0" w:line="240" w:lineRule="auto"/>
        <w:ind w:left="1160"/>
        <w:textAlignment w:val="auto"/>
        <w:rPr>
          <w:rFonts w:ascii="Times New Roman" w:hAnsi="Times New Roman" w:eastAsia="等线" w:cs="Times New Roman"/>
          <w:kern w:val="0"/>
          <w:sz w:val="20"/>
          <w:szCs w:val="20"/>
          <w:lang w:val="en-US" w:eastAsia="zh-CN"/>
          <w14:ligatures w14:val="none"/>
        </w:rPr>
      </w:pPr>
      <w:r>
        <w:rPr>
          <w:rFonts w:ascii="Times New Roman" w:hAnsi="Times New Roman" w:eastAsia="等线" w:cs="Times New Roman"/>
          <w:kern w:val="0"/>
          <w:sz w:val="20"/>
          <w:szCs w:val="20"/>
          <w:highlight w:val="green"/>
          <w:lang w:val="en-US" w:eastAsia="zh-CN"/>
          <w14:ligatures w14:val="none"/>
        </w:rPr>
        <w:t>Agreement</w:t>
      </w:r>
    </w:p>
    <w:p w14:paraId="69FD1E3C">
      <w:pPr>
        <w:numPr>
          <w:ilvl w:val="0"/>
          <w:numId w:val="12"/>
        </w:numPr>
        <w:overflowPunct/>
        <w:autoSpaceDE/>
        <w:autoSpaceDN/>
        <w:adjustRightInd/>
        <w:spacing w:after="0" w:line="252" w:lineRule="auto"/>
        <w:ind w:left="1600"/>
        <w:contextualSpacing/>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Study</w:t>
      </w:r>
      <w:r>
        <w:rPr>
          <w:rFonts w:ascii="Times New Roman" w:hAnsi="Times New Roman" w:eastAsia="等线" w:cs="Times New Roman"/>
          <w:i/>
          <w:iCs/>
          <w:kern w:val="0"/>
          <w:sz w:val="20"/>
          <w:szCs w:val="20"/>
          <w:lang w:val="en-US" w:eastAsia="zh-CN"/>
          <w14:ligatures w14:val="none"/>
        </w:rPr>
        <w:t xml:space="preserve"> </w:t>
      </w:r>
      <w:r>
        <w:rPr>
          <w:rFonts w:ascii="Times New Roman" w:hAnsi="Times New Roman" w:eastAsia="Yu Mincho" w:cs="Times New Roman"/>
          <w:i/>
          <w:iCs/>
          <w:kern w:val="0"/>
          <w:sz w:val="20"/>
          <w:szCs w:val="20"/>
          <w:lang w:val="en-US" w:eastAsia="ja-JP"/>
          <w14:ligatures w14:val="none"/>
        </w:rPr>
        <w:t xml:space="preserve">the following smallest maximum </w:t>
      </w:r>
      <w:r>
        <w:rPr>
          <w:rFonts w:ascii="Times New Roman" w:hAnsi="Times New Roman" w:eastAsia="Batang" w:cs="Times New Roman"/>
          <w:i/>
          <w:iCs/>
          <w:kern w:val="0"/>
          <w:sz w:val="20"/>
          <w:szCs w:val="20"/>
          <w:lang w:val="en-US" w:eastAsia="zh-CN"/>
          <w14:ligatures w14:val="none"/>
        </w:rPr>
        <w:t xml:space="preserve">supported </w:t>
      </w:r>
      <w:r>
        <w:rPr>
          <w:rFonts w:ascii="Times New Roman" w:hAnsi="Times New Roman" w:eastAsia="Yu Mincho" w:cs="Times New Roman"/>
          <w:i/>
          <w:iCs/>
          <w:kern w:val="0"/>
          <w:sz w:val="20"/>
          <w:szCs w:val="20"/>
          <w:lang w:val="en-US" w:eastAsia="ja-JP"/>
          <w14:ligatures w14:val="none"/>
        </w:rPr>
        <w:t xml:space="preserve">RF and BB </w:t>
      </w:r>
      <w:r>
        <w:rPr>
          <w:rFonts w:ascii="Times New Roman" w:hAnsi="Times New Roman" w:eastAsia="Batang" w:cs="Times New Roman"/>
          <w:i/>
          <w:iCs/>
          <w:kern w:val="0"/>
          <w:sz w:val="20"/>
          <w:szCs w:val="20"/>
          <w:lang w:val="en-US" w:eastAsia="zh-CN"/>
          <w14:ligatures w14:val="none"/>
        </w:rPr>
        <w:t>UE BW</w:t>
      </w:r>
      <w:r>
        <w:rPr>
          <w:rFonts w:ascii="Times New Roman" w:hAnsi="Times New Roman" w:eastAsia="Yu Mincho" w:cs="Times New Roman"/>
          <w:i/>
          <w:iCs/>
          <w:kern w:val="0"/>
          <w:sz w:val="20"/>
          <w:szCs w:val="20"/>
          <w:lang w:val="en-US" w:eastAsia="ja-JP"/>
          <w14:ligatures w14:val="none"/>
        </w:rPr>
        <w:t xml:space="preserve"> without spectrum aggregation for </w:t>
      </w:r>
      <w:r>
        <w:rPr>
          <w:rFonts w:ascii="Times New Roman" w:hAnsi="Times New Roman" w:eastAsia="等线" w:cs="Times New Roman"/>
          <w:i/>
          <w:iCs/>
          <w:kern w:val="0"/>
          <w:sz w:val="20"/>
          <w:szCs w:val="20"/>
          <w:lang w:val="en-US" w:eastAsia="zh-CN"/>
          <w14:ligatures w14:val="none"/>
        </w:rPr>
        <w:t xml:space="preserve">at least one </w:t>
      </w:r>
      <w:r>
        <w:rPr>
          <w:rFonts w:ascii="Times New Roman" w:hAnsi="Times New Roman" w:eastAsia="Yu Mincho" w:cs="Times New Roman"/>
          <w:i/>
          <w:iCs/>
          <w:kern w:val="0"/>
          <w:sz w:val="20"/>
          <w:szCs w:val="20"/>
          <w:lang w:val="en-US" w:eastAsia="ja-JP"/>
          <w14:ligatures w14:val="none"/>
        </w:rPr>
        <w:t>low-tier device type supported by 6GR framework</w:t>
      </w:r>
      <w:r>
        <w:rPr>
          <w:rFonts w:ascii="Times New Roman" w:hAnsi="Times New Roman" w:eastAsia="Batang" w:cs="Times New Roman"/>
          <w:i/>
          <w:iCs/>
          <w:kern w:val="0"/>
          <w:sz w:val="20"/>
          <w:szCs w:val="20"/>
          <w:lang w:val="en-US" w:eastAsia="zh-CN"/>
          <w14:ligatures w14:val="none"/>
        </w:rPr>
        <w:t xml:space="preserve"> </w:t>
      </w:r>
      <w:r>
        <w:rPr>
          <w:rFonts w:ascii="Times New Roman" w:hAnsi="Times New Roman" w:eastAsia="等线" w:cs="Times New Roman"/>
          <w:i/>
          <w:iCs/>
          <w:kern w:val="0"/>
          <w:sz w:val="20"/>
          <w:szCs w:val="20"/>
          <w:lang w:val="en-US" w:eastAsia="zh-CN"/>
          <w14:ligatures w14:val="none"/>
        </w:rPr>
        <w:t>from physical layer perspective, subject to further discussion and confirmation in RAN</w:t>
      </w:r>
    </w:p>
    <w:p w14:paraId="2585B230">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Opt1: 3MHz</w:t>
      </w:r>
    </w:p>
    <w:p w14:paraId="50A7187A">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Opt2: 5MHz</w:t>
      </w:r>
    </w:p>
    <w:p w14:paraId="245EBEC2">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Opt3: 10MHz</w:t>
      </w:r>
    </w:p>
    <w:p w14:paraId="45787DB9">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Opt4: 20MHz</w:t>
      </w:r>
    </w:p>
    <w:p w14:paraId="3D1D9E8A">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FFS: the UL bandwidth may be different to the DL bandwidth</w:t>
      </w:r>
    </w:p>
    <w:p w14:paraId="2370873D">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 xml:space="preserve">FFS: the </w:t>
      </w:r>
      <w:r>
        <w:rPr>
          <w:rFonts w:ascii="Times New Roman" w:hAnsi="Times New Roman" w:eastAsia="等线" w:cs="Times New Roman"/>
          <w:i/>
          <w:iCs/>
          <w:kern w:val="0"/>
          <w:sz w:val="20"/>
          <w:szCs w:val="20"/>
          <w:lang w:val="en-US" w:eastAsia="zh-CN"/>
          <w14:ligatures w14:val="none"/>
        </w:rPr>
        <w:t>bandwidth value</w:t>
      </w:r>
      <w:r>
        <w:rPr>
          <w:rFonts w:ascii="Times New Roman" w:hAnsi="Times New Roman" w:eastAsia="Batang" w:cs="Times New Roman"/>
          <w:i/>
          <w:iCs/>
          <w:kern w:val="0"/>
          <w:sz w:val="20"/>
          <w:szCs w:val="20"/>
          <w:lang w:val="en-US" w:eastAsia="zh-CN"/>
          <w14:ligatures w14:val="none"/>
        </w:rPr>
        <w:t xml:space="preserve"> may be different for different SCS, duplex modes, and bands.</w:t>
      </w:r>
    </w:p>
    <w:p w14:paraId="19702574">
      <w:pPr>
        <w:numPr>
          <w:ilvl w:val="1"/>
          <w:numId w:val="12"/>
        </w:numPr>
        <w:overflowPunct/>
        <w:autoSpaceDE/>
        <w:autoSpaceDN/>
        <w:adjustRightInd/>
        <w:spacing w:after="0" w:line="252" w:lineRule="auto"/>
        <w:ind w:left="2040"/>
        <w:contextualSpacing/>
        <w:jc w:val="both"/>
        <w:textAlignment w:val="auto"/>
        <w:rPr>
          <w:rFonts w:ascii="Times New Roman" w:hAnsi="Times New Roman" w:eastAsia="Batang" w:cs="Times New Roman"/>
          <w:i/>
          <w:iCs/>
          <w:kern w:val="0"/>
          <w:sz w:val="20"/>
          <w:szCs w:val="20"/>
          <w:lang w:val="en-US" w:eastAsia="zh-CN"/>
          <w14:ligatures w14:val="none"/>
        </w:rPr>
      </w:pPr>
      <w:r>
        <w:rPr>
          <w:rFonts w:ascii="Times New Roman" w:hAnsi="Times New Roman" w:eastAsia="Batang" w:cs="Times New Roman"/>
          <w:i/>
          <w:iCs/>
          <w:kern w:val="0"/>
          <w:sz w:val="20"/>
          <w:szCs w:val="20"/>
          <w:lang w:val="en-US" w:eastAsia="zh-CN"/>
          <w14:ligatures w14:val="none"/>
        </w:rPr>
        <w:t>FFS: whether RF and BB UE BW are same or different</w:t>
      </w:r>
    </w:p>
    <w:p w14:paraId="76491B55">
      <w:pPr>
        <w:overflowPunct/>
        <w:autoSpaceDE/>
        <w:autoSpaceDN/>
        <w:adjustRightInd/>
        <w:spacing w:after="0" w:line="252" w:lineRule="auto"/>
        <w:contextualSpacing/>
        <w:jc w:val="both"/>
        <w:textAlignment w:val="auto"/>
        <w:rPr>
          <w:rFonts w:ascii="Times New Roman" w:hAnsi="Times New Roman" w:eastAsia="Batang" w:cs="Times New Roman"/>
          <w:kern w:val="0"/>
          <w:sz w:val="20"/>
          <w:szCs w:val="20"/>
          <w:lang w:val="en-US" w:eastAsia="zh-CN"/>
          <w14:ligatures w14:val="none"/>
        </w:rPr>
      </w:pPr>
    </w:p>
    <w:p w14:paraId="185F0EB0">
      <w:pPr>
        <w:overflowPunct/>
        <w:autoSpaceDE/>
        <w:autoSpaceDN/>
        <w:adjustRightInd/>
        <w:spacing w:after="0" w:line="252" w:lineRule="auto"/>
        <w:contextualSpacing/>
        <w:jc w:val="both"/>
        <w:textAlignment w:val="auto"/>
        <w:rPr>
          <w:rFonts w:ascii="Times New Roman" w:hAnsi="Times New Roman" w:eastAsia="Batang" w:cs="Times New Roman"/>
          <w:b w:val="0"/>
          <w:bCs w:val="0"/>
          <w:kern w:val="0"/>
          <w:sz w:val="20"/>
          <w:szCs w:val="20"/>
          <w:u w:val="none"/>
          <w:lang w:val="en-US" w:eastAsia="zh-CN"/>
          <w14:ligatures w14:val="none"/>
        </w:rPr>
      </w:pPr>
      <w:r>
        <w:rPr>
          <w:rFonts w:ascii="Times New Roman" w:hAnsi="Times New Roman" w:eastAsia="Batang" w:cs="Times New Roman"/>
          <w:b w:val="0"/>
          <w:bCs w:val="0"/>
          <w:kern w:val="0"/>
          <w:sz w:val="20"/>
          <w:szCs w:val="20"/>
          <w:u w:val="none"/>
          <w:lang w:val="en-US" w:eastAsia="zh-CN"/>
          <w14:ligatures w14:val="none"/>
        </w:rPr>
        <w:t xml:space="preserve">Proposal 2: </w:t>
      </w:r>
    </w:p>
    <w:p w14:paraId="78425682">
      <w:pPr>
        <w:numPr>
          <w:ilvl w:val="0"/>
          <w:numId w:val="10"/>
        </w:numPr>
        <w:spacing w:after="0" w:line="252" w:lineRule="auto"/>
        <w:ind w:left="936" w:hanging="360"/>
        <w:contextualSpacing/>
        <w:jc w:val="both"/>
        <w:rPr>
          <w:rFonts w:ascii="Times New Roman" w:hAnsi="Times New Roman" w:eastAsia="Batang" w:cs="Times New Roman"/>
          <w:color w:val="000000"/>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 xml:space="preserve">Diverse device types as in 6G SIDs are expected to include supporting at least MBB (as highest priority), </w:t>
      </w:r>
      <w:r>
        <w:rPr>
          <w:rFonts w:ascii="Times New Roman" w:hAnsi="Times New Roman" w:eastAsia="Batang" w:cs="Times New Roman"/>
          <w:color w:val="000000"/>
          <w:kern w:val="0"/>
          <w:sz w:val="20"/>
          <w:szCs w:val="20"/>
          <w:lang w:val="en-US" w:eastAsia="zh-CN" w:bidi="ar-SA"/>
          <w14:ligatures w14:val="none"/>
        </w:rPr>
        <w:t xml:space="preserve">FWA, and Massive IoT services </w:t>
      </w:r>
    </w:p>
    <w:p w14:paraId="08A60CD7">
      <w:pPr>
        <w:numPr>
          <w:ilvl w:val="0"/>
          <w:numId w:val="10"/>
        </w:numPr>
        <w:spacing w:after="0" w:line="252" w:lineRule="auto"/>
        <w:ind w:left="936" w:hanging="360"/>
        <w:contextualSpacing/>
        <w:jc w:val="both"/>
        <w:rPr>
          <w:rFonts w:ascii="Times New Roman" w:hAnsi="Times New Roman" w:eastAsia="Batang" w:cs="Times New Roman"/>
          <w:color w:val="000000"/>
          <w:kern w:val="0"/>
          <w:sz w:val="20"/>
          <w:szCs w:val="20"/>
          <w:lang w:val="en-US" w:eastAsia="zh-CN" w:bidi="ar-SA"/>
          <w14:ligatures w14:val="none"/>
        </w:rPr>
      </w:pPr>
      <w:r>
        <w:rPr>
          <w:rFonts w:ascii="Times New Roman" w:hAnsi="Times New Roman" w:eastAsia="Batang" w:cs="Times New Roman"/>
          <w:color w:val="000000"/>
          <w:kern w:val="0"/>
          <w:sz w:val="20"/>
          <w:szCs w:val="20"/>
          <w:lang w:val="en-US" w:eastAsia="zh-CN" w:bidi="ar-SA"/>
          <w14:ligatures w14:val="none"/>
        </w:rPr>
        <w:t xml:space="preserve">Companies are encouraged to further contribute at RAN plenary regarding the analysis of necessary aspects to help progress RAN WG technical design and evaluations. </w:t>
      </w:r>
    </w:p>
    <w:p w14:paraId="5ECEB627">
      <w:pPr>
        <w:numPr>
          <w:ilvl w:val="0"/>
          <w:numId w:val="10"/>
        </w:numPr>
        <w:spacing w:after="0" w:line="252" w:lineRule="auto"/>
        <w:ind w:left="936" w:hanging="360"/>
        <w:contextualSpacing/>
        <w:jc w:val="both"/>
        <w:rPr>
          <w:rFonts w:ascii="Times New Roman" w:hAnsi="Times New Roman" w:eastAsia="Batang" w:cs="Times New Roman"/>
          <w:color w:val="000000"/>
          <w:kern w:val="0"/>
          <w:sz w:val="20"/>
          <w:szCs w:val="20"/>
          <w:lang w:val="en-US" w:eastAsia="zh-CN" w:bidi="ar-SA"/>
          <w14:ligatures w14:val="none"/>
        </w:rPr>
      </w:pPr>
      <w:r>
        <w:rPr>
          <w:rFonts w:ascii="Times New Roman" w:hAnsi="Times New Roman" w:eastAsia="Batang" w:cs="Times New Roman"/>
          <w:color w:val="000000"/>
          <w:kern w:val="0"/>
          <w:sz w:val="20"/>
          <w:szCs w:val="20"/>
          <w:lang w:val="en-US" w:eastAsia="zh-CN" w:bidi="ar-SA"/>
          <w14:ligatures w14:val="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259BDDC2">
      <w:pPr>
        <w:overflowPunct/>
        <w:autoSpaceDE/>
        <w:autoSpaceDN/>
        <w:adjustRightInd/>
        <w:spacing w:after="0" w:line="252" w:lineRule="auto"/>
        <w:jc w:val="both"/>
        <w:textAlignment w:val="auto"/>
        <w:rPr>
          <w:rFonts w:ascii="Times New Roman" w:hAnsi="Times New Roman" w:eastAsia="Batang" w:cs="Times New Roman"/>
          <w:kern w:val="0"/>
          <w:sz w:val="20"/>
          <w:szCs w:val="20"/>
          <w:lang w:val="en-US" w:eastAsia="zh-CN"/>
          <w14:ligatures w14:val="none"/>
        </w:rPr>
      </w:pPr>
    </w:p>
    <w:p w14:paraId="6E223CAE">
      <w:pPr>
        <w:overflowPunct/>
        <w:autoSpaceDE/>
        <w:autoSpaceDN/>
        <w:adjustRightInd/>
        <w:spacing w:after="0" w:line="240" w:lineRule="auto"/>
        <w:textAlignment w:val="auto"/>
        <w:rPr>
          <w:rFonts w:ascii="Times New Roman" w:hAnsi="Times New Roman" w:eastAsia="Batang" w:cs="Times New Roman"/>
          <w:b/>
          <w:bCs/>
          <w:kern w:val="0"/>
          <w:sz w:val="20"/>
          <w:szCs w:val="20"/>
          <w:u w:val="single"/>
          <w:lang w:val="en-US" w:eastAsia="zh-CN"/>
          <w14:ligatures w14:val="none"/>
        </w:rPr>
      </w:pPr>
    </w:p>
    <w:p w14:paraId="27517918">
      <w:pPr>
        <w:overflowPunct/>
        <w:autoSpaceDE/>
        <w:autoSpaceDN/>
        <w:adjustRightInd/>
        <w:spacing w:after="0" w:line="240" w:lineRule="auto"/>
        <w:textAlignment w:val="auto"/>
        <w:rPr>
          <w:rFonts w:ascii="Times New Roman" w:hAnsi="Times New Roman" w:eastAsia="Batang" w:cs="Times New Roman"/>
          <w:kern w:val="0"/>
          <w:sz w:val="20"/>
          <w:szCs w:val="20"/>
          <w:lang w:val="en-US" w:eastAsia="zh-CN"/>
          <w14:ligatures w14:val="none"/>
        </w:rPr>
      </w:pPr>
      <w:r>
        <w:rPr>
          <w:rFonts w:ascii="Times New Roman" w:hAnsi="Times New Roman" w:eastAsia="Batang" w:cs="Times New Roman"/>
          <w:b w:val="0"/>
          <w:bCs w:val="0"/>
          <w:kern w:val="0"/>
          <w:sz w:val="20"/>
          <w:szCs w:val="20"/>
          <w:u w:val="none"/>
          <w:lang w:val="en-US" w:eastAsia="zh-CN"/>
          <w14:ligatures w14:val="none"/>
        </w:rPr>
        <w:t xml:space="preserve">Proposal 3: </w:t>
      </w:r>
      <w:r>
        <w:rPr>
          <w:rFonts w:ascii="Times New Roman" w:hAnsi="Times New Roman" w:eastAsia="Batang" w:cs="Times New Roman"/>
          <w:kern w:val="0"/>
          <w:sz w:val="20"/>
          <w:szCs w:val="20"/>
          <w:lang w:val="en-US" w:eastAsia="zh-CN"/>
          <w14:ligatures w14:val="none"/>
        </w:rPr>
        <w:t>Capture the following aspects related to diverse device types into the TR:</w:t>
      </w:r>
    </w:p>
    <w:p w14:paraId="1925CD86">
      <w:pPr>
        <w:numPr>
          <w:ilvl w:val="0"/>
          <w:numId w:val="10"/>
        </w:numPr>
        <w:spacing w:after="0" w:line="240" w:lineRule="auto"/>
        <w:ind w:left="936" w:hanging="360"/>
        <w:contextualSpacing/>
        <w:rPr>
          <w:rFonts w:ascii="Times New Roman" w:hAnsi="Times New Roman" w:eastAsia="Batang" w:cs="Times New Roman"/>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Scalable and forward compatible design</w:t>
      </w:r>
    </w:p>
    <w:p w14:paraId="1EE5CD30">
      <w:pPr>
        <w:numPr>
          <w:ilvl w:val="0"/>
          <w:numId w:val="10"/>
        </w:numPr>
        <w:spacing w:after="0" w:line="240" w:lineRule="auto"/>
        <w:ind w:left="936" w:hanging="360"/>
        <w:contextualSpacing/>
        <w:rPr>
          <w:rFonts w:ascii="Times New Roman" w:hAnsi="Times New Roman" w:eastAsia="Batang" w:cs="Times New Roman"/>
          <w:kern w:val="0"/>
          <w:sz w:val="20"/>
          <w:szCs w:val="20"/>
          <w:lang w:val="en-US" w:eastAsia="zh-CN" w:bidi="ar-SA"/>
          <w14:ligatures w14:val="none"/>
        </w:rPr>
      </w:pPr>
      <w:r>
        <w:rPr>
          <w:rFonts w:ascii="Times New Roman" w:hAnsi="Times New Roman" w:eastAsia="Batang" w:cs="Times New Roman"/>
          <w:kern w:val="0"/>
          <w:sz w:val="20"/>
          <w:szCs w:val="20"/>
          <w:lang w:val="en-US" w:eastAsia="zh-CN" w:bidi="ar-SA"/>
          <w14:ligatures w14:val="none"/>
        </w:rPr>
        <w:t>Limited set of device types (based on the agreement in RAN#109)</w:t>
      </w:r>
    </w:p>
    <w:p w14:paraId="18AEE0A7">
      <w:pPr>
        <w:overflowPunct/>
        <w:autoSpaceDE/>
        <w:autoSpaceDN/>
        <w:adjustRightInd/>
        <w:spacing w:after="0" w:line="240" w:lineRule="auto"/>
        <w:textAlignment w:val="auto"/>
        <w:rPr>
          <w:rFonts w:ascii="Times New Roman" w:hAnsi="Times New Roman" w:eastAsia="Batang" w:cs="Times New Roman"/>
          <w:kern w:val="0"/>
          <w:sz w:val="20"/>
          <w:szCs w:val="20"/>
          <w:lang w:val="en-US" w:eastAsia="zh-CN"/>
          <w14:ligatures w14:val="none"/>
        </w:rPr>
      </w:pPr>
      <w:r>
        <w:rPr>
          <w:rFonts w:ascii="Times New Roman" w:hAnsi="Times New Roman" w:eastAsia="Batang" w:cs="Times New Roman"/>
          <w:kern w:val="0"/>
          <w:sz w:val="20"/>
          <w:szCs w:val="20"/>
          <w:lang w:val="en-US" w:eastAsia="zh-CN"/>
          <w14:ligatures w14:val="none"/>
        </w:rPr>
        <w:t>Detailed wording is to be drafted in RAN#111, along with possibly other aspects (e.g., scalability, differentiated services, etc.).</w:t>
      </w:r>
    </w:p>
    <w:p w14:paraId="705CE7DA">
      <w:pPr>
        <w:rPr>
          <w:rFonts w:hint="eastAsia" w:eastAsiaTheme="minorEastAsia"/>
          <w:b/>
          <w:sz w:val="22"/>
          <w:szCs w:val="16"/>
          <w:highlight w:val="yellow"/>
          <w:u w:val="single"/>
          <w:lang w:eastAsia="zh-CN"/>
        </w:rPr>
      </w:pPr>
    </w:p>
    <w:p w14:paraId="5FB7BF03">
      <w:pPr>
        <w:rPr>
          <w:rFonts w:hint="eastAsia" w:eastAsiaTheme="minorEastAsia"/>
          <w:b/>
          <w:sz w:val="22"/>
          <w:szCs w:val="16"/>
          <w:highlight w:val="none"/>
          <w:u w:val="single"/>
          <w:lang w:eastAsia="zh-CN"/>
        </w:rPr>
      </w:pPr>
      <w:r>
        <w:rPr>
          <w:rFonts w:hint="eastAsia" w:eastAsiaTheme="minorEastAsia"/>
          <w:b/>
          <w:sz w:val="22"/>
          <w:szCs w:val="16"/>
          <w:highlight w:val="none"/>
          <w:u w:val="single"/>
          <w:lang w:eastAsia="zh-CN"/>
        </w:rPr>
        <w:t>For service requirements</w:t>
      </w:r>
    </w:p>
    <w:p w14:paraId="084EAABA">
      <w:pPr>
        <w:rPr>
          <w:rFonts w:hint="default" w:eastAsiaTheme="minorEastAsia"/>
          <w:b w:val="0"/>
          <w:bCs w:val="0"/>
          <w:highlight w:val="none"/>
          <w:lang w:val="en-US" w:eastAsia="zh-CN"/>
        </w:rPr>
      </w:pPr>
      <w:r>
        <w:rPr>
          <w:rFonts w:hint="eastAsia" w:eastAsiaTheme="minorEastAsia"/>
          <w:highlight w:val="none"/>
          <w:lang w:val="en-US" w:eastAsia="zh-CN"/>
        </w:rPr>
        <w:t xml:space="preserve">pCR to TR 38.914 for new and existing services is approved in </w:t>
      </w:r>
      <w:r>
        <w:rPr>
          <w:rFonts w:hint="eastAsia" w:eastAsiaTheme="minorEastAsia"/>
          <w:b w:val="0"/>
          <w:bCs w:val="0"/>
          <w:highlight w:val="none"/>
          <w:lang w:eastAsia="zh-CN"/>
        </w:rPr>
        <w:t>RP</w:t>
      </w:r>
      <w:r>
        <w:rPr>
          <w:rFonts w:hint="eastAsia" w:eastAsiaTheme="minorEastAsia"/>
          <w:b w:val="0"/>
          <w:bCs w:val="0"/>
          <w:highlight w:val="none"/>
          <w:lang w:val="en-US" w:eastAsia="zh-CN"/>
        </w:rPr>
        <w:t>-</w:t>
      </w:r>
      <w:r>
        <w:rPr>
          <w:rFonts w:hint="eastAsia" w:eastAsiaTheme="minorEastAsia"/>
          <w:b w:val="0"/>
          <w:bCs w:val="0"/>
          <w:highlight w:val="none"/>
          <w:lang w:eastAsia="zh-CN"/>
        </w:rPr>
        <w:t>253</w:t>
      </w:r>
      <w:r>
        <w:rPr>
          <w:rFonts w:hint="eastAsia" w:eastAsiaTheme="minorEastAsia"/>
          <w:b w:val="0"/>
          <w:bCs w:val="0"/>
          <w:highlight w:val="none"/>
          <w:lang w:val="en-US" w:eastAsia="zh-CN"/>
        </w:rPr>
        <w:t>757</w:t>
      </w:r>
    </w:p>
    <w:p w14:paraId="4FD09B19">
      <w:pPr>
        <w:rPr>
          <w:rFonts w:hint="eastAsia" w:eastAsiaTheme="minorEastAsia"/>
          <w:b/>
          <w:bCs/>
          <w:highlight w:val="none"/>
          <w:lang w:eastAsia="zh-CN"/>
        </w:rPr>
      </w:pPr>
      <w:r>
        <w:rPr>
          <w:rFonts w:hint="eastAsia" w:eastAsiaTheme="minorEastAsia"/>
          <w:b/>
          <w:bCs/>
          <w:highlight w:val="none"/>
          <w:lang w:eastAsia="zh-CN"/>
        </w:rPr>
        <w:t>Agreements:</w:t>
      </w:r>
    </w:p>
    <w:p w14:paraId="22B8EA42">
      <w:pPr>
        <w:rPr>
          <w:rFonts w:ascii="Times New Roman" w:hAnsi="Times New Roman" w:cs="Times New Roman"/>
          <w:b w:val="0"/>
          <w:bCs w:val="0"/>
          <w:highlight w:val="none"/>
        </w:rPr>
      </w:pPr>
      <w:r>
        <w:rPr>
          <w:rFonts w:hint="eastAsia" w:ascii="Times New Roman" w:hAnsi="Times New Roman" w:cs="Times New Roman"/>
          <w:b w:val="0"/>
          <w:bCs w:val="0"/>
          <w:highlight w:val="none"/>
        </w:rPr>
        <w:t>Proposal 1: 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5CCE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2AFF9C61">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5.4.1</w:t>
            </w:r>
            <w:r>
              <w:rPr>
                <w:rFonts w:ascii="Arial" w:hAnsi="Arial"/>
                <w:b w:val="0"/>
                <w:bCs w:val="0"/>
                <w:sz w:val="28"/>
                <w:highlight w:val="none"/>
              </w:rPr>
              <w:tab/>
            </w:r>
            <w:r>
              <w:rPr>
                <w:rFonts w:hint="eastAsia" w:ascii="Arial" w:hAnsi="Arial"/>
                <w:b w:val="0"/>
                <w:bCs w:val="0"/>
                <w:sz w:val="28"/>
                <w:highlight w:val="none"/>
              </w:rPr>
              <w:t>Mobile Broadband</w:t>
            </w:r>
          </w:p>
          <w:p w14:paraId="2B1EEF46">
            <w:pPr>
              <w:autoSpaceDE w:val="0"/>
              <w:autoSpaceDN w:val="0"/>
              <w:adjustRightInd w:val="0"/>
              <w:jc w:val="both"/>
              <w:rPr>
                <w:rFonts w:ascii="Times New Roman" w:hAnsi="Times New Roman" w:cs="Times New Roman"/>
                <w:b w:val="0"/>
                <w:bCs w:val="0"/>
                <w:highlight w:val="none"/>
              </w:rPr>
            </w:pPr>
            <w:r>
              <w:rPr>
                <w:rFonts w:hint="eastAsia" w:ascii="Times New Roman" w:hAnsi="Times New Roman" w:cs="Times New Roman"/>
                <w:b w:val="0"/>
                <w:bCs w:val="0"/>
                <w:iCs/>
                <w:highlight w:val="none"/>
              </w:rPr>
              <w:t xml:space="preserve">The 6GR and 6G RAN architecture </w:t>
            </w:r>
            <w:r>
              <w:rPr>
                <w:rFonts w:ascii="Times New Roman" w:hAnsi="Times New Roman" w:cs="Times New Roman"/>
                <w:b w:val="0"/>
                <w:bCs w:val="0"/>
                <w:iCs/>
                <w:highlight w:val="none"/>
              </w:rPr>
              <w:t xml:space="preserve">shall support mobile broadband </w:t>
            </w:r>
            <w:r>
              <w:rPr>
                <w:rFonts w:hint="eastAsia" w:ascii="Times New Roman" w:hAnsi="Times New Roman" w:cs="Times New Roman"/>
                <w:b w:val="0"/>
                <w:bCs w:val="0"/>
                <w:iCs/>
                <w:highlight w:val="none"/>
              </w:rPr>
              <w:t xml:space="preserve">services </w:t>
            </w:r>
            <w:r>
              <w:rPr>
                <w:rFonts w:ascii="Times New Roman" w:hAnsi="Times New Roman" w:cs="Times New Roman"/>
                <w:b w:val="0"/>
                <w:bCs w:val="0"/>
                <w:iCs/>
                <w:highlight w:val="none"/>
              </w:rPr>
              <w:t xml:space="preserve">with enhanced performance. </w:t>
            </w:r>
          </w:p>
        </w:tc>
      </w:tr>
    </w:tbl>
    <w:p w14:paraId="678290FD">
      <w:pPr>
        <w:rPr>
          <w:rFonts w:ascii="Times New Roman" w:hAnsi="Times New Roman" w:cs="Times New Roman"/>
          <w:b w:val="0"/>
          <w:bCs w:val="0"/>
          <w:highlight w:val="none"/>
        </w:rPr>
      </w:pPr>
    </w:p>
    <w:p w14:paraId="170128F5">
      <w:pPr>
        <w:rPr>
          <w:rFonts w:ascii="Times New Roman" w:hAnsi="Times New Roman" w:cs="Times New Roman"/>
          <w:b w:val="0"/>
          <w:bCs w:val="0"/>
          <w:highlight w:val="none"/>
        </w:rPr>
      </w:pPr>
      <w:r>
        <w:rPr>
          <w:rFonts w:hint="eastAsia" w:ascii="Times New Roman" w:hAnsi="Times New Roman" w:cs="Times New Roman"/>
          <w:b w:val="0"/>
          <w:bCs w:val="0"/>
          <w:highlight w:val="none"/>
        </w:rPr>
        <w:t>Proposal 2: 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2968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28CF9D3">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5.4.2</w:t>
            </w:r>
            <w:r>
              <w:rPr>
                <w:rFonts w:hint="eastAsia" w:ascii="Arial" w:hAnsi="Arial"/>
                <w:b w:val="0"/>
                <w:bCs w:val="0"/>
                <w:sz w:val="28"/>
                <w:highlight w:val="none"/>
              </w:rPr>
              <w:tab/>
            </w:r>
            <w:r>
              <w:rPr>
                <w:rFonts w:hint="eastAsia" w:ascii="Arial" w:hAnsi="Arial"/>
                <w:b w:val="0"/>
                <w:bCs w:val="0"/>
                <w:sz w:val="28"/>
                <w:highlight w:val="none"/>
              </w:rPr>
              <w:t>Immersive Communication</w:t>
            </w:r>
          </w:p>
          <w:p w14:paraId="1558DDAF">
            <w:pPr>
              <w:autoSpaceDE w:val="0"/>
              <w:autoSpaceDN w:val="0"/>
              <w:adjustRightInd w:val="0"/>
              <w:jc w:val="both"/>
              <w:rPr>
                <w:rFonts w:ascii="Times New Roman" w:hAnsi="Times New Roman" w:cs="Times New Roman"/>
                <w:b w:val="0"/>
                <w:bCs w:val="0"/>
                <w:highlight w:val="none"/>
              </w:rPr>
            </w:pPr>
            <w:r>
              <w:rPr>
                <w:rFonts w:ascii="Times New Roman" w:hAnsi="Times New Roman" w:cs="Times New Roman"/>
                <w:b w:val="0"/>
                <w:bCs w:val="0"/>
                <w:highlight w:val="none"/>
              </w:rPr>
              <w:t>The 6GR and 6G RAN architecture shall support immersive communications.</w:t>
            </w:r>
          </w:p>
          <w:p w14:paraId="0D3D47BD">
            <w:pPr>
              <w:autoSpaceDE w:val="0"/>
              <w:autoSpaceDN w:val="0"/>
              <w:adjustRightInd w:val="0"/>
              <w:jc w:val="both"/>
              <w:rPr>
                <w:rFonts w:ascii="Times New Roman" w:hAnsi="Times New Roman" w:cs="Times New Roman"/>
                <w:b w:val="0"/>
                <w:bCs w:val="0"/>
                <w:highlight w:val="none"/>
              </w:rPr>
            </w:pPr>
            <w:r>
              <w:rPr>
                <w:rFonts w:ascii="Times New Roman" w:hAnsi="Times New Roman" w:cs="Times New Roman"/>
                <w:b w:val="0"/>
                <w:bCs w:val="0"/>
                <w:highlight w:val="none"/>
              </w:rPr>
              <w:t>The composite requirement in Clause 5.1.16 is used for immersive communication.</w:t>
            </w:r>
            <w:r>
              <w:rPr>
                <w:rFonts w:hint="eastAsia" w:ascii="Times New Roman" w:hAnsi="Times New Roman" w:cs="Times New Roman"/>
                <w:b w:val="0"/>
                <w:bCs w:val="0"/>
                <w:highlight w:val="none"/>
              </w:rPr>
              <w:t xml:space="preserve"> </w:t>
            </w:r>
          </w:p>
          <w:p w14:paraId="02F5C3E1">
            <w:pPr>
              <w:autoSpaceDE w:val="0"/>
              <w:autoSpaceDN w:val="0"/>
              <w:adjustRightInd w:val="0"/>
              <w:jc w:val="both"/>
              <w:rPr>
                <w:rFonts w:ascii="Times New Roman" w:hAnsi="Times New Roman" w:cs="Times New Roman"/>
                <w:b w:val="0"/>
                <w:bCs w:val="0"/>
                <w:highlight w:val="none"/>
              </w:rPr>
            </w:pPr>
            <w:r>
              <w:rPr>
                <w:rFonts w:ascii="Times New Roman" w:hAnsi="Times New Roman" w:cs="Times New Roman"/>
                <w:b w:val="0"/>
                <w:bCs w:val="0"/>
                <w:highlight w:val="none"/>
              </w:rPr>
              <w:t>E</w:t>
            </w:r>
            <w:r>
              <w:rPr>
                <w:rFonts w:hint="eastAsia" w:ascii="Times New Roman" w:hAnsi="Times New Roman" w:cs="Times New Roman"/>
                <w:b w:val="0"/>
                <w:bCs w:val="0"/>
                <w:highlight w:val="none"/>
              </w:rPr>
              <w:t>ditor note:</w:t>
            </w:r>
            <w:r>
              <w:rPr>
                <w:rFonts w:ascii="Times New Roman" w:hAnsi="Times New Roman" w:cs="Times New Roman"/>
                <w:b w:val="0"/>
                <w:bCs w:val="0"/>
                <w:highlight w:val="none"/>
              </w:rPr>
              <w:tab/>
            </w:r>
            <w:r>
              <w:rPr>
                <w:rFonts w:hint="eastAsia" w:ascii="Times New Roman" w:hAnsi="Times New Roman" w:cs="Times New Roman"/>
                <w:b w:val="0"/>
                <w:bCs w:val="0"/>
                <w:highlight w:val="none"/>
              </w:rPr>
              <w:t>FFS on other requirements</w:t>
            </w:r>
          </w:p>
        </w:tc>
      </w:tr>
    </w:tbl>
    <w:p w14:paraId="1DAA61B6">
      <w:pPr>
        <w:rPr>
          <w:rFonts w:ascii="Times New Roman" w:hAnsi="Times New Roman" w:cs="Times New Roman"/>
          <w:b w:val="0"/>
          <w:bCs w:val="0"/>
          <w:highlight w:val="none"/>
          <w:lang w:val="en-GB"/>
        </w:rPr>
      </w:pPr>
    </w:p>
    <w:p w14:paraId="2C734C66">
      <w:pPr>
        <w:rPr>
          <w:rFonts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rPr>
        <w:t>3</w:t>
      </w:r>
      <w:r>
        <w:rPr>
          <w:rFonts w:hint="eastAsia" w:ascii="Times New Roman" w:hAnsi="Times New Roman" w:cs="Times New Roman"/>
          <w:b w:val="0"/>
          <w:bCs w:val="0"/>
          <w:highlight w:val="none"/>
          <w:lang w:val="en-GB"/>
        </w:rPr>
        <w:t>: PHY minimum peak data rate is 10 Mbps in DL and 10 Mbps in UL for lowest-tier device.</w:t>
      </w:r>
    </w:p>
    <w:p w14:paraId="5E46B141">
      <w:pPr>
        <w:rPr>
          <w:rFonts w:ascii="Times New Roman" w:hAnsi="Times New Roman" w:cs="Times New Roman"/>
          <w:b w:val="0"/>
          <w:bCs w:val="0"/>
          <w:highlight w:val="none"/>
        </w:rPr>
      </w:pPr>
      <w:r>
        <w:rPr>
          <w:rFonts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rPr>
        <w:t>4</w:t>
      </w:r>
      <w:r>
        <w:rPr>
          <w:rFonts w:ascii="Times New Roman" w:hAnsi="Times New Roman" w:cs="Times New Roman"/>
          <w:b w:val="0"/>
          <w:bCs w:val="0"/>
          <w:highlight w:val="none"/>
          <w:lang w:val="en-GB"/>
        </w:rPr>
        <w:t>: 6G</w:t>
      </w:r>
      <w:r>
        <w:rPr>
          <w:rFonts w:hint="eastAsia" w:ascii="Times New Roman" w:hAnsi="Times New Roman" w:cs="Times New Roman"/>
          <w:b w:val="0"/>
          <w:bCs w:val="0"/>
          <w:highlight w:val="none"/>
        </w:rPr>
        <w:t xml:space="preserve">R and 6G </w:t>
      </w:r>
      <w:r>
        <w:rPr>
          <w:rFonts w:ascii="Times New Roman" w:hAnsi="Times New Roman" w:cs="Times New Roman"/>
          <w:b w:val="0"/>
          <w:bCs w:val="0"/>
          <w:highlight w:val="none"/>
          <w:lang w:val="en-GB"/>
        </w:rPr>
        <w:t xml:space="preserve">RAN </w:t>
      </w:r>
      <w:r>
        <w:rPr>
          <w:rFonts w:hint="eastAsia" w:ascii="Times New Roman" w:hAnsi="Times New Roman" w:cs="Times New Roman"/>
          <w:b w:val="0"/>
          <w:bCs w:val="0"/>
          <w:highlight w:val="none"/>
        </w:rPr>
        <w:t xml:space="preserve">architecture </w:t>
      </w:r>
      <w:r>
        <w:rPr>
          <w:rFonts w:ascii="Times New Roman" w:hAnsi="Times New Roman" w:cs="Times New Roman"/>
          <w:b w:val="0"/>
          <w:bCs w:val="0"/>
          <w:highlight w:val="none"/>
          <w:lang w:val="en-GB"/>
        </w:rPr>
        <w:t>shall support efficient transmission/mechanism fo</w:t>
      </w:r>
      <w:r>
        <w:rPr>
          <w:rFonts w:hint="eastAsia" w:ascii="Times New Roman" w:hAnsi="Times New Roman" w:cs="Times New Roman"/>
          <w:b w:val="0"/>
          <w:bCs w:val="0"/>
          <w:highlight w:val="none"/>
        </w:rPr>
        <w:t>r</w:t>
      </w:r>
      <w:r>
        <w:rPr>
          <w:rFonts w:ascii="Times New Roman" w:hAnsi="Times New Roman" w:cs="Times New Roman"/>
          <w:b w:val="0"/>
          <w:bCs w:val="0"/>
          <w:color w:val="EE0000"/>
          <w:highlight w:val="none"/>
          <w:lang w:val="en-GB"/>
        </w:rPr>
        <w:t xml:space="preserve"> </w:t>
      </w:r>
      <w:r>
        <w:rPr>
          <w:rFonts w:ascii="Times New Roman" w:hAnsi="Times New Roman" w:cs="Times New Roman"/>
          <w:b w:val="0"/>
          <w:bCs w:val="0"/>
          <w:highlight w:val="none"/>
          <w:lang w:val="en-GB"/>
        </w:rPr>
        <w:t>AI applications</w:t>
      </w:r>
      <w:r>
        <w:rPr>
          <w:rFonts w:hint="eastAsia" w:ascii="Times New Roman" w:hAnsi="Times New Roman" w:cs="Times New Roman"/>
          <w:b w:val="0"/>
          <w:bCs w:val="0"/>
          <w:highlight w:val="none"/>
        </w:rPr>
        <w:t xml:space="preserve"> and services.</w:t>
      </w:r>
    </w:p>
    <w:p w14:paraId="161B3794">
      <w:pPr>
        <w:rPr>
          <w:rFonts w:ascii="Times New Roman" w:hAnsi="Times New Roman" w:cs="Times New Roman"/>
          <w:b w:val="0"/>
          <w:bCs w:val="0"/>
          <w:highlight w:val="none"/>
        </w:rPr>
      </w:pPr>
      <w:r>
        <w:rPr>
          <w:rFonts w:hint="eastAsia" w:ascii="Times New Roman" w:hAnsi="Times New Roman" w:cs="Times New Roman"/>
          <w:b w:val="0"/>
          <w:bCs w:val="0"/>
          <w:highlight w:val="none"/>
        </w:rPr>
        <w:t>Proposal 5: 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6"/>
      </w:tblGrid>
      <w:tr w14:paraId="040E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6" w:type="dxa"/>
          </w:tcPr>
          <w:p w14:paraId="2D2FD92C">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5.4.6</w:t>
            </w:r>
            <w:r>
              <w:rPr>
                <w:rFonts w:hint="eastAsia" w:ascii="Arial" w:hAnsi="Arial"/>
                <w:b w:val="0"/>
                <w:bCs w:val="0"/>
                <w:sz w:val="28"/>
                <w:highlight w:val="none"/>
              </w:rPr>
              <w:tab/>
            </w:r>
            <w:r>
              <w:rPr>
                <w:rFonts w:hint="eastAsia" w:ascii="Arial" w:hAnsi="Arial"/>
                <w:b w:val="0"/>
                <w:bCs w:val="0"/>
                <w:sz w:val="28"/>
                <w:highlight w:val="none"/>
              </w:rPr>
              <w:t>Voice</w:t>
            </w:r>
          </w:p>
          <w:p w14:paraId="1FAB2D80">
            <w:pPr>
              <w:autoSpaceDE w:val="0"/>
              <w:autoSpaceDN w:val="0"/>
              <w:adjustRightInd w:val="0"/>
              <w:jc w:val="both"/>
              <w:rPr>
                <w:rFonts w:ascii="Times New Roman" w:hAnsi="Times New Roman" w:cs="Times New Roman"/>
                <w:b w:val="0"/>
                <w:bCs w:val="0"/>
                <w:highlight w:val="none"/>
              </w:rPr>
            </w:pPr>
            <w:r>
              <w:rPr>
                <w:rFonts w:hint="eastAsia" w:ascii="Times New Roman" w:hAnsi="Times New Roman" w:cs="Times New Roman"/>
                <w:b w:val="0"/>
                <w:bCs w:val="0"/>
                <w:highlight w:val="none"/>
              </w:rPr>
              <w:t>The 6GR and 6G RAN architecture shall support Voice in 6G.</w:t>
            </w:r>
          </w:p>
          <w:p w14:paraId="04FD4A0A">
            <w:pPr>
              <w:autoSpaceDE w:val="0"/>
              <w:autoSpaceDN w:val="0"/>
              <w:adjustRightInd w:val="0"/>
              <w:jc w:val="both"/>
              <w:rPr>
                <w:rFonts w:ascii="Times New Roman" w:hAnsi="Times New Roman" w:cs="Times New Roman"/>
                <w:b w:val="0"/>
                <w:bCs w:val="0"/>
                <w:highlight w:val="none"/>
              </w:rPr>
            </w:pPr>
            <w:r>
              <w:rPr>
                <w:rFonts w:hint="eastAsia" w:ascii="Times New Roman" w:hAnsi="Times New Roman" w:cs="Times New Roman"/>
                <w:b w:val="0"/>
                <w:bCs w:val="0"/>
                <w:highlight w:val="none"/>
              </w:rPr>
              <w:t xml:space="preserve">Editor note: whether and how to support voice services if they are not provided by 6G is to be decided by SA2. 6GR and 6G RAN architecture requirements will be aligned with that. </w:t>
            </w:r>
          </w:p>
        </w:tc>
      </w:tr>
    </w:tbl>
    <w:p w14:paraId="2D019130">
      <w:pPr>
        <w:rPr>
          <w:b w:val="0"/>
          <w:bCs w:val="0"/>
          <w:highlight w:val="none"/>
        </w:rPr>
      </w:pPr>
    </w:p>
    <w:p w14:paraId="302BAB3E">
      <w:pPr>
        <w:rPr>
          <w:rFonts w:ascii="Times New Roman" w:hAnsi="Times New Roman" w:cs="Times New Roman"/>
          <w:b w:val="0"/>
          <w:bCs w:val="0"/>
          <w:highlight w:val="none"/>
        </w:rPr>
      </w:pPr>
      <w:r>
        <w:rPr>
          <w:rFonts w:hint="eastAsia" w:ascii="Times New Roman" w:hAnsi="Times New Roman" w:cs="Times New Roman"/>
          <w:b w:val="0"/>
          <w:bCs w:val="0"/>
          <w:highlight w:val="none"/>
        </w:rPr>
        <w:t>Proposal 6: 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67A5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0" w:type="dxa"/>
          </w:tcPr>
          <w:p w14:paraId="165523F8">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5.4.7</w:t>
            </w:r>
            <w:r>
              <w:rPr>
                <w:rFonts w:hint="eastAsia" w:ascii="Arial" w:hAnsi="Arial"/>
                <w:b w:val="0"/>
                <w:bCs w:val="0"/>
                <w:sz w:val="28"/>
                <w:highlight w:val="none"/>
              </w:rPr>
              <w:tab/>
            </w:r>
            <w:r>
              <w:rPr>
                <w:rFonts w:hint="eastAsia" w:ascii="Arial" w:hAnsi="Arial"/>
                <w:b w:val="0"/>
                <w:bCs w:val="0"/>
                <w:sz w:val="28"/>
                <w:highlight w:val="none"/>
              </w:rPr>
              <w:t>Regulatory Services</w:t>
            </w:r>
          </w:p>
          <w:p w14:paraId="5B51AEA5">
            <w:pPr>
              <w:autoSpaceDE w:val="0"/>
              <w:autoSpaceDN w:val="0"/>
              <w:adjustRightInd w:val="0"/>
              <w:jc w:val="both"/>
              <w:rPr>
                <w:rFonts w:ascii="Arial" w:hAnsi="Arial"/>
                <w:b w:val="0"/>
                <w:bCs w:val="0"/>
                <w:sz w:val="28"/>
                <w:highlight w:val="none"/>
              </w:rPr>
            </w:pPr>
            <w:r>
              <w:rPr>
                <w:rFonts w:hint="eastAsia" w:ascii="Times New Roman" w:hAnsi="Times New Roman" w:cs="Times New Roman"/>
                <w:b w:val="0"/>
                <w:bCs w:val="0"/>
                <w:highlight w:val="none"/>
              </w:rPr>
              <w:t xml:space="preserve">The 6GR and 6G RAN architecture shall provide mechanisms to enable regulatory services such as emergency call, </w:t>
            </w:r>
            <w:r>
              <w:rPr>
                <w:rFonts w:ascii="Times New Roman" w:hAnsi="Times New Roman" w:cs="Times New Roman"/>
                <w:b w:val="0"/>
                <w:bCs w:val="0"/>
                <w:highlight w:val="none"/>
              </w:rPr>
              <w:t>location services for regulatory compliance</w:t>
            </w:r>
            <w:r>
              <w:rPr>
                <w:rFonts w:hint="eastAsia" w:ascii="Times New Roman" w:hAnsi="Times New Roman" w:cs="Times New Roman"/>
                <w:b w:val="0"/>
                <w:bCs w:val="0"/>
                <w:highlight w:val="none"/>
              </w:rPr>
              <w:t>, Public Warning System (PWS), Lawful Interception (LI), eCall (for automotive), Disaster roaming.</w:t>
            </w:r>
          </w:p>
        </w:tc>
      </w:tr>
    </w:tbl>
    <w:p w14:paraId="5E37EF75">
      <w:pPr>
        <w:rPr>
          <w:rFonts w:ascii="Times New Roman" w:hAnsi="Times New Roman" w:cs="Times New Roman"/>
          <w:b w:val="0"/>
          <w:bCs w:val="0"/>
          <w:highlight w:val="none"/>
        </w:rPr>
      </w:pPr>
    </w:p>
    <w:p w14:paraId="22EA3904">
      <w:pPr>
        <w:rPr>
          <w:rFonts w:ascii="Times New Roman" w:hAnsi="Times New Roman" w:cs="Times New Roman"/>
          <w:b w:val="0"/>
          <w:bCs w:val="0"/>
          <w:szCs w:val="22"/>
          <w:highlight w:val="none"/>
          <w:lang w:val="en-GB"/>
        </w:rPr>
      </w:pPr>
      <w:r>
        <w:rPr>
          <w:rFonts w:hint="eastAsia" w:ascii="Times New Roman" w:hAnsi="Times New Roman" w:cs="Times New Roman"/>
          <w:b w:val="0"/>
          <w:bCs w:val="0"/>
          <w:szCs w:val="22"/>
          <w:highlight w:val="none"/>
          <w:lang w:val="en-GB"/>
        </w:rPr>
        <w:t xml:space="preserve">Proposal </w:t>
      </w:r>
      <w:r>
        <w:rPr>
          <w:rFonts w:hint="eastAsia" w:ascii="Times New Roman" w:hAnsi="Times New Roman" w:cs="Times New Roman"/>
          <w:b w:val="0"/>
          <w:bCs w:val="0"/>
          <w:szCs w:val="22"/>
          <w:highlight w:val="none"/>
        </w:rPr>
        <w:t>7</w:t>
      </w:r>
      <w:r>
        <w:rPr>
          <w:rFonts w:hint="eastAsia" w:ascii="Times New Roman" w:hAnsi="Times New Roman" w:cs="Times New Roman"/>
          <w:b w:val="0"/>
          <w:bCs w:val="0"/>
          <w:szCs w:val="22"/>
          <w:highlight w:val="none"/>
          <w:lang w:val="en-GB"/>
        </w:rPr>
        <w:t xml:space="preserve">: </w:t>
      </w:r>
      <w:r>
        <w:rPr>
          <w:rFonts w:hint="eastAsia" w:ascii="Times New Roman" w:hAnsi="Times New Roman" w:cs="Times New Roman"/>
          <w:b w:val="0"/>
          <w:bCs w:val="0"/>
          <w:highlight w:val="none"/>
        </w:rPr>
        <w:t>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3790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E9A1C4F">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5.x</w:t>
            </w:r>
            <w:r>
              <w:rPr>
                <w:rFonts w:hint="eastAsia" w:ascii="Arial" w:hAnsi="Arial"/>
                <w:b w:val="0"/>
                <w:bCs w:val="0"/>
                <w:sz w:val="28"/>
                <w:highlight w:val="none"/>
              </w:rPr>
              <w:tab/>
            </w:r>
            <w:r>
              <w:rPr>
                <w:rFonts w:hint="eastAsia" w:ascii="Arial" w:hAnsi="Arial"/>
                <w:b w:val="0"/>
                <w:bCs w:val="0"/>
                <w:sz w:val="28"/>
                <w:highlight w:val="none"/>
              </w:rPr>
              <w:t>Fixed wireless access (FWA)</w:t>
            </w:r>
          </w:p>
          <w:p w14:paraId="493CAB9C">
            <w:pPr>
              <w:autoSpaceDE w:val="0"/>
              <w:autoSpaceDN w:val="0"/>
              <w:adjustRightInd w:val="0"/>
              <w:jc w:val="both"/>
              <w:rPr>
                <w:rFonts w:ascii="Times New Roman" w:hAnsi="Times New Roman" w:cs="Times New Roman"/>
                <w:b w:val="0"/>
                <w:bCs w:val="0"/>
                <w:szCs w:val="22"/>
                <w:highlight w:val="none"/>
                <w:lang w:val="en-GB"/>
              </w:rPr>
            </w:pPr>
            <w:r>
              <w:rPr>
                <w:rFonts w:ascii="Times New Roman" w:hAnsi="Times New Roman" w:cs="Times New Roman"/>
                <w:b w:val="0"/>
                <w:bCs w:val="0"/>
                <w:iCs/>
                <w:color w:val="000000"/>
                <w:szCs w:val="22"/>
                <w:highlight w:val="none"/>
              </w:rPr>
              <w:t xml:space="preserve">The 6GR and 6G RAN architecture shall support fixed wireless access (FWA). </w:t>
            </w:r>
          </w:p>
        </w:tc>
      </w:tr>
    </w:tbl>
    <w:p w14:paraId="38C97CA0">
      <w:pPr>
        <w:rPr>
          <w:rFonts w:ascii="Times New Roman" w:hAnsi="Times New Roman" w:cs="Times New Roman"/>
          <w:b w:val="0"/>
          <w:bCs w:val="0"/>
          <w:highlight w:val="none"/>
        </w:rPr>
      </w:pPr>
    </w:p>
    <w:p w14:paraId="45BA8568">
      <w:pPr>
        <w:rPr>
          <w:rFonts w:ascii="Times New Roman" w:hAnsi="Times New Roman" w:cs="Times New Roman"/>
          <w:b w:val="0"/>
          <w:bCs w:val="0"/>
          <w:highlight w:val="none"/>
        </w:rPr>
      </w:pPr>
      <w:r>
        <w:rPr>
          <w:rFonts w:hint="eastAsia" w:ascii="Times New Roman" w:hAnsi="Times New Roman" w:cs="Times New Roman"/>
          <w:b w:val="0"/>
          <w:bCs w:val="0"/>
          <w:szCs w:val="22"/>
          <w:highlight w:val="none"/>
          <w:lang w:val="en-GB"/>
        </w:rPr>
        <w:t xml:space="preserve">Proposal </w:t>
      </w:r>
      <w:r>
        <w:rPr>
          <w:rFonts w:hint="eastAsia" w:ascii="Times New Roman" w:hAnsi="Times New Roman" w:cs="Times New Roman"/>
          <w:b w:val="0"/>
          <w:bCs w:val="0"/>
          <w:szCs w:val="22"/>
          <w:highlight w:val="none"/>
        </w:rPr>
        <w:t>8</w:t>
      </w:r>
      <w:r>
        <w:rPr>
          <w:rFonts w:hint="eastAsia" w:ascii="Times New Roman" w:hAnsi="Times New Roman" w:cs="Times New Roman"/>
          <w:b w:val="0"/>
          <w:bCs w:val="0"/>
          <w:szCs w:val="22"/>
          <w:highlight w:val="none"/>
          <w:lang w:val="en-GB"/>
        </w:rPr>
        <w:t xml:space="preserve">: </w:t>
      </w:r>
      <w:r>
        <w:rPr>
          <w:rFonts w:hint="eastAsia" w:ascii="Times New Roman" w:hAnsi="Times New Roman" w:cs="Times New Roman"/>
          <w:b w:val="0"/>
          <w:bCs w:val="0"/>
          <w:highlight w:val="none"/>
        </w:rPr>
        <w:t>Capture following test proposal in TR 38.914:</w:t>
      </w:r>
    </w:p>
    <w:tbl>
      <w:tblPr>
        <w:tblStyle w:val="51"/>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445"/>
      </w:tblGrid>
      <w:tr w14:paraId="0C00C3F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44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14:paraId="1F9CCEDC">
            <w:pPr>
              <w:keepNext/>
              <w:keepLines/>
              <w:autoSpaceDE w:val="0"/>
              <w:autoSpaceDN w:val="0"/>
              <w:adjustRightInd w:val="0"/>
              <w:spacing w:before="120"/>
              <w:ind w:left="1134" w:hanging="1134"/>
              <w:jc w:val="both"/>
              <w:outlineLvl w:val="2"/>
              <w:rPr>
                <w:rFonts w:hint="eastAsia" w:ascii="Arial" w:hAnsi="Arial" w:eastAsia="Times New Roman" w:cs="Times New Roman"/>
                <w:b w:val="0"/>
                <w:bCs w:val="0"/>
                <w:sz w:val="28"/>
                <w:highlight w:val="none"/>
              </w:rPr>
            </w:pPr>
            <w:r>
              <w:rPr>
                <w:rFonts w:hint="eastAsia" w:ascii="Arial" w:hAnsi="Arial" w:eastAsia="Times New Roman" w:cs="Times New Roman"/>
                <w:b w:val="0"/>
                <w:bCs w:val="0"/>
                <w:sz w:val="28"/>
                <w:highlight w:val="none"/>
              </w:rPr>
              <w:t>5.4.X     Support for UAV communication</w:t>
            </w:r>
          </w:p>
          <w:p w14:paraId="5DB88CDC">
            <w:pPr>
              <w:autoSpaceDE w:val="0"/>
              <w:autoSpaceDN w:val="0"/>
              <w:adjustRightInd w:val="0"/>
              <w:jc w:val="both"/>
              <w:rPr>
                <w:rFonts w:ascii="sans-serif" w:hAnsi="sans-serif" w:eastAsia="sans-serif" w:cs="sans-serif"/>
                <w:b w:val="0"/>
                <w:bCs w:val="0"/>
                <w:szCs w:val="22"/>
                <w:highlight w:val="none"/>
              </w:rPr>
            </w:pPr>
            <w:r>
              <w:rPr>
                <w:rFonts w:hint="eastAsia" w:ascii="Times New Roman" w:hAnsi="Times New Roman" w:eastAsia="Times New Roman" w:cs="Times New Roman"/>
                <w:b w:val="0"/>
                <w:bCs w:val="0"/>
                <w:iCs/>
                <w:highlight w:val="none"/>
              </w:rPr>
              <w:t>The 6GR shall provide coverage, high-capacity connectivity and mobility for UAV. The 6GR shall allow for serving UAV with both UAV dedicated and UAV non-dedicated deployments.</w:t>
            </w:r>
          </w:p>
        </w:tc>
      </w:tr>
    </w:tbl>
    <w:p w14:paraId="1469BD3C">
      <w:pPr>
        <w:rPr>
          <w:rFonts w:ascii="Times New Roman" w:hAnsi="Times New Roman" w:cs="Times New Roman"/>
          <w:b w:val="0"/>
          <w:bCs w:val="0"/>
          <w:highlight w:val="none"/>
        </w:rPr>
      </w:pPr>
    </w:p>
    <w:p w14:paraId="378D619E">
      <w:pPr>
        <w:rPr>
          <w:rFonts w:ascii="Times New Roman" w:hAnsi="Times New Roman" w:cs="Times New Roman"/>
          <w:b w:val="0"/>
          <w:bCs w:val="0"/>
          <w:szCs w:val="22"/>
          <w:highlight w:val="none"/>
          <w:lang w:val="en-GB"/>
        </w:rPr>
      </w:pPr>
      <w:r>
        <w:rPr>
          <w:rFonts w:hint="eastAsia" w:ascii="Times New Roman" w:hAnsi="Times New Roman" w:cs="Times New Roman"/>
          <w:b w:val="0"/>
          <w:bCs w:val="0"/>
          <w:szCs w:val="22"/>
          <w:highlight w:val="none"/>
          <w:lang w:val="en-GB"/>
        </w:rPr>
        <w:t xml:space="preserve">Proposal </w:t>
      </w:r>
      <w:r>
        <w:rPr>
          <w:rFonts w:hint="eastAsia" w:ascii="Times New Roman" w:hAnsi="Times New Roman" w:cs="Times New Roman"/>
          <w:b w:val="0"/>
          <w:bCs w:val="0"/>
          <w:szCs w:val="22"/>
          <w:highlight w:val="none"/>
        </w:rPr>
        <w:t>9</w:t>
      </w:r>
      <w:r>
        <w:rPr>
          <w:rFonts w:hint="eastAsia" w:ascii="Times New Roman" w:hAnsi="Times New Roman" w:cs="Times New Roman"/>
          <w:b w:val="0"/>
          <w:bCs w:val="0"/>
          <w:szCs w:val="22"/>
          <w:highlight w:val="none"/>
          <w:lang w:val="en-GB"/>
        </w:rPr>
        <w:t xml:space="preserve">: </w:t>
      </w:r>
      <w:r>
        <w:rPr>
          <w:rFonts w:hint="eastAsia" w:ascii="Times New Roman" w:hAnsi="Times New Roman" w:cs="Times New Roman"/>
          <w:b w:val="0"/>
          <w:bCs w:val="0"/>
          <w:highlight w:val="none"/>
        </w:rPr>
        <w:t>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5F5F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45E6B46D">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5.4.x</w:t>
            </w:r>
            <w:r>
              <w:rPr>
                <w:rFonts w:ascii="Arial" w:hAnsi="Arial"/>
                <w:b w:val="0"/>
                <w:bCs w:val="0"/>
                <w:sz w:val="28"/>
                <w:highlight w:val="none"/>
              </w:rPr>
              <w:tab/>
            </w:r>
            <w:r>
              <w:rPr>
                <w:rFonts w:hint="eastAsia" w:ascii="Arial" w:hAnsi="Arial"/>
                <w:b w:val="0"/>
                <w:bCs w:val="0"/>
                <w:sz w:val="28"/>
                <w:highlight w:val="none"/>
              </w:rPr>
              <w:t>Vehicular services</w:t>
            </w:r>
          </w:p>
          <w:p w14:paraId="3EA4A51F">
            <w:pPr>
              <w:autoSpaceDE w:val="0"/>
              <w:autoSpaceDN w:val="0"/>
              <w:adjustRightInd w:val="0"/>
              <w:jc w:val="both"/>
              <w:rPr>
                <w:rFonts w:ascii="Times New Roman" w:hAnsi="Times New Roman" w:cs="Times New Roman"/>
                <w:b w:val="0"/>
                <w:bCs w:val="0"/>
                <w:iCs/>
                <w:highlight w:val="none"/>
              </w:rPr>
            </w:pPr>
            <w:r>
              <w:rPr>
                <w:rFonts w:hint="eastAsia" w:ascii="Times New Roman" w:hAnsi="Times New Roman" w:cs="Times New Roman"/>
                <w:b w:val="0"/>
                <w:bCs w:val="0"/>
                <w:iCs/>
                <w:highlight w:val="none"/>
              </w:rPr>
              <w:t xml:space="preserve">The 6GR and 6G RAN architecture </w:t>
            </w:r>
            <w:r>
              <w:rPr>
                <w:rFonts w:ascii="Times New Roman" w:hAnsi="Times New Roman" w:cs="Times New Roman"/>
                <w:b w:val="0"/>
                <w:bCs w:val="0"/>
                <w:iCs/>
                <w:highlight w:val="none"/>
              </w:rPr>
              <w:t xml:space="preserve">shall support </w:t>
            </w:r>
            <w:r>
              <w:rPr>
                <w:rFonts w:hint="eastAsia" w:ascii="Times New Roman" w:hAnsi="Times New Roman" w:cs="Times New Roman"/>
                <w:b w:val="0"/>
                <w:bCs w:val="0"/>
                <w:iCs/>
                <w:highlight w:val="none"/>
              </w:rPr>
              <w:t xml:space="preserve">services to vehicles over the Uu interface. </w:t>
            </w:r>
          </w:p>
          <w:p w14:paraId="4D5F62D7">
            <w:pPr>
              <w:widowControl/>
              <w:shd w:val="clear" w:color="auto" w:fill="FFFFFF"/>
              <w:autoSpaceDE w:val="0"/>
              <w:autoSpaceDN w:val="0"/>
              <w:adjustRightInd w:val="0"/>
              <w:spacing w:after="0" w:line="127" w:lineRule="atLeast"/>
              <w:jc w:val="left"/>
              <w:rPr>
                <w:rFonts w:ascii="Times New Roman" w:hAnsi="Times New Roman" w:cs="Times New Roman"/>
                <w:b w:val="0"/>
                <w:bCs w:val="0"/>
                <w:iCs/>
                <w:highlight w:val="none"/>
              </w:rPr>
            </w:pPr>
            <w:r>
              <w:rPr>
                <w:rFonts w:hint="eastAsia" w:ascii="Times New Roman" w:hAnsi="Times New Roman" w:eastAsia="Times New Roman" w:cs="Times New Roman"/>
                <w:b w:val="0"/>
                <w:bCs w:val="0"/>
                <w:iCs/>
                <w:highlight w:val="none"/>
              </w:rPr>
              <w:t>5G NR sidelink is reused as is for 6G V2X services.</w:t>
            </w:r>
          </w:p>
        </w:tc>
      </w:tr>
    </w:tbl>
    <w:p w14:paraId="723D8CA3">
      <w:pPr>
        <w:rPr>
          <w:rFonts w:ascii="Times New Roman" w:hAnsi="Times New Roman" w:cs="Times New Roman"/>
          <w:b w:val="0"/>
          <w:bCs w:val="0"/>
          <w:highlight w:val="none"/>
        </w:rPr>
      </w:pPr>
    </w:p>
    <w:p w14:paraId="3E494838">
      <w:pPr>
        <w:rPr>
          <w:rFonts w:ascii="Times New Roman" w:hAnsi="Times New Roman" w:cs="Times New Roman"/>
          <w:b w:val="0"/>
          <w:bCs w:val="0"/>
          <w:szCs w:val="22"/>
          <w:highlight w:val="none"/>
        </w:rPr>
      </w:pPr>
      <w:r>
        <w:rPr>
          <w:rFonts w:hint="eastAsia" w:ascii="Times New Roman" w:hAnsi="Times New Roman" w:cs="Times New Roman"/>
          <w:b w:val="0"/>
          <w:bCs w:val="0"/>
          <w:szCs w:val="22"/>
          <w:highlight w:val="none"/>
          <w:lang w:val="en-GB"/>
        </w:rPr>
        <w:t>Proposal</w:t>
      </w:r>
      <w:r>
        <w:rPr>
          <w:rFonts w:hint="eastAsia" w:ascii="Times New Roman" w:hAnsi="Times New Roman" w:cs="Times New Roman"/>
          <w:b w:val="0"/>
          <w:bCs w:val="0"/>
          <w:szCs w:val="22"/>
          <w:highlight w:val="none"/>
        </w:rPr>
        <w:t xml:space="preserve"> 10</w:t>
      </w:r>
      <w:r>
        <w:rPr>
          <w:rFonts w:hint="eastAsia" w:ascii="Times New Roman" w:hAnsi="Times New Roman" w:cs="Times New Roman"/>
          <w:b w:val="0"/>
          <w:bCs w:val="0"/>
          <w:szCs w:val="22"/>
          <w:highlight w:val="none"/>
          <w:lang w:val="en-GB"/>
        </w:rPr>
        <w:t xml:space="preserve">: </w:t>
      </w:r>
      <w:r>
        <w:rPr>
          <w:rFonts w:hint="eastAsia" w:ascii="Times New Roman" w:hAnsi="Times New Roman" w:cs="Times New Roman"/>
          <w:b w:val="0"/>
          <w:bCs w:val="0"/>
          <w:highlight w:val="none"/>
        </w:rPr>
        <w:t>Capture following test proposal in TR 38.914: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8"/>
      </w:tblGrid>
      <w:tr w14:paraId="4C53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8" w:type="dxa"/>
          </w:tcPr>
          <w:p w14:paraId="1C6461B1">
            <w:pPr>
              <w:keepNext/>
              <w:keepLines/>
              <w:autoSpaceDE w:val="0"/>
              <w:autoSpaceDN w:val="0"/>
              <w:adjustRightInd w:val="0"/>
              <w:spacing w:before="120"/>
              <w:ind w:left="1134" w:hanging="1134"/>
              <w:jc w:val="both"/>
              <w:outlineLvl w:val="2"/>
              <w:rPr>
                <w:rFonts w:ascii="Times New Roman" w:hAnsi="Times New Roman" w:eastAsia="sans-serif" w:cs="Times New Roman"/>
                <w:b w:val="0"/>
                <w:bCs w:val="0"/>
                <w:color w:val="000000"/>
                <w:kern w:val="0"/>
                <w:sz w:val="24"/>
                <w:highlight w:val="none"/>
                <w:shd w:val="clear" w:color="auto" w:fill="FFFF00"/>
                <w:lang w:bidi="ar"/>
              </w:rPr>
            </w:pPr>
            <w:r>
              <w:rPr>
                <w:rFonts w:hint="eastAsia" w:ascii="Arial" w:hAnsi="Arial"/>
                <w:b w:val="0"/>
                <w:bCs w:val="0"/>
                <w:sz w:val="32"/>
                <w:szCs w:val="28"/>
                <w:highlight w:val="none"/>
              </w:rPr>
              <w:t>5.4.x     Mission Critical Communication Services</w:t>
            </w:r>
          </w:p>
          <w:p w14:paraId="52047281">
            <w:pPr>
              <w:widowControl/>
              <w:shd w:val="clear" w:color="auto" w:fill="FFFFFF"/>
              <w:autoSpaceDE w:val="0"/>
              <w:autoSpaceDN w:val="0"/>
              <w:adjustRightInd w:val="0"/>
              <w:spacing w:after="0" w:line="127" w:lineRule="atLeast"/>
              <w:jc w:val="left"/>
              <w:rPr>
                <w:rFonts w:hint="eastAsia" w:ascii="Times New Roman" w:hAnsi="Times New Roman" w:eastAsia="Times New Roman" w:cs="Times New Roman"/>
                <w:b w:val="0"/>
                <w:bCs w:val="0"/>
                <w:iCs/>
                <w:highlight w:val="none"/>
              </w:rPr>
            </w:pPr>
            <w:r>
              <w:rPr>
                <w:rFonts w:hint="eastAsia" w:ascii="Times New Roman" w:hAnsi="Times New Roman" w:eastAsia="Times New Roman" w:cs="Times New Roman"/>
                <w:b w:val="0"/>
                <w:bCs w:val="0"/>
                <w:iCs/>
                <w:highlight w:val="none"/>
              </w:rPr>
              <w:t>The 6GR and 6G RAN architecture shall support Mission Critical Communications services (e.g. MCPTT, MCVideo, MCData).</w:t>
            </w:r>
          </w:p>
          <w:p w14:paraId="0FA9A957">
            <w:pPr>
              <w:widowControl/>
              <w:shd w:val="clear" w:color="auto" w:fill="FFFFFF"/>
              <w:autoSpaceDE w:val="0"/>
              <w:autoSpaceDN w:val="0"/>
              <w:adjustRightInd w:val="0"/>
              <w:spacing w:after="0" w:line="127" w:lineRule="atLeast"/>
              <w:jc w:val="left"/>
              <w:rPr>
                <w:rFonts w:hint="eastAsia" w:ascii="Times New Roman" w:hAnsi="Times New Roman" w:eastAsia="Times New Roman" w:cs="Times New Roman"/>
                <w:b w:val="0"/>
                <w:bCs w:val="0"/>
                <w:iCs/>
                <w:highlight w:val="none"/>
              </w:rPr>
            </w:pPr>
          </w:p>
          <w:p w14:paraId="7AD22659">
            <w:pPr>
              <w:widowControl/>
              <w:shd w:val="clear" w:color="auto" w:fill="FFFFFF"/>
              <w:autoSpaceDE w:val="0"/>
              <w:autoSpaceDN w:val="0"/>
              <w:adjustRightInd w:val="0"/>
              <w:spacing w:after="0" w:line="127" w:lineRule="atLeast"/>
              <w:jc w:val="left"/>
              <w:rPr>
                <w:rFonts w:hint="eastAsia" w:ascii="Times New Roman" w:hAnsi="Times New Roman" w:eastAsia="Times New Roman" w:cs="Times New Roman"/>
                <w:b w:val="0"/>
                <w:bCs w:val="0"/>
                <w:iCs/>
                <w:highlight w:val="none"/>
              </w:rPr>
            </w:pPr>
            <w:r>
              <w:rPr>
                <w:rFonts w:hint="eastAsia" w:ascii="Times New Roman" w:hAnsi="Times New Roman" w:eastAsia="Times New Roman" w:cs="Times New Roman"/>
                <w:b w:val="0"/>
                <w:bCs w:val="0"/>
                <w:iCs/>
                <w:highlight w:val="none"/>
              </w:rPr>
              <w:t>5G broadcast, 5G NR multicast and 5G NR sidelink are reused as is for 6G mission critical communications services.</w:t>
            </w:r>
          </w:p>
          <w:p w14:paraId="6B1629ED">
            <w:pPr>
              <w:widowControl/>
              <w:shd w:val="clear" w:color="auto" w:fill="FFFFFF"/>
              <w:autoSpaceDE w:val="0"/>
              <w:autoSpaceDN w:val="0"/>
              <w:adjustRightInd w:val="0"/>
              <w:spacing w:after="0"/>
              <w:jc w:val="left"/>
              <w:rPr>
                <w:rFonts w:ascii="Times New Roman" w:hAnsi="Times New Roman" w:cs="Times New Roman"/>
                <w:b w:val="0"/>
                <w:bCs w:val="0"/>
                <w:highlight w:val="none"/>
              </w:rPr>
            </w:pPr>
          </w:p>
        </w:tc>
      </w:tr>
    </w:tbl>
    <w:p w14:paraId="4A10B0AC">
      <w:pPr>
        <w:rPr>
          <w:rFonts w:eastAsiaTheme="minorEastAsia"/>
          <w:b/>
          <w:sz w:val="28"/>
          <w:u w:val="single"/>
          <w:lang w:eastAsia="zh-CN"/>
        </w:rPr>
      </w:pPr>
    </w:p>
    <w:p w14:paraId="394F81AD">
      <w:pPr>
        <w:rPr>
          <w:rFonts w:hint="default" w:eastAsiaTheme="minorEastAsia"/>
          <w:b/>
          <w:sz w:val="22"/>
          <w:szCs w:val="16"/>
          <w:highlight w:val="none"/>
          <w:u w:val="single"/>
          <w:lang w:val="en-US" w:eastAsia="zh-CN"/>
        </w:rPr>
      </w:pPr>
      <w:r>
        <w:rPr>
          <w:rFonts w:hint="eastAsia" w:eastAsiaTheme="minorEastAsia"/>
          <w:b/>
          <w:sz w:val="22"/>
          <w:szCs w:val="16"/>
          <w:highlight w:val="none"/>
          <w:u w:val="single"/>
          <w:lang w:eastAsia="zh-CN"/>
        </w:rPr>
        <w:t xml:space="preserve">For </w:t>
      </w:r>
      <w:r>
        <w:rPr>
          <w:rFonts w:hint="eastAsia" w:eastAsiaTheme="minorEastAsia"/>
          <w:b/>
          <w:sz w:val="22"/>
          <w:szCs w:val="16"/>
          <w:highlight w:val="none"/>
          <w:u w:val="single"/>
          <w:lang w:val="en-US" w:eastAsia="zh-CN"/>
        </w:rPr>
        <w:t>Key Technical Principles</w:t>
      </w:r>
    </w:p>
    <w:p w14:paraId="766619B0">
      <w:pPr>
        <w:textAlignment w:val="auto"/>
        <w:rPr>
          <w:rFonts w:hint="default" w:ascii="Times New Roman" w:hAnsi="Times New Roman" w:eastAsia="Times New Roman" w:cs="Times New Roman"/>
          <w:b/>
          <w:bCs w:val="0"/>
          <w:lang w:val="en-US" w:eastAsia="zh-CN"/>
        </w:rPr>
      </w:pPr>
      <w:r>
        <w:rPr>
          <w:rFonts w:hint="eastAsia" w:ascii="Times New Roman" w:hAnsi="Times New Roman" w:eastAsia="Times New Roman" w:cs="Times New Roman"/>
          <w:b/>
          <w:bCs w:val="0"/>
          <w:lang w:val="en-US" w:eastAsia="zh-CN"/>
        </w:rPr>
        <w:t>Agreement:</w:t>
      </w:r>
    </w:p>
    <w:p w14:paraId="4A488A9D">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1.Take scope section as a baseline (i.e. the content of what’s in the scope aren’t duplicated)</w:t>
      </w:r>
    </w:p>
    <w:p w14:paraId="3C9F9392">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 xml:space="preserve">2.Identify what is missing from the scope that is a technical principle and agree what should be added to the TR </w:t>
      </w:r>
    </w:p>
    <w:p w14:paraId="1E205E1F">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 xml:space="preserve">3.After we have identified all technical principles that need to be added on top of what’s already in the scope, we can discuss and agree where to put them in the TR (e.g. in the scope section that is extended to include technical principles or in the technical principle section that contains additional principles not already in the scope). </w:t>
      </w:r>
    </w:p>
    <w:p w14:paraId="61BBA685">
      <w:pPr>
        <w:textAlignment w:val="auto"/>
        <w:rPr>
          <w:rFonts w:hint="eastAsia" w:ascii="Times New Roman" w:hAnsi="Times New Roman" w:eastAsia="Times New Roman" w:cs="Times New Roman"/>
          <w:bCs/>
          <w:lang w:eastAsia="zh-CN"/>
        </w:rPr>
      </w:pPr>
    </w:p>
    <w:p w14:paraId="578AF24E">
      <w:pPr>
        <w:rPr>
          <w:rFonts w:hint="default" w:eastAsiaTheme="minorEastAsia"/>
          <w:b/>
          <w:sz w:val="22"/>
          <w:szCs w:val="16"/>
          <w:highlight w:val="none"/>
          <w:u w:val="single"/>
          <w:lang w:val="en-US" w:eastAsia="zh-CN"/>
        </w:rPr>
      </w:pPr>
      <w:r>
        <w:rPr>
          <w:rFonts w:hint="eastAsia" w:eastAsiaTheme="minorEastAsia"/>
          <w:b/>
          <w:sz w:val="22"/>
          <w:szCs w:val="16"/>
          <w:highlight w:val="none"/>
          <w:u w:val="single"/>
          <w:lang w:eastAsia="zh-CN"/>
        </w:rPr>
        <w:t>For Testing and Conformance</w:t>
      </w:r>
    </w:p>
    <w:p w14:paraId="4379FCA2">
      <w:pPr>
        <w:textAlignment w:val="auto"/>
        <w:rPr>
          <w:rFonts w:hint="default" w:ascii="Times New Roman" w:hAnsi="Times New Roman" w:eastAsia="Times New Roman" w:cs="Times New Roman"/>
          <w:b/>
          <w:bCs w:val="0"/>
          <w:lang w:val="en-US" w:eastAsia="zh-CN"/>
        </w:rPr>
      </w:pPr>
      <w:r>
        <w:rPr>
          <w:rFonts w:hint="eastAsia" w:ascii="Times New Roman" w:hAnsi="Times New Roman" w:eastAsia="Times New Roman" w:cs="Times New Roman"/>
          <w:b/>
          <w:bCs w:val="0"/>
          <w:lang w:val="en-US" w:eastAsia="zh-CN"/>
        </w:rPr>
        <w:t>Agreement:</w:t>
      </w:r>
    </w:p>
    <w:p w14:paraId="738CF8E5">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Further study the necessity and feasibility on how to improve the deployment and IoDT availability [end to end], which aims to ensure the deployment of at least the mandatory features by both the network and the UE.</w:t>
      </w:r>
    </w:p>
    <w:p w14:paraId="4B2C8E8E">
      <w:pPr>
        <w:numPr>
          <w:ilvl w:val="0"/>
          <w:numId w:val="13"/>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 xml:space="preserve">The context of 6G mandatory features will be part of the study. </w:t>
      </w:r>
    </w:p>
    <w:p w14:paraId="6D3703E1">
      <w:pPr>
        <w:numPr>
          <w:ilvl w:val="0"/>
          <w:numId w:val="13"/>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 xml:space="preserve">It is FFS how to extend the outcome of this study to optional features.  </w:t>
      </w:r>
    </w:p>
    <w:p w14:paraId="5B607919">
      <w:pPr>
        <w:textAlignment w:val="auto"/>
        <w:rPr>
          <w:rFonts w:hint="eastAsia" w:ascii="Times New Roman" w:hAnsi="Times New Roman" w:eastAsia="Times New Roman" w:cs="Times New Roman"/>
          <w:bCs/>
          <w:lang w:eastAsia="zh-CN"/>
        </w:rPr>
      </w:pPr>
    </w:p>
    <w:p w14:paraId="0E9F5B70">
      <w:pPr>
        <w:pStyle w:val="5"/>
        <w:rPr>
          <w:lang w:eastAsia="ja-JP"/>
        </w:rPr>
      </w:pPr>
      <w:r>
        <w:rPr>
          <w:lang w:eastAsia="ja-JP"/>
        </w:rPr>
        <w:t>2.0.2</w:t>
      </w:r>
      <w:r>
        <w:rPr>
          <w:lang w:eastAsia="ja-JP"/>
        </w:rPr>
        <w:tab/>
      </w:r>
      <w:r>
        <w:rPr>
          <w:lang w:eastAsia="ja-JP"/>
        </w:rPr>
        <w:t>Remaining Open issues</w:t>
      </w:r>
    </w:p>
    <w:p w14:paraId="782BDBD0">
      <w:pPr>
        <w:pStyle w:val="131"/>
        <w:widowControl/>
        <w:numPr>
          <w:ilvl w:val="0"/>
          <w:numId w:val="14"/>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Pr>
          <w:rFonts w:hint="eastAsia" w:ascii="Times New Roman" w:hAnsi="Times New Roman" w:eastAsiaTheme="minorEastAsia"/>
          <w:sz w:val="20"/>
          <w:szCs w:val="20"/>
          <w:lang w:eastAsia="zh-CN"/>
        </w:rPr>
        <w:t>I</w:t>
      </w:r>
      <w:r>
        <w:rPr>
          <w:rFonts w:ascii="Times New Roman" w:hAnsi="Times New Roman"/>
          <w:sz w:val="20"/>
          <w:szCs w:val="20"/>
        </w:rPr>
        <w:t>nvestigate a candidate set of items for minimum TPRs based on the Recommendation ITU-R M.2160, and</w:t>
      </w:r>
      <w:r>
        <w:rPr>
          <w:rFonts w:ascii="Times New Roman" w:hAnsi="Times New Roman"/>
          <w:sz w:val="20"/>
          <w:szCs w:val="20"/>
          <w:lang w:eastAsia="zh-CN"/>
        </w:rPr>
        <w:t>, where applicable,</w:t>
      </w:r>
      <w:r>
        <w:rPr>
          <w:rFonts w:ascii="Times New Roman" w:hAnsi="Times New Roman"/>
          <w:sz w:val="20"/>
          <w:szCs w:val="20"/>
        </w:rPr>
        <w:t xml:space="preserve"> the associated target values </w:t>
      </w:r>
      <w:r>
        <w:rPr>
          <w:rFonts w:ascii="Times New Roman" w:hAnsi="Times New Roman"/>
          <w:sz w:val="20"/>
          <w:szCs w:val="20"/>
          <w:lang w:eastAsia="zh-CN"/>
        </w:rPr>
        <w:t xml:space="preserve">and key assumptions </w:t>
      </w:r>
      <w:r>
        <w:rPr>
          <w:rFonts w:ascii="Times New Roman" w:hAnsi="Times New Roman"/>
          <w:sz w:val="20"/>
          <w:szCs w:val="20"/>
        </w:rPr>
        <w:t>for the identified minimum TPRs.</w:t>
      </w:r>
    </w:p>
    <w:p w14:paraId="459CC28F">
      <w:pPr>
        <w:pStyle w:val="131"/>
        <w:widowControl/>
        <w:numPr>
          <w:ilvl w:val="1"/>
          <w:numId w:val="14"/>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The outcome is expected to be shared </w:t>
      </w:r>
      <w:r>
        <w:rPr>
          <w:rFonts w:ascii="Times New Roman" w:hAnsi="Times New Roman"/>
          <w:sz w:val="20"/>
          <w:szCs w:val="20"/>
          <w:lang w:eastAsia="zh-CN"/>
        </w:rPr>
        <w:t xml:space="preserve">by LS </w:t>
      </w:r>
      <w:r>
        <w:rPr>
          <w:rFonts w:ascii="Times New Roman" w:hAnsi="Times New Roman"/>
          <w:sz w:val="20"/>
          <w:szCs w:val="20"/>
        </w:rPr>
        <w:t>with ITU-R WP5D, as suitable, and used as a baseline for the subsequent study 6G in RAN</w:t>
      </w:r>
    </w:p>
    <w:p w14:paraId="29E0B580">
      <w:pPr>
        <w:numPr>
          <w:ilvl w:val="0"/>
          <w:numId w:val="14"/>
        </w:numPr>
        <w:spacing w:line="360" w:lineRule="auto"/>
        <w:contextualSpacing/>
        <w:rPr>
          <w:rFonts w:eastAsia="等线"/>
        </w:rPr>
      </w:pPr>
      <w:r>
        <w:rPr>
          <w:rFonts w:eastAsia="等线"/>
        </w:rPr>
        <w:t>Identify typical and practical deployment scenarios defined by attributes such as carrier frequency, inter-site distance, user density, maximum mobility speed, and other relevant factors.</w:t>
      </w:r>
    </w:p>
    <w:p w14:paraId="2C9FC944">
      <w:pPr>
        <w:numPr>
          <w:ilvl w:val="0"/>
          <w:numId w:val="14"/>
        </w:numPr>
        <w:spacing w:line="360" w:lineRule="auto"/>
        <w:contextualSpacing/>
        <w:rPr>
          <w:rFonts w:eastAsia="等线"/>
          <w:bCs/>
          <w:iCs/>
        </w:rPr>
      </w:pPr>
      <w:r>
        <w:rPr>
          <w:rFonts w:eastAsia="等线"/>
        </w:rPr>
        <w:t>Develop 3GPP requirements for 6G Radio for improvement of existing services and for new services.</w:t>
      </w:r>
    </w:p>
    <w:p w14:paraId="08F90069">
      <w:pPr>
        <w:numPr>
          <w:ilvl w:val="0"/>
          <w:numId w:val="14"/>
        </w:numPr>
        <w:spacing w:line="360" w:lineRule="auto"/>
        <w:contextualSpacing/>
        <w:rPr>
          <w:rFonts w:eastAsia="等线"/>
        </w:rPr>
      </w:pPr>
      <w:bookmarkStart w:id="2" w:name="OLE_LINK1"/>
      <w:r>
        <w:rPr>
          <w:rFonts w:eastAsia="等线"/>
        </w:rPr>
        <w:t>Determine the applicability of legacy services to 6G Radio, and define radio requirements for these, as appropriate.</w:t>
      </w:r>
      <w:bookmarkEnd w:id="2"/>
    </w:p>
    <w:p w14:paraId="5391734A">
      <w:pPr>
        <w:numPr>
          <w:ilvl w:val="0"/>
          <w:numId w:val="14"/>
        </w:numPr>
        <w:spacing w:line="360" w:lineRule="auto"/>
        <w:contextualSpacing/>
        <w:rPr>
          <w:rFonts w:eastAsia="等线"/>
        </w:rPr>
      </w:pPr>
      <w:r>
        <w:rPr>
          <w:rFonts w:eastAsia="等线"/>
        </w:rPr>
        <w:t xml:space="preserve">Develop 3GPP requirements for 6G Radio for these practical deployment scenarios to ensure substantial gains in all relevant bands: overall performance, user experience, TCO reduction including at least: </w:t>
      </w:r>
    </w:p>
    <w:p w14:paraId="0E00D21A">
      <w:pPr>
        <w:numPr>
          <w:ilvl w:val="1"/>
          <w:numId w:val="14"/>
        </w:numPr>
        <w:spacing w:line="360" w:lineRule="auto"/>
        <w:contextualSpacing/>
        <w:rPr>
          <w:rFonts w:eastAsia="等线"/>
          <w:bCs/>
          <w:iCs/>
        </w:rPr>
      </w:pPr>
      <w:r>
        <w:rPr>
          <w:rFonts w:eastAsia="等线"/>
          <w:bCs/>
          <w:iCs/>
        </w:rPr>
        <w:t>Ensure appropriate set of functionalities, minimize the adoption of multiple options for the same functionality, avoid excessive configurations, excessive UE capabilities and UE capabilities reporting</w:t>
      </w:r>
    </w:p>
    <w:p w14:paraId="5088D85B">
      <w:pPr>
        <w:numPr>
          <w:ilvl w:val="1"/>
          <w:numId w:val="14"/>
        </w:numPr>
        <w:spacing w:line="360" w:lineRule="auto"/>
        <w:contextualSpacing/>
        <w:rPr>
          <w:rFonts w:eastAsia="等线"/>
          <w:bCs/>
          <w:iCs/>
        </w:rPr>
      </w:pPr>
      <w:r>
        <w:rPr>
          <w:rFonts w:eastAsia="等线"/>
          <w:bCs/>
          <w:iCs/>
        </w:rPr>
        <w:t>Energy efficiency and energy saving: both for network and device</w:t>
      </w:r>
    </w:p>
    <w:p w14:paraId="2CE0FBA5">
      <w:pPr>
        <w:numPr>
          <w:ilvl w:val="1"/>
          <w:numId w:val="14"/>
        </w:numPr>
        <w:spacing w:line="360" w:lineRule="auto"/>
        <w:contextualSpacing/>
        <w:rPr>
          <w:rFonts w:eastAsia="等线"/>
          <w:bCs/>
          <w:iCs/>
        </w:rPr>
      </w:pPr>
      <w:r>
        <w:rPr>
          <w:rFonts w:eastAsia="等线"/>
          <w:bCs/>
          <w:iCs/>
        </w:rPr>
        <w:t xml:space="preserve">Enhanced spectral efficiency </w:t>
      </w:r>
    </w:p>
    <w:p w14:paraId="4E22A196">
      <w:pPr>
        <w:numPr>
          <w:ilvl w:val="1"/>
          <w:numId w:val="14"/>
        </w:numPr>
        <w:spacing w:line="360" w:lineRule="auto"/>
        <w:contextualSpacing/>
        <w:rPr>
          <w:rFonts w:eastAsia="等线"/>
          <w:bCs/>
          <w:iCs/>
        </w:rPr>
      </w:pPr>
      <w:r>
        <w:rPr>
          <w:rFonts w:eastAsia="等线"/>
          <w:bCs/>
          <w:iCs/>
        </w:rPr>
        <w:t>Enhance</w:t>
      </w:r>
      <w:r>
        <w:rPr>
          <w:rFonts w:eastAsia="等线"/>
          <w:bCs/>
          <w:iCs/>
          <w:lang w:eastAsia="zh-CN"/>
        </w:rPr>
        <w:t xml:space="preserve">d </w:t>
      </w:r>
      <w:r>
        <w:rPr>
          <w:rFonts w:eastAsia="等线"/>
          <w:bCs/>
          <w:iCs/>
        </w:rPr>
        <w:t>overall coverage, focus on</w:t>
      </w:r>
      <w:r>
        <w:rPr>
          <w:rFonts w:eastAsia="等线"/>
          <w:bCs/>
          <w:iCs/>
          <w:lang w:eastAsia="zh-CN"/>
        </w:rPr>
        <w:t xml:space="preserve"> </w:t>
      </w:r>
      <w:r>
        <w:rPr>
          <w:rFonts w:eastAsia="等线"/>
          <w:bCs/>
          <w:iCs/>
        </w:rPr>
        <w:t>cell-edge performance</w:t>
      </w:r>
      <w:r>
        <w:rPr>
          <w:rFonts w:eastAsia="等线"/>
          <w:bCs/>
          <w:iCs/>
          <w:lang w:eastAsia="zh-CN"/>
        </w:rPr>
        <w:t xml:space="preserve"> and </w:t>
      </w:r>
      <w:r>
        <w:rPr>
          <w:rFonts w:eastAsia="等线"/>
          <w:bCs/>
          <w:iCs/>
        </w:rPr>
        <w:t xml:space="preserve">UL </w:t>
      </w:r>
      <w:r>
        <w:rPr>
          <w:rFonts w:eastAsia="等线"/>
          <w:bCs/>
          <w:iCs/>
          <w:lang w:eastAsia="zh-CN"/>
        </w:rPr>
        <w:t>coverage</w:t>
      </w:r>
    </w:p>
    <w:p w14:paraId="219DDD9F">
      <w:pPr>
        <w:numPr>
          <w:ilvl w:val="1"/>
          <w:numId w:val="14"/>
        </w:numPr>
        <w:spacing w:line="360" w:lineRule="auto"/>
        <w:contextualSpacing/>
        <w:rPr>
          <w:rFonts w:eastAsia="等线"/>
          <w:bCs/>
          <w:iCs/>
        </w:rPr>
      </w:pPr>
      <w:r>
        <w:rPr>
          <w:rFonts w:eastAsia="等线"/>
          <w:bCs/>
          <w:iCs/>
        </w:rPr>
        <w:t xml:space="preserve">Wider channel bandwidth (at least 200MHz) support for 6G deployments </w:t>
      </w:r>
      <w:r>
        <w:rPr>
          <w:rFonts w:eastAsia="等线"/>
          <w:bCs/>
          <w:iCs/>
          <w:lang w:eastAsia="zh-CN"/>
        </w:rPr>
        <w:t>at least</w:t>
      </w:r>
      <w:r>
        <w:rPr>
          <w:rFonts w:eastAsia="等线"/>
          <w:bCs/>
          <w:iCs/>
        </w:rPr>
        <w:t xml:space="preserve"> </w:t>
      </w:r>
      <w:r>
        <w:rPr>
          <w:rFonts w:eastAsia="等线"/>
          <w:bCs/>
          <w:iCs/>
          <w:lang w:eastAsia="zh-CN"/>
        </w:rPr>
        <w:t xml:space="preserve">above 2 GHz, </w:t>
      </w:r>
      <w:r>
        <w:rPr>
          <w:rFonts w:eastAsia="等线"/>
          <w:bCs/>
          <w:iCs/>
        </w:rPr>
        <w:t>around 7 GHz</w:t>
      </w:r>
    </w:p>
    <w:p w14:paraId="404BE657">
      <w:pPr>
        <w:numPr>
          <w:ilvl w:val="1"/>
          <w:numId w:val="14"/>
        </w:numPr>
        <w:spacing w:line="360" w:lineRule="auto"/>
        <w:contextualSpacing/>
        <w:rPr>
          <w:rFonts w:eastAsia="等线"/>
          <w:bCs/>
          <w:iCs/>
        </w:rPr>
      </w:pPr>
      <w:r>
        <w:rPr>
          <w:rFonts w:eastAsia="等线"/>
          <w:bCs/>
          <w:iCs/>
        </w:rPr>
        <w:t>Re-use of existing 5G mid-band (~3.5GHz) site grid for 6G deployments in at least around 7 GHz and targeting comparable coverage to 5G mid-band</w:t>
      </w:r>
    </w:p>
    <w:p w14:paraId="3AD07FAE">
      <w:pPr>
        <w:numPr>
          <w:ilvl w:val="1"/>
          <w:numId w:val="14"/>
        </w:numPr>
        <w:spacing w:line="360" w:lineRule="auto"/>
        <w:contextualSpacing/>
        <w:rPr>
          <w:rFonts w:eastAsia="等线"/>
          <w:bCs/>
          <w:iCs/>
        </w:rPr>
      </w:pPr>
      <w:r>
        <w:rPr>
          <w:rFonts w:eastAsia="等线"/>
          <w:bCs/>
          <w:iCs/>
        </w:rPr>
        <w:t>Target scalable and forward compatible design for diverse device types</w:t>
      </w:r>
    </w:p>
    <w:p w14:paraId="6BBF1B83">
      <w:pPr>
        <w:numPr>
          <w:ilvl w:val="1"/>
          <w:numId w:val="14"/>
        </w:numPr>
        <w:spacing w:line="360" w:lineRule="auto"/>
        <w:contextualSpacing/>
        <w:rPr>
          <w:rFonts w:eastAsia="等线"/>
          <w:bCs/>
          <w:iCs/>
        </w:rPr>
      </w:pPr>
      <w:r>
        <w:rPr>
          <w:rFonts w:eastAsia="等线"/>
          <w:bCs/>
          <w:iCs/>
        </w:rPr>
        <w:t>Improved spectrum utilization and operations taking into account diverse spectrum allocations</w:t>
      </w:r>
    </w:p>
    <w:p w14:paraId="1D8F609C">
      <w:pPr>
        <w:numPr>
          <w:ilvl w:val="1"/>
          <w:numId w:val="14"/>
        </w:numPr>
        <w:spacing w:line="360" w:lineRule="auto"/>
        <w:contextualSpacing/>
        <w:rPr>
          <w:rFonts w:eastAsia="等线"/>
          <w:bCs/>
          <w:iCs/>
        </w:rPr>
      </w:pPr>
      <w:r>
        <w:rPr>
          <w:rFonts w:eastAsia="等线"/>
          <w:bCs/>
          <w:iCs/>
        </w:rPr>
        <w:t xml:space="preserve">Aim at using common 6G Radio design, which meets mobile broadband service requirements </w:t>
      </w:r>
      <w:r>
        <w:rPr>
          <w:rFonts w:eastAsia="等线"/>
          <w:bCs/>
          <w:iCs/>
          <w:lang w:eastAsia="zh-CN"/>
        </w:rPr>
        <w:t>as</w:t>
      </w:r>
      <w:r>
        <w:rPr>
          <w:rFonts w:eastAsia="等线"/>
          <w:bCs/>
          <w:iCs/>
        </w:rPr>
        <w:t xml:space="preserve"> high priority, to also meet vertical needs</w:t>
      </w:r>
    </w:p>
    <w:p w14:paraId="207A096E">
      <w:pPr>
        <w:numPr>
          <w:ilvl w:val="1"/>
          <w:numId w:val="14"/>
        </w:numPr>
        <w:spacing w:line="360" w:lineRule="auto"/>
        <w:contextualSpacing/>
        <w:rPr>
          <w:rFonts w:eastAsia="等线"/>
          <w:iCs/>
        </w:rPr>
      </w:pPr>
      <w:bookmarkStart w:id="3" w:name="OLE_LINK3"/>
      <w:r>
        <w:rPr>
          <w:rFonts w:eastAsia="等线"/>
          <w:iCs/>
        </w:rPr>
        <w:t>Aim at a harmonized 6G Radio design for TN and NTN, including their integration</w:t>
      </w:r>
    </w:p>
    <w:bookmarkEnd w:id="3"/>
    <w:p w14:paraId="04C882C0">
      <w:pPr>
        <w:numPr>
          <w:ilvl w:val="1"/>
          <w:numId w:val="14"/>
        </w:numPr>
        <w:spacing w:line="360" w:lineRule="auto"/>
        <w:contextualSpacing/>
        <w:rPr>
          <w:rFonts w:eastAsia="等线"/>
          <w:bCs/>
          <w:iCs/>
        </w:rPr>
      </w:pPr>
      <w:r>
        <w:rPr>
          <w:rFonts w:eastAsia="等线"/>
          <w:bCs/>
          <w:iCs/>
          <w:lang w:val="en-US"/>
        </w:rPr>
        <w:t>System simplification, including reducing configuration complexity, enabling more efficient Cell/UE management, etc</w:t>
      </w:r>
      <w:r>
        <w:rPr>
          <w:rFonts w:eastAsia="等线"/>
          <w:bCs/>
          <w:iCs/>
          <w:lang w:eastAsia="zh-CN"/>
        </w:rPr>
        <w:t>.</w:t>
      </w:r>
    </w:p>
    <w:p w14:paraId="1B4CC5A9">
      <w:pPr>
        <w:numPr>
          <w:ilvl w:val="0"/>
          <w:numId w:val="14"/>
        </w:numPr>
        <w:spacing w:line="360" w:lineRule="auto"/>
        <w:contextualSpacing/>
        <w:rPr>
          <w:rFonts w:eastAsia="等线"/>
          <w:bCs/>
          <w:iCs/>
        </w:rPr>
      </w:pPr>
      <w:r>
        <w:rPr>
          <w:rFonts w:eastAsia="等线"/>
          <w:bCs/>
          <w:iCs/>
        </w:rPr>
        <w:t>Define a time plan and steer work as appropriate for the RAN WGs during the 6G WG SI to deliver high-level decisions at least on the following areas:</w:t>
      </w:r>
    </w:p>
    <w:p w14:paraId="6B47A9ED">
      <w:pPr>
        <w:numPr>
          <w:ilvl w:val="1"/>
          <w:numId w:val="14"/>
        </w:numPr>
        <w:spacing w:line="360" w:lineRule="auto"/>
        <w:contextualSpacing/>
        <w:rPr>
          <w:rFonts w:eastAsia="等线"/>
          <w:bCs/>
          <w:iCs/>
        </w:rPr>
      </w:pPr>
      <w:r>
        <w:rPr>
          <w:rFonts w:eastAsia="等线"/>
          <w:bCs/>
          <w:iCs/>
        </w:rPr>
        <w:t>Fundamental 6G radio design aspects: waveform, numerology, channel coding, etc…</w:t>
      </w:r>
    </w:p>
    <w:p w14:paraId="374ED884">
      <w:pPr>
        <w:numPr>
          <w:ilvl w:val="1"/>
          <w:numId w:val="14"/>
        </w:numPr>
        <w:spacing w:line="360" w:lineRule="auto"/>
        <w:contextualSpacing/>
        <w:rPr>
          <w:rFonts w:eastAsia="等线"/>
          <w:bCs/>
          <w:iCs/>
        </w:rPr>
      </w:pPr>
      <w:r>
        <w:rPr>
          <w:rFonts w:eastAsia="等线"/>
          <w:bCs/>
          <w:iCs/>
        </w:rPr>
        <w:t>Overall high-level aspects of 5G to 6G migration</w:t>
      </w:r>
    </w:p>
    <w:p w14:paraId="66D51DB0">
      <w:pPr>
        <w:numPr>
          <w:ilvl w:val="1"/>
          <w:numId w:val="14"/>
        </w:numPr>
        <w:spacing w:line="360" w:lineRule="auto"/>
        <w:contextualSpacing/>
        <w:rPr>
          <w:rFonts w:eastAsia="等线"/>
          <w:bCs/>
          <w:iCs/>
        </w:rPr>
      </w:pPr>
      <w:r>
        <w:rPr>
          <w:rFonts w:eastAsia="等线"/>
          <w:bCs/>
          <w:iCs/>
        </w:rPr>
        <w:t>RAN architecture and interfaces, including RAN-Core interface</w:t>
      </w:r>
    </w:p>
    <w:p w14:paraId="18E0CBB2">
      <w:pPr>
        <w:numPr>
          <w:ilvl w:val="1"/>
          <w:numId w:val="14"/>
        </w:numPr>
        <w:spacing w:line="360" w:lineRule="auto"/>
        <w:contextualSpacing/>
        <w:rPr>
          <w:rFonts w:eastAsia="等线"/>
          <w:bCs/>
          <w:iCs/>
        </w:rPr>
      </w:pPr>
      <w:r>
        <w:rPr>
          <w:rFonts w:eastAsia="等线"/>
          <w:bCs/>
          <w:iCs/>
        </w:rPr>
        <w:t>Coordination of 6G AI/ML framework</w:t>
      </w:r>
    </w:p>
    <w:p w14:paraId="1E852B1A">
      <w:pPr>
        <w:rPr>
          <w:rFonts w:eastAsiaTheme="minorEastAsia"/>
          <w:szCs w:val="21"/>
          <w:lang w:eastAsia="zh-CN"/>
        </w:rPr>
      </w:pPr>
    </w:p>
    <w:p w14:paraId="36F91ECA">
      <w:pPr>
        <w:pStyle w:val="3"/>
        <w:rPr>
          <w:lang w:eastAsia="ja-JP"/>
        </w:rPr>
      </w:pPr>
      <w:bookmarkStart w:id="4" w:name="OLE_LINK6"/>
      <w:r>
        <w:rPr>
          <w:lang w:eastAsia="ja-JP"/>
        </w:rPr>
        <w:t>2.1</w:t>
      </w:r>
      <w:r>
        <w:rPr>
          <w:lang w:eastAsia="ja-JP"/>
        </w:rPr>
        <w:tab/>
      </w:r>
      <w:r>
        <w:rPr>
          <w:rFonts w:hint="eastAsia"/>
          <w:lang w:eastAsia="ja-JP"/>
        </w:rPr>
        <w:t>RAN1</w:t>
      </w:r>
    </w:p>
    <w:bookmarkEnd w:id="4"/>
    <w:p w14:paraId="0E1F0CF1">
      <w:pPr>
        <w:pStyle w:val="5"/>
        <w:rPr>
          <w:lang w:eastAsia="ja-JP"/>
        </w:rPr>
      </w:pPr>
      <w:r>
        <w:rPr>
          <w:lang w:eastAsia="ja-JP"/>
        </w:rPr>
        <w:t>2.1.1</w:t>
      </w:r>
      <w:r>
        <w:rPr>
          <w:lang w:eastAsia="ja-JP"/>
        </w:rPr>
        <w:tab/>
      </w:r>
      <w:r>
        <w:rPr>
          <w:lang w:eastAsia="ja-JP"/>
        </w:rPr>
        <w:t>Agreements</w:t>
      </w:r>
    </w:p>
    <w:p w14:paraId="5840400F">
      <w:pPr>
        <w:pStyle w:val="5"/>
        <w:rPr>
          <w:lang w:eastAsia="ja-JP"/>
        </w:rPr>
      </w:pPr>
      <w:r>
        <w:rPr>
          <w:lang w:eastAsia="ja-JP"/>
        </w:rPr>
        <w:t>2.1.2</w:t>
      </w:r>
      <w:r>
        <w:rPr>
          <w:lang w:eastAsia="ja-JP"/>
        </w:rPr>
        <w:tab/>
      </w:r>
      <w:r>
        <w:rPr>
          <w:lang w:eastAsia="ja-JP"/>
        </w:rPr>
        <w:t>Remaining Open issues</w:t>
      </w:r>
    </w:p>
    <w:p w14:paraId="44BF3ECD">
      <w:pPr>
        <w:spacing w:after="0"/>
        <w:rPr>
          <w:lang w:eastAsia="ja-JP"/>
        </w:rPr>
      </w:pPr>
    </w:p>
    <w:p w14:paraId="33E6565E">
      <w:pPr>
        <w:pStyle w:val="3"/>
        <w:rPr>
          <w:lang w:eastAsia="ja-JP"/>
        </w:rPr>
      </w:pPr>
      <w:r>
        <w:rPr>
          <w:lang w:eastAsia="ja-JP"/>
        </w:rPr>
        <w:t>2.2</w:t>
      </w:r>
      <w:r>
        <w:rPr>
          <w:lang w:eastAsia="ja-JP"/>
        </w:rPr>
        <w:tab/>
      </w:r>
      <w:r>
        <w:rPr>
          <w:rFonts w:hint="eastAsia"/>
          <w:lang w:eastAsia="ja-JP"/>
        </w:rPr>
        <w:t>RAN2</w:t>
      </w:r>
    </w:p>
    <w:p w14:paraId="268C229A">
      <w:pPr>
        <w:pStyle w:val="5"/>
        <w:rPr>
          <w:lang w:eastAsia="ja-JP"/>
        </w:rPr>
      </w:pPr>
      <w:r>
        <w:rPr>
          <w:lang w:eastAsia="ja-JP"/>
        </w:rPr>
        <w:t>2.2.1</w:t>
      </w:r>
      <w:r>
        <w:rPr>
          <w:lang w:eastAsia="ja-JP"/>
        </w:rPr>
        <w:tab/>
      </w:r>
      <w:r>
        <w:rPr>
          <w:lang w:eastAsia="ja-JP"/>
        </w:rPr>
        <w:t>Agreements</w:t>
      </w:r>
    </w:p>
    <w:p w14:paraId="6918283D">
      <w:pPr>
        <w:pStyle w:val="5"/>
        <w:rPr>
          <w:lang w:eastAsia="ja-JP"/>
        </w:rPr>
      </w:pPr>
      <w:r>
        <w:rPr>
          <w:lang w:eastAsia="ja-JP"/>
        </w:rPr>
        <w:t>2.2.2</w:t>
      </w:r>
      <w:r>
        <w:rPr>
          <w:lang w:eastAsia="ja-JP"/>
        </w:rPr>
        <w:tab/>
      </w:r>
      <w:r>
        <w:rPr>
          <w:lang w:eastAsia="ja-JP"/>
        </w:rPr>
        <w:t>Remaining Open issues</w:t>
      </w:r>
    </w:p>
    <w:p w14:paraId="1C3F6C69">
      <w:pPr>
        <w:spacing w:after="0"/>
        <w:rPr>
          <w:lang w:eastAsia="ja-JP"/>
        </w:rPr>
      </w:pPr>
    </w:p>
    <w:p w14:paraId="5ECC9223">
      <w:pPr>
        <w:pStyle w:val="3"/>
        <w:rPr>
          <w:lang w:eastAsia="ja-JP"/>
        </w:rPr>
      </w:pPr>
      <w:r>
        <w:rPr>
          <w:lang w:eastAsia="ja-JP"/>
        </w:rPr>
        <w:t>2.3</w:t>
      </w:r>
      <w:r>
        <w:rPr>
          <w:lang w:eastAsia="ja-JP"/>
        </w:rPr>
        <w:tab/>
      </w:r>
      <w:r>
        <w:rPr>
          <w:rFonts w:hint="eastAsia"/>
          <w:lang w:eastAsia="ja-JP"/>
        </w:rPr>
        <w:t>RAN3</w:t>
      </w:r>
    </w:p>
    <w:p w14:paraId="690F2AB8">
      <w:pPr>
        <w:pStyle w:val="5"/>
        <w:rPr>
          <w:lang w:eastAsia="ja-JP"/>
        </w:rPr>
      </w:pPr>
      <w:r>
        <w:rPr>
          <w:lang w:eastAsia="ja-JP"/>
        </w:rPr>
        <w:t>2.3.1</w:t>
      </w:r>
      <w:r>
        <w:rPr>
          <w:lang w:eastAsia="ja-JP"/>
        </w:rPr>
        <w:tab/>
      </w:r>
      <w:r>
        <w:rPr>
          <w:lang w:eastAsia="ja-JP"/>
        </w:rPr>
        <w:t>Agreements</w:t>
      </w:r>
    </w:p>
    <w:p w14:paraId="05E6C52A">
      <w:pPr>
        <w:pStyle w:val="5"/>
        <w:rPr>
          <w:lang w:eastAsia="ja-JP"/>
        </w:rPr>
      </w:pPr>
      <w:r>
        <w:rPr>
          <w:lang w:eastAsia="ja-JP"/>
        </w:rPr>
        <w:t>2.3.2</w:t>
      </w:r>
      <w:r>
        <w:rPr>
          <w:lang w:eastAsia="ja-JP"/>
        </w:rPr>
        <w:tab/>
      </w:r>
      <w:r>
        <w:rPr>
          <w:lang w:eastAsia="ja-JP"/>
        </w:rPr>
        <w:t>Remaining Open issues</w:t>
      </w:r>
    </w:p>
    <w:p w14:paraId="16CC5494">
      <w:pPr>
        <w:spacing w:after="0"/>
        <w:rPr>
          <w:lang w:eastAsia="ja-JP"/>
        </w:rPr>
      </w:pPr>
    </w:p>
    <w:p w14:paraId="01269A74">
      <w:pPr>
        <w:pStyle w:val="3"/>
        <w:rPr>
          <w:lang w:eastAsia="ja-JP"/>
        </w:rPr>
      </w:pPr>
      <w:r>
        <w:rPr>
          <w:lang w:eastAsia="ja-JP"/>
        </w:rPr>
        <w:t>2.4</w:t>
      </w:r>
      <w:r>
        <w:rPr>
          <w:lang w:eastAsia="ja-JP"/>
        </w:rPr>
        <w:tab/>
      </w:r>
      <w:r>
        <w:rPr>
          <w:rFonts w:hint="eastAsia"/>
          <w:lang w:eastAsia="ja-JP"/>
        </w:rPr>
        <w:t>RAN4</w:t>
      </w:r>
    </w:p>
    <w:p w14:paraId="40FFFE7A">
      <w:pPr>
        <w:pStyle w:val="5"/>
        <w:rPr>
          <w:lang w:eastAsia="ja-JP"/>
        </w:rPr>
      </w:pPr>
      <w:r>
        <w:rPr>
          <w:lang w:eastAsia="ja-JP"/>
        </w:rPr>
        <w:t>2.4.1</w:t>
      </w:r>
      <w:r>
        <w:rPr>
          <w:lang w:eastAsia="ja-JP"/>
        </w:rPr>
        <w:tab/>
      </w:r>
      <w:r>
        <w:rPr>
          <w:lang w:eastAsia="ja-JP"/>
        </w:rPr>
        <w:t>Agreements</w:t>
      </w:r>
    </w:p>
    <w:p w14:paraId="37D259DA">
      <w:pPr>
        <w:pStyle w:val="5"/>
        <w:rPr>
          <w:lang w:eastAsia="ja-JP"/>
        </w:rPr>
      </w:pPr>
      <w:r>
        <w:rPr>
          <w:lang w:eastAsia="ja-JP"/>
        </w:rPr>
        <w:t>2.4.2</w:t>
      </w:r>
      <w:r>
        <w:rPr>
          <w:lang w:eastAsia="ja-JP"/>
        </w:rPr>
        <w:tab/>
      </w:r>
      <w:r>
        <w:rPr>
          <w:lang w:eastAsia="ja-JP"/>
        </w:rPr>
        <w:t>Remaining Open issues</w:t>
      </w:r>
    </w:p>
    <w:p w14:paraId="54FF83FB">
      <w:pPr>
        <w:spacing w:after="0"/>
        <w:rPr>
          <w:lang w:eastAsia="ja-JP"/>
        </w:rPr>
      </w:pPr>
    </w:p>
    <w:p w14:paraId="1BCDC2BC">
      <w:pPr>
        <w:pStyle w:val="3"/>
        <w:rPr>
          <w:lang w:eastAsia="ja-JP"/>
        </w:rPr>
      </w:pPr>
      <w:r>
        <w:rPr>
          <w:lang w:eastAsia="ja-JP"/>
        </w:rPr>
        <w:t>2.5</w:t>
      </w:r>
      <w:r>
        <w:rPr>
          <w:lang w:eastAsia="ja-JP"/>
        </w:rPr>
        <w:tab/>
      </w:r>
      <w:r>
        <w:rPr>
          <w:rFonts w:hint="eastAsia"/>
          <w:lang w:eastAsia="ja-JP"/>
        </w:rPr>
        <w:t>RAN</w:t>
      </w:r>
      <w:r>
        <w:rPr>
          <w:lang w:eastAsia="ja-JP"/>
        </w:rPr>
        <w:t>5</w:t>
      </w:r>
    </w:p>
    <w:p w14:paraId="3FB46529">
      <w:pPr>
        <w:pStyle w:val="5"/>
        <w:rPr>
          <w:lang w:eastAsia="ja-JP"/>
        </w:rPr>
      </w:pPr>
      <w:r>
        <w:rPr>
          <w:lang w:eastAsia="ja-JP"/>
        </w:rPr>
        <w:t>2.5.1</w:t>
      </w:r>
      <w:r>
        <w:rPr>
          <w:lang w:eastAsia="ja-JP"/>
        </w:rPr>
        <w:tab/>
      </w:r>
      <w:r>
        <w:rPr>
          <w:lang w:eastAsia="ja-JP"/>
        </w:rPr>
        <w:t>Agreements</w:t>
      </w:r>
    </w:p>
    <w:p w14:paraId="0699BEF3">
      <w:pPr>
        <w:pStyle w:val="5"/>
        <w:rPr>
          <w:lang w:eastAsia="ja-JP"/>
        </w:rPr>
      </w:pPr>
      <w:r>
        <w:rPr>
          <w:lang w:eastAsia="ja-JP"/>
        </w:rPr>
        <w:t>2.5.2</w:t>
      </w:r>
      <w:r>
        <w:rPr>
          <w:lang w:eastAsia="ja-JP"/>
        </w:rPr>
        <w:tab/>
      </w:r>
      <w:r>
        <w:rPr>
          <w:lang w:eastAsia="ja-JP"/>
        </w:rPr>
        <w:t>Remaining Open issues</w:t>
      </w:r>
    </w:p>
    <w:p w14:paraId="533F16B7">
      <w:pPr>
        <w:pStyle w:val="5"/>
        <w:rPr>
          <w:lang w:eastAsia="ja-JP"/>
        </w:rPr>
      </w:pPr>
      <w:r>
        <w:rPr>
          <w:lang w:eastAsia="ja-JP"/>
        </w:rPr>
        <w:t>2.5.3</w:t>
      </w:r>
      <w:r>
        <w:rPr>
          <w:lang w:eastAsia="ja-JP"/>
        </w:rPr>
        <w:tab/>
      </w:r>
      <w:r>
        <w:rPr>
          <w:lang w:eastAsia="ja-JP"/>
        </w:rPr>
        <w:t>Remaining Open issues with cross-WG dependencies</w:t>
      </w:r>
    </w:p>
    <w:p w14:paraId="5926999B">
      <w:pPr>
        <w:spacing w:after="0"/>
        <w:rPr>
          <w:lang w:eastAsia="ja-JP"/>
        </w:rPr>
      </w:pPr>
    </w:p>
    <w:p w14:paraId="65BE50F5">
      <w:pPr>
        <w:pStyle w:val="3"/>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3"/>
        <w:rPr>
          <w:lang w:eastAsia="ja-JP"/>
        </w:rPr>
      </w:pPr>
      <w:r>
        <w:rPr>
          <w:lang w:eastAsia="ja-JP"/>
        </w:rPr>
        <w:t>3.1</w:t>
      </w:r>
      <w:r>
        <w:rPr>
          <w:lang w:eastAsia="ja-JP"/>
        </w:rPr>
        <w:tab/>
      </w:r>
      <w:r>
        <w:rPr>
          <w:lang w:eastAsia="ja-JP"/>
        </w:rPr>
        <w:t>SAx/CTs</w:t>
      </w:r>
    </w:p>
    <w:p w14:paraId="4CDFE7FB">
      <w:pPr>
        <w:pStyle w:val="5"/>
        <w:rPr>
          <w:lang w:eastAsia="ja-JP"/>
        </w:rPr>
      </w:pPr>
      <w:r>
        <w:rPr>
          <w:lang w:eastAsia="ja-JP"/>
        </w:rPr>
        <w:t>3.1.1</w:t>
      </w:r>
      <w:r>
        <w:rPr>
          <w:lang w:eastAsia="ja-JP"/>
        </w:rPr>
        <w:tab/>
      </w:r>
      <w:r>
        <w:rPr>
          <w:lang w:eastAsia="ja-JP"/>
        </w:rPr>
        <w:t>Agreements with cross-TSG impacts</w:t>
      </w:r>
    </w:p>
    <w:p w14:paraId="44D36745">
      <w:pPr>
        <w:pStyle w:val="5"/>
        <w:rPr>
          <w:lang w:eastAsia="ja-JP"/>
        </w:rPr>
      </w:pPr>
      <w:r>
        <w:rPr>
          <w:lang w:eastAsia="ja-JP"/>
        </w:rPr>
        <w:t>3.1.2</w:t>
      </w:r>
      <w:r>
        <w:rPr>
          <w:lang w:eastAsia="ja-JP"/>
        </w:rPr>
        <w:tab/>
      </w:r>
      <w:r>
        <w:rPr>
          <w:lang w:eastAsia="ja-JP"/>
        </w:rPr>
        <w:t>Remaining Open issues with cross-TSG impacts</w:t>
      </w:r>
    </w:p>
    <w:p w14:paraId="7D2D88CC">
      <w:pPr>
        <w:rPr>
          <w:rFonts w:ascii="Arial" w:hAnsi="Arial" w:cs="Arial"/>
          <w:iCs/>
          <w:color w:val="FF0000"/>
        </w:rPr>
      </w:pPr>
      <w:r>
        <w:rPr>
          <w:rFonts w:ascii="Arial" w:hAnsi="Arial" w:cs="Arial"/>
          <w:iCs/>
          <w:color w:val="FF0000"/>
        </w:rPr>
        <w:t>NOTE: This section should also flag any critical dependencies that need TSG attention.</w:t>
      </w:r>
    </w:p>
    <w:p w14:paraId="56E5E5EE">
      <w:pPr>
        <w:pStyle w:val="3"/>
      </w:pPr>
      <w:r>
        <w:t>4.</w:t>
      </w:r>
      <w:r>
        <w:tab/>
      </w:r>
      <w:r>
        <w:t>References</w:t>
      </w:r>
    </w:p>
    <w:p w14:paraId="077FBAE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6B71F56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NTN deployment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47E96CF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support of Voice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Deutsche Telekom, AT&amp;T, Ericsson, Nokia, Jio Platforms</w:t>
      </w:r>
    </w:p>
    <w:p w14:paraId="3D80059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Vehicular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BMW AG, Robert Bosch GmbH, Volkswagen AG, Toyota ITC, Aumovio, SES S.A., Fraunhofer IIS, BYD, Thales, Airbus</w:t>
      </w:r>
    </w:p>
    <w:p w14:paraId="075E025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62ADED9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6DBB60F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Motivation and definition of 6G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25C7AD5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RP-253046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of 6G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1B51A7F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38C7395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RP-253061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Architecture and 5G-6G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0F5D9CD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RP-253062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Spectrum Considerations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7D6796E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RP-253063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Support of Diverse Device Types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1D9A26E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RP-253064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New and Existing 6G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2F55850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RP-253066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 New UE Capability Framework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 Deutsche Telekom, Ericsson, KT Corp., Nokia, NTT Docomo, Orange, Panasonic, SK Telecom, Spark NZ, Telecom Italia, Telstra, T-Mobile USA, Verizon, Viavi, Vodafone, Xiaomi</w:t>
      </w:r>
    </w:p>
    <w:p w14:paraId="2E9ADB7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RP-253069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 of FWA service in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Deutsche Telekom, Ericsson, Nokia, Jio Platforms, Verizon</w:t>
      </w:r>
    </w:p>
    <w:p w14:paraId="1FFCC5E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Inc.,Ericsson, Nokia</w:t>
      </w:r>
    </w:p>
    <w:p w14:paraId="73E4EA5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 of FWA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Inc.,Deutsche Telekom, Ericsson, Nokia, Jio Platforms,Verizon</w:t>
      </w:r>
    </w:p>
    <w:p w14:paraId="0FDF58D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Futurewei</w:t>
      </w:r>
    </w:p>
    <w:p w14:paraId="139AF20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Diverse device types for 6GR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Futurewei</w:t>
      </w:r>
    </w:p>
    <w:p w14:paraId="6794C1D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Massive communication needs a minimum peak data rate of at least 10Mbps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Futurewei</w:t>
      </w:r>
    </w:p>
    <w:p w14:paraId="78A0E20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supporting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33EC5A6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Artificial Intelligence (AI) support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KT Corp, Odido, BT, SK Telecom, Bouygues Telecom, Telefonica, Telia Company, KPN, Rakuten Mobile, CK Hutchison, Telstra, Telenor, KDDI, KT Corp., LG Uplus, Jio Platforms</w:t>
      </w:r>
    </w:p>
    <w:p w14:paraId="4D30E3E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Requirements for architecture and migration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Odido Spark NZ, BT, Bouygues Telecom, Telefonica, Telia Company, SK Telecom, KPN, Rakuten Mobile, CK Hutchison, Telenor, Boost Mobile Network, Jio Platforms</w:t>
      </w:r>
    </w:p>
    <w:p w14:paraId="071CF86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diverse Device Types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Odido, Spark NZ, BT, Bouygues Telecom, Telefonica, Telia Company, KPN, CK Hutchison, Telenor, KT Corp., T-Mobile USA, Boost Mobile Network, Jio Platforms</w:t>
      </w:r>
    </w:p>
    <w:p w14:paraId="67F2DAC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Ease of operation and Self Organization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Odido, BT, Bouygues Telecom, Telefonica, Telia Company, KPN, Rakuten Mobile, CK Hutchison, Telstra, Telenor, KDDI, SK Telecom, Jio Platforms</w:t>
      </w:r>
    </w:p>
    <w:p w14:paraId="5A78607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key technical principles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Odido, BT, Bouygues Telecom, Telefonica, Telia Company, SK Telecom, KPN, Rakuten Mobile, CK Hutchison, Telenor, KT Corp., LG Uplus, Boost Mobile Network, Jio Platforms</w:t>
      </w:r>
    </w:p>
    <w:p w14:paraId="013C293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Network Sharing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KT Corp., Odido, BT, SK Telecom, Bouygues Telecom, Telefonica, Telia Company, KPN, Rakuten Mobile, CK Hutchison, Telenor, KDDI, Boost Mobile Network, Jio Platforms</w:t>
      </w:r>
    </w:p>
    <w:p w14:paraId="6E77994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spectrum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Odido, BT, Bouygues Telecom, Telefonica, Telia Company, SK Telecom, KPN, Rakuten Mobile, CK Hutchison, Telstra, Telenor, KT Corp., KDDI, Boost Mobile Network, Jio Platforms</w:t>
      </w:r>
    </w:p>
    <w:p w14:paraId="5113D05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remaining aspects of 6G deployment scenarios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w:t>
      </w:r>
    </w:p>
    <w:p w14:paraId="20741FD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TNO, Iridium, BMW, Bosch, Airbus, Eutelsat, Novamint, Toyota, ESA CATT, CSCN, LG Electronics, Sharp, EchoStar</w:t>
      </w:r>
    </w:p>
    <w:p w14:paraId="3C6C5FA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Architecture/migration requirements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Sateliot, Iridium, Viasat, ST Engineering iDirect, Novamint, Airbus, Fraunhofer IIS, Fraunhofer HHI, Eutelsat, TNO, EchoStar, Gatehous Satcom, SES, ESA, Hispasat, Amazon</w:t>
      </w:r>
    </w:p>
    <w:p w14:paraId="4125A9C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Resiliency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Airbus, BDBOS, Deutsche Telekom, DISA, Erillisverkot, FirstNet, LGUplus, Motorola Solutions, Nkom, Nokia, Softil, SyncTechno Inc, Telstra, Thales, The Netherlands Police, T-Mobile USA, Verizon</w:t>
      </w:r>
    </w:p>
    <w:p w14:paraId="4E0CDD1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supporting aerial UEs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Airbus, AT&amp;T, BDBOS, CATT, CHTTL, China Telecom, CMCC, DISA, Erillisverkot, FirstNet, Fujitsu, Intel, KDDI, KT Corp., Motorola Solutions, NIST, Nkom, NTT DOCOMO, SK Telecom, Softil, Spark, Spreadtrum, SyncTechno Inc, Telstra, Thales, The Netherl</w:t>
      </w:r>
    </w:p>
    <w:p w14:paraId="4842F75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supporting mission critical communications services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Airbus, AT&amp;T, BDBOS, DISA, Erillisverkot, FirstNet, Motorola Solutions, NIST, Nkom, Softil, SyncTechno Inc, Telstra, The Netherlands Police, T-Mobile USA</w:t>
      </w:r>
    </w:p>
    <w:p w14:paraId="56A12F9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3GPP specific requirements on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CHTTL, CMCC, ESA, FirstNet, KT Corp., Nokia, T-Mobile USA, Telstra</w:t>
      </w:r>
    </w:p>
    <w:p w14:paraId="03C5AF3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Immersive Communication and On Mobile Broadband</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7E544A3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regulatory services and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Airbus, AT&amp;T, BDBOS, BMW, Deutsche Telekom, FirstNet, Erillisverkot, KT Corp., Motorola Solutions, Nokia, NTT DOCOMO, Softil, SyncTechno Inc, T-Mobile USA, Telstra</w:t>
      </w:r>
    </w:p>
    <w:p w14:paraId="35FC6E9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supporting time-critical communications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AT&amp;T, CMCC, FirstNet, T-Mobile USA, Telstra, Verizon</w:t>
      </w:r>
    </w:p>
    <w:p w14:paraId="25E1463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on NTN performance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Novamint, TNO, Viasat, Sateliot, Fraunhofer IIS, Fraunhofer HHI, Eutelsat, Gatehouse Satcom, Airbus ST Engineering iDirect, SES, ESA, EchoStar</w:t>
      </w:r>
    </w:p>
    <w:p w14:paraId="033DD74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Spectrum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Iridium, Viasat, ST Engineering iDirect, Novamint, Fraunhofer IIS, Fraunhofer HHI, Eutelsat, EchoStar, Gatehouse Satcom, Airbus, SES, ESA, Hispasat, Sateliot</w:t>
      </w:r>
    </w:p>
    <w:p w14:paraId="27D338F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Spectrum around 6GHz</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Airbus, SES, Hispasat</w:t>
      </w:r>
    </w:p>
    <w:p w14:paraId="4D00F34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RP-253099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Massive Communication (IoT)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AT&amp;T, Itron, Nokia, Nordic Semiconductor, NTT DOCOMO, Semtech, Sony, Verizon, Vodafone</w:t>
      </w:r>
    </w:p>
    <w:p w14:paraId="59C2423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Sateliot, Iridium, Viasat, ST Engineering iDirect, Novamint, Eutelsat, TNO, EchoStar, Airbus, Gatehouse Satcom, ESA</w:t>
      </w:r>
    </w:p>
    <w:p w14:paraId="0A473EF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Other operational requirements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Sateliot, Viasat, ST Engineering iDirect, Novamint, Fraunhofer IIS, Fraunhofer HHI, EchoStar, Gatehouse Satcom, Airbus, SES, ESA, Hispasat</w:t>
      </w:r>
    </w:p>
    <w:p w14:paraId="2F2685C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New and existing services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Sateliot, Iridium, Fraunhofer IIS, Fraunhofer HHI, Novamint, Gatehouse Satcom, Airbus, ESA, Amazon</w:t>
      </w:r>
    </w:p>
    <w:p w14:paraId="3F0596C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6G RAN Sharing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Boost Mobile Network</w:t>
      </w:r>
    </w:p>
    <w:p w14:paraId="1DC11CF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TR 38.914 text proposal for Extreme Long Distance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Limited</w:t>
      </w:r>
    </w:p>
    <w:p w14:paraId="6DD38DF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supporting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5007ACA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supporting new and existing services for 6G Day1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49B4BEF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6GR for AI service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2672EA1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3GPP internal requirement on 6G peak rate target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233519C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for TR 38.914 for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58B1AD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for 38.914 on Key performance indicators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01918D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3GPP energy efficiency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3F7E15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3GPP Coverage targets and evaluation methodologies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4F8687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3GPP KPIs on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9E7673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RAN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EFCD7A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RAN data collection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775B09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architecture of 6G RAN for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291FC8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coexistence of 6G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37BFCB1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6GR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8C1F4B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3103DC2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Network Topology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 China Unicom, ZTE</w:t>
      </w:r>
    </w:p>
    <w:p w14:paraId="255BF4A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6G Self-Organizing Networks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DBCB84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Scenarios and Requirements for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13C95A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RP-253129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UAV</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DBAF16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service-based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70128E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Network Digital Twin in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5D4613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 of AI for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F31408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 of 6G RAN for AI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84D3B3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Voice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3D462C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Sensing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FEAD60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Network and UE mutual beneficial feature combination framework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35CECB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50A21CE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IMT2030 KPIs: Peak Rate,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7660311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Latency-related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1E1131D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Energy Efficiency Requirements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2B89BCC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Spectrum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2E3C5B5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Diverse Device Considerations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0C990CC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Service Requirements: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7A2254D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RP-253149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01B30AC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RP-253150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Testing and Conformance Considerations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02D0C7C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RP-253157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High Rise Building Deployment in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03249EC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RP-253158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UE antenna configurations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351E8FC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Proposals for Requirements on 6G Radio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4AEC383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RAN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0661E96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3A3BEAA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3A54EEF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Coverage Target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31559D5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Other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63B9881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Mobility Interruption Time for Voice Call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597F482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RP-253168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Voice Call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5440AB1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coverage requirements for 3GPP Internal Study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Intel China Ltd.</w:t>
      </w:r>
    </w:p>
    <w:p w14:paraId="2715C53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Intel China Ltd.</w:t>
      </w:r>
    </w:p>
    <w:p w14:paraId="27F1EFF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Diverse Device Types for XR Wearables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Meta USA, Verizon</w:t>
      </w:r>
    </w:p>
    <w:p w14:paraId="7F5F688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Network and UE energy efficiency beyond ITU-R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7548C08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Internal 3GPP requirements on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T-Mobile USA, Nokia, AT&amp;T, MediaTek</w:t>
      </w:r>
    </w:p>
    <w:p w14:paraId="5040182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scalable and forward compatible design for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6007918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6G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0FEBF6D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4C59D44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6245055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27B1F0D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5CC0337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architecture and migration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 Telstra, Tejas Networks, Boost Mobile, Verizon Wireless, Qualcomm Inc, FiberCop, KT Corp, Jio Platforms, T-Mobile USA, IIT-Hyderabad, WiSiG Networks, NEC, Fujitsu, AT&amp;T, SONY, Deutsche Telekom, LG Electronics, CEWIT</w:t>
      </w:r>
    </w:p>
    <w:p w14:paraId="21BD7A3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1E1EE48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supporting new and existing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756188B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UE and RAN requirements for Service awareness in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T-Mobile USA, Deutsche Telekom, AT&amp;T, BT, Verizon</w:t>
      </w:r>
    </w:p>
    <w:p w14:paraId="495939B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AI enablers in 6G radio and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w:t>
      </w:r>
    </w:p>
    <w:p w14:paraId="6DBBA50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requirements of new and existing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773CD37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6GR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0163FFF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6GR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w:t>
      </w:r>
    </w:p>
    <w:p w14:paraId="15BF3DD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ISAC use cases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Turk Telekom, Verizon, China Telecom, China Unicom, Telecom Italia, CAICT, ETRI, Queens University Belfast, Pengcheng Laboratory, Shanghai Jiao Tong University, Sanechips, CATT</w:t>
      </w:r>
    </w:p>
    <w:p w14:paraId="3CCAACC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RAN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w:t>
      </w:r>
    </w:p>
    <w:p w14:paraId="6268F99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operational requirements for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w:t>
      </w:r>
    </w:p>
    <w:p w14:paraId="195490C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w:t>
      </w:r>
    </w:p>
    <w:p w14:paraId="17E12C6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AI/ML functional framework</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CAICT, China Unicom, NEC, Jio Platforms Ltd</w:t>
      </w:r>
    </w:p>
    <w:p w14:paraId="572414A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General views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1509DB2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RP-253199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62BCCFE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298747B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massive communication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CCE2F4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specific proposals related to updates to architecture and migration clause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ViaSat Satellite Holdings Ltd, Novamint, Airbus, Sateliot, Gatehouse Satcom, ESA, ST Engineering iDirect, EchoStar, Thales, Skylo, Terrestar</w:t>
      </w:r>
    </w:p>
    <w:p w14:paraId="2C82E35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specific proposals related to co-existence between NB-IoT NTN and 6GR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ViaSat Satellite Holdings Ltd, Novamint, Airbus, Sateliot, Gatehouse Satcom, ESA, EchoStar, Thales, Iridium, Skylo, Terrestar</w:t>
      </w:r>
    </w:p>
    <w:p w14:paraId="485D0C1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supporting AI services for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HONOR</w:t>
      </w:r>
    </w:p>
    <w:p w14:paraId="2A093C0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Considerations on 6G NTN’s functionalities and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2C63945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 with assisting node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Kyocera</w:t>
      </w:r>
    </w:p>
    <w:p w14:paraId="3028298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preferred/priority mode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KT Corp., Thales, Iridium, Viasat</w:t>
      </w:r>
    </w:p>
    <w:p w14:paraId="43EC20C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UE antenna configuration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0E5CC95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054A362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0E3A8CC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supporting Broadcast and Multicast Services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CBN</w:t>
      </w:r>
    </w:p>
    <w:p w14:paraId="4FEF884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Positioning service as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CEWiT</w:t>
      </w:r>
    </w:p>
    <w:p w14:paraId="3B88964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100BC51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7B937A0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RP-253228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Initial access channel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2EE0628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Tejas Network Limited, CEWiT, IIT Madras, IIT Kanpur</w:t>
      </w:r>
    </w:p>
    <w:p w14:paraId="01EB23F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Intra-frequency Het-Net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4189879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Sony</w:t>
      </w:r>
    </w:p>
    <w:p w14:paraId="16CB21F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massive IoT requiremenets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Sony, Nordic Semiconductor ASA, AT&amp;T, Semtech</w:t>
      </w:r>
    </w:p>
    <w:p w14:paraId="5BC97F2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 on 6GR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3730F75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FWA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44018FC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5F971D0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RP-253239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 for data collection and observability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44CD422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Network Sharing and Network Resilience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NEC</w:t>
      </w:r>
    </w:p>
    <w:p w14:paraId="5E11924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13A1AC1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RP-253243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of new and existing services -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335B6E6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RP-253247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Deployment scenarios for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11BC9F3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48FD0F4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RP-253249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Integrated Sensing And Communication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7A8D880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Considerations on Immersive Communication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China Telecom</w:t>
      </w:r>
    </w:p>
    <w:p w14:paraId="131C672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6775A10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34D285D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74BFBB5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voice fallback</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280DB7D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requirements for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34DBFC7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RP-253256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requirements for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030AEA8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RP-253267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architecture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4CAF257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RP-253268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 on easy operation/self organization and RAN sharing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CATT,China Unicom,China Telecom</w:t>
      </w:r>
    </w:p>
    <w:p w14:paraId="73CAB03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RP-253269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NTN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 CSCN, CBN, China Broadnet</w:t>
      </w:r>
    </w:p>
    <w:p w14:paraId="08D6A63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146DA78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Support indoor factory as one of 6G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 CICTCI, China Telecom, China Unicom, ZTE, Huawei</w:t>
      </w:r>
    </w:p>
    <w:p w14:paraId="48140B7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Coverage target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 CICTCI</w:t>
      </w:r>
    </w:p>
    <w:p w14:paraId="05FF6A7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3GPP energy efficiency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769CC12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00373EE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device type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4518BB8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Data collection and transfer design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 CBN, China Broadnet</w:t>
      </w:r>
    </w:p>
    <w:p w14:paraId="33BA6B4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requirements of PNT and related regulatory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5FB8D8B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4BF76BF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ISAC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CAICT, China Telcom, China Unicom, KT Corp., LG Uplus,SK Telecom, CATT, CICTCI</w:t>
      </w:r>
    </w:p>
    <w:p w14:paraId="7114922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3GPP requirements for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China Unicom, VODAFONE, Telecom Italia</w:t>
      </w:r>
    </w:p>
    <w:p w14:paraId="4B5BEDC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spectrum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China Unicom, VODAFONE</w:t>
      </w:r>
    </w:p>
    <w:p w14:paraId="6FE1B81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 of Massive Communication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VODAFONE</w:t>
      </w:r>
    </w:p>
    <w:p w14:paraId="09DBAAC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Device Types in 6GR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19726E5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immersive communication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China Telecom</w:t>
      </w:r>
    </w:p>
    <w:p w14:paraId="609A920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for Immersive communication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3E9CAAA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new AI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HiSilicon,CAICT, CMCC, China Unicom, China Telecom, OPPO, Lenovo, TCL, Google</w:t>
      </w:r>
    </w:p>
    <w:p w14:paraId="22962E6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data collection and management for various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CAICT, CMCC, China Unicom, KT Corp</w:t>
      </w:r>
    </w:p>
    <w:p w14:paraId="61D3E9A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ISAC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CAICT, China Telcom, China Unicom, KT Corp., LG Uplus,SK Telecom, Telecom Italia</w:t>
      </w:r>
    </w:p>
    <w:p w14:paraId="66B0D72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of ISAC KPIs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CAICT, China Telcom, China Unicom, KT Corp., LG Uplus,SK Telecom, Telecom Italia</w:t>
      </w:r>
    </w:p>
    <w:p w14:paraId="3AB75DC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NTN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166AA59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6GR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677497A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6GR Requirements of Massive Communication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28D4CBC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for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w:t>
      </w:r>
    </w:p>
    <w:p w14:paraId="37C29C8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NTN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CSCN, CATT, CBN, China Broadnet, China Unicom</w:t>
      </w:r>
    </w:p>
    <w:p w14:paraId="02753DD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device type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CSCN, CBN, China Broadnet</w:t>
      </w:r>
    </w:p>
    <w:p w14:paraId="09159A6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RP-253299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New and Existing Services for Vehicular Use Cases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ROBERT BOSCH GmbH, BMW AG, Volkswagen AG, Toyota ITC, Fraunhofer IIS</w:t>
      </w:r>
    </w:p>
    <w:p w14:paraId="259880A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Support of Voice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Deutsche Telekom, AT&amp;T, Ericsson, Nokia, Jio Platforms, Verizon</w:t>
      </w:r>
    </w:p>
    <w:p w14:paraId="6096AD7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deployment scenarios for Vehicular Use Cases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Volkswagen AG, BMW AG, Toyota ITC, Robert Bosch GmbH, AUMOVIO, Fraunhofer IIS</w:t>
      </w:r>
    </w:p>
    <w:p w14:paraId="7A991E0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single layer urban micro scenario in 6GR deployment for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CableLabs, Charter Communications, Rogers Communications, Comcast</w:t>
      </w:r>
    </w:p>
    <w:p w14:paraId="0B4F77C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RP-253304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minimum spectrum allocation and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Sony</w:t>
      </w:r>
    </w:p>
    <w:p w14:paraId="5EB38EC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RP-253308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RAN Architecture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472CF8B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RP-253309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Observability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Deutsche Telekom, NTT DOCOMO, SK Telecom, CHTTL, Nokia, T-Mobile USA, Verizon, China Unicom, AT&amp;T, Telefonica, Telia Company, JIO Platforms, Qualcomm Incorporated, CATT</w:t>
      </w:r>
    </w:p>
    <w:p w14:paraId="01ED55D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Sensing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31846B7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Other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71CCBFB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Amazon Web Services</w:t>
      </w:r>
    </w:p>
    <w:p w14:paraId="0B772F0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RF interference detection, classification and mitigation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DISA, FirstNet, Erillisverkot, ST Engineering iDirect, DeepSig Inc, DHS Science &amp; Technology, Tiami Networks, Lockheed Martin</w:t>
      </w:r>
    </w:p>
    <w:p w14:paraId="7949FDF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FWA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Finland</w:t>
      </w:r>
    </w:p>
    <w:p w14:paraId="7B647A8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5A4F39E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Coverage definition from an operator view</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2F992F8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Proposed Requirements and SID update: Interworking between 6GR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VODAFONE, NTT DOCOMO, SK Telecom, CHTTL</w:t>
      </w:r>
    </w:p>
    <w:p w14:paraId="2F776CD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ISAC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73AE222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RP-253329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w:t>
      </w:r>
    </w:p>
    <w:p w14:paraId="34941C7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TPR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w:t>
      </w:r>
    </w:p>
    <w:p w14:paraId="3F6AFA4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on Positioning and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w:t>
      </w:r>
    </w:p>
    <w:p w14:paraId="4EBA302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6GR Coverage Target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44AA7DA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minimum spectrum allocation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188B7D0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6GR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0F5CAE8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Self-Organizing Networks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NTT DOCOMO, CHTTL, China Unicom, T-Mobile USA, Deutsche Telekom, Jio Platforms,Verizon</w:t>
      </w:r>
    </w:p>
    <w:p w14:paraId="6AEC6B4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Ofinno</w:t>
      </w:r>
    </w:p>
    <w:p w14:paraId="7158942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RP-253366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architecture and migration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 Telstra, Tejas Networks, Boost Mobile, Verizon Wireless, Qualcomm Inc, FiberCop, KT Corp, Jio Platforms, T-Mobile USA, IIT-Hyderabad, WiSiG Networks, NEC, Fujitsu, AT&amp;T, SONY, Deutsche Telekom, LG Electronics, CEWIT, Mavenir, CMCC</w:t>
      </w:r>
    </w:p>
    <w:p w14:paraId="54F0E90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Network slicing support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KDDI Corporation (TTC), Verizon</w:t>
      </w:r>
    </w:p>
    <w:p w14:paraId="1240AA8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to TR 38.914 on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 MediaTek, Xiaomi</w:t>
      </w:r>
    </w:p>
    <w:p w14:paraId="6CB1A84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Sensing requirements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16A661A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RP-253392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RAN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Reliance Jio</w:t>
      </w:r>
    </w:p>
    <w:p w14:paraId="52B4269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Reliance Jio</w:t>
      </w:r>
    </w:p>
    <w:p w14:paraId="3B3D594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Device Type Requirements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Reliance Jio</w:t>
      </w:r>
    </w:p>
    <w:p w14:paraId="5530191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AI model transfer and delivery in 6G radio and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T-Mobile USA, Ericsson</w:t>
      </w:r>
    </w:p>
    <w:p w14:paraId="1876B54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w:t>
      </w:r>
    </w:p>
    <w:p w14:paraId="383523A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Additional 6G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Reliance Jio</w:t>
      </w:r>
    </w:p>
    <w:p w14:paraId="01D95BD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Voice support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Reliance Jio</w:t>
      </w:r>
    </w:p>
    <w:p w14:paraId="5F35A65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Flexible Architecture considerations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Reliance Jio</w:t>
      </w:r>
    </w:p>
    <w:p w14:paraId="130622F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Considerations for Aerial UEs and NTN for 3D mobility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LG Electronics Inc.</w:t>
      </w:r>
    </w:p>
    <w:p w14:paraId="25AADE62">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RP-253499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of deployment scenarios for vehicular use cases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LG Electronics</w:t>
      </w:r>
    </w:p>
    <w:p w14:paraId="06A1489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RP-253500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RAN Architecture for Data Framework</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PML</w:t>
      </w:r>
    </w:p>
    <w:p w14:paraId="6D3590F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RP-253515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 Inc.</w:t>
      </w:r>
    </w:p>
    <w:p w14:paraId="2F8DB5B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RP-253524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Observability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Deutsche Telekom, NTT DOCOMO, SK Telecom, CHTTL, Nokia, T-Mobile USA, Verizon, China Unicom, AT&amp;T, Telefonica, Telia Company, JIO Platforms, Qualcomm Incorporated, CATT, Lenovo</w:t>
      </w:r>
    </w:p>
    <w:p w14:paraId="3E88AF4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RP-253607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NTN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w:t>
      </w:r>
    </w:p>
    <w:p w14:paraId="7C73505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38.914 on spectrum related aspects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291EC3D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RP-253749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Status report for SI Study on 6G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E88FB35">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TR 38.914 v0.3.0 on Study on 6G Scenarios and Requirements; capturing agreements of RAN #101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385B85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269FE62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06251A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5E712ED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0376677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5DC6947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other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RAN3 Chair (Nokia)</w:t>
      </w:r>
    </w:p>
    <w:p w14:paraId="143C347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A732F0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RAN2 Chair (Interdigital)</w:t>
      </w:r>
    </w:p>
    <w:p w14:paraId="50FA4278">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30D3FF4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LS on NGMN REAFFIRMING 6G KEY MESSAGES FOR 3GPP (NGMN_LS251204a_6G_Key_Messages; to: RAN, CT, SA, PCG; cc: -; contact: Orange)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NGMN</w:t>
      </w:r>
    </w:p>
    <w:p w14:paraId="101313A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RP-253776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LS on highlights - AI surge and its implications for 6G (NGMN_LS251204b_AI_Surge; to: RAN, CT, SA, PCG; cc: -; contact: Vodafone)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NGMN</w:t>
      </w:r>
    </w:p>
    <w:p w14:paraId="1A1E708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76810BE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EEB0E0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2C0F62F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6B5AB62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977907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RP-253782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RAN2 Chair (Interdigital)</w:t>
      </w:r>
    </w:p>
    <w:p w14:paraId="3C90DF1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RP-253802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31BDF02B">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UE and RAN requirements for Service awareness in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T-Mobile USA, Deutsche Telekom, AT&amp;T, BT, Verizon</w:t>
      </w:r>
    </w:p>
    <w:p w14:paraId="55C17701">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RP-253804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415A3D3">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55EDE42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A653234">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02AA3ABF">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1FD5155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AI enablers in 6G radio and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Nvidia</w:t>
      </w:r>
    </w:p>
    <w:p w14:paraId="699A52E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AI model transfer and delivery in 6G radio and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T-Mobile USA, Ericsson</w:t>
      </w:r>
    </w:p>
    <w:p w14:paraId="12F71E7D">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5E46FD5E">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38.914 on GNSS-less/resilient NTN operation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Sharp</w:t>
      </w:r>
    </w:p>
    <w:p w14:paraId="2B735D0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6B41094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242283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RP-253856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72B0D60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RP-253857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4A746F0C">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RP-253858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38.914 on GNSS-less/resilient NTN operation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Sharp</w:t>
      </w:r>
    </w:p>
    <w:p w14:paraId="34CF5B86">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RP-253869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10B1967">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48880530">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RP-253871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C0F42EA">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RP-253872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SI: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0286DB9">
      <w:pPr>
        <w:pStyle w:val="131"/>
        <w:numPr>
          <w:ilvl w:val="0"/>
          <w:numId w:val="15"/>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RP-253873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to TR 38.914 v0.2.0 with RAN #110 results for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0D2CBD1C">
      <w:pPr>
        <w:pStyle w:val="131"/>
        <w:numPr>
          <w:ilvl w:val="0"/>
          <w:numId w:val="15"/>
        </w:numPr>
        <w:ind w:leftChars="0"/>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RP-253874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about RAN #110 results for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9955B8E">
      <w:pPr>
        <w:spacing w:after="0"/>
        <w:rPr>
          <w:rFonts w:hint="eastAsia" w:eastAsiaTheme="minorEastAsia"/>
          <w:lang w:val="en-US" w:eastAsia="zh-CN"/>
        </w:rPr>
      </w:pPr>
    </w:p>
    <w:p w14:paraId="1F7A3A3B">
      <w:pPr>
        <w:pStyle w:val="6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9E41BA2">
      <w:pPr>
        <w:pStyle w:val="6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3C2C0BD7">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Aptos">
    <w:altName w:val="Segoe Print"/>
    <w:panose1 w:val="020B000402020202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39"/>
    </w:pPr>
    <w:r>
      <w:rPr>
        <w:rStyle w:val="54"/>
      </w:rPr>
      <w:fldChar w:fldCharType="begin"/>
    </w:r>
    <w:r>
      <w:rPr>
        <w:rStyle w:val="54"/>
      </w:rPr>
      <w:instrText xml:space="preserve"> PAGE </w:instrText>
    </w:r>
    <w:r>
      <w:rPr>
        <w:rStyle w:val="54"/>
      </w:rPr>
      <w:fldChar w:fldCharType="separate"/>
    </w:r>
    <w:r>
      <w:rPr>
        <w:rStyle w:val="54"/>
      </w:rPr>
      <w:t>8</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39D918"/>
    <w:multiLevelType w:val="singleLevel"/>
    <w:tmpl w:val="D039D918"/>
    <w:lvl w:ilvl="0" w:tentative="0">
      <w:start w:val="1"/>
      <w:numFmt w:val="bullet"/>
      <w:lvlText w:val=""/>
      <w:lvlJc w:val="left"/>
      <w:pPr>
        <w:ind w:left="420" w:hanging="420"/>
      </w:pPr>
      <w:rPr>
        <w:rFonts w:hint="default" w:ascii="Wingdings" w:hAnsi="Wingdings"/>
      </w:rPr>
    </w:lvl>
  </w:abstractNum>
  <w:abstractNum w:abstractNumId="1">
    <w:nsid w:val="248F3A52"/>
    <w:multiLevelType w:val="multilevel"/>
    <w:tmpl w:val="248F3A5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27A170F"/>
    <w:multiLevelType w:val="multilevel"/>
    <w:tmpl w:val="427A170F"/>
    <w:lvl w:ilvl="0" w:tentative="0">
      <w:start w:val="0"/>
      <w:numFmt w:val="bullet"/>
      <w:lvlText w:val="-"/>
      <w:lvlJc w:val="left"/>
      <w:pPr>
        <w:ind w:left="440" w:hanging="440"/>
      </w:pPr>
      <w:rPr>
        <w:rFonts w:hint="default" w:ascii="Arial" w:hAnsi="Arial" w:eastAsia="MS Mincho"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8755AEF"/>
    <w:multiLevelType w:val="multilevel"/>
    <w:tmpl w:val="58755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E1CFF48"/>
    <w:multiLevelType w:val="singleLevel"/>
    <w:tmpl w:val="5E1CFF48"/>
    <w:lvl w:ilvl="0" w:tentative="0">
      <w:start w:val="1"/>
      <w:numFmt w:val="bullet"/>
      <w:lvlText w:val=""/>
      <w:lvlJc w:val="left"/>
      <w:pPr>
        <w:ind w:left="420" w:hanging="420"/>
      </w:pPr>
      <w:rPr>
        <w:rFonts w:hint="default" w:ascii="Wingdings" w:hAnsi="Wingdings"/>
      </w:rPr>
    </w:lvl>
  </w:abstractNum>
  <w:abstractNum w:abstractNumId="9">
    <w:nsid w:val="5E872652"/>
    <w:multiLevelType w:val="multilevel"/>
    <w:tmpl w:val="5E872652"/>
    <w:lvl w:ilvl="0" w:tentative="0">
      <w:start w:val="4"/>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E9BC641"/>
    <w:multiLevelType w:val="multilevel"/>
    <w:tmpl w:val="5E9BC64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646842AE"/>
    <w:multiLevelType w:val="multilevel"/>
    <w:tmpl w:val="646842AE"/>
    <w:lvl w:ilvl="0" w:tentative="0">
      <w:start w:val="4"/>
      <w:numFmt w:val="bullet"/>
      <w:lvlText w:val="-"/>
      <w:lvlJc w:val="left"/>
      <w:pPr>
        <w:ind w:left="800" w:hanging="400"/>
      </w:pPr>
      <w:rPr>
        <w:rFonts w:hint="default" w:ascii="Times New Roman" w:hAnsi="Times New Roman" w:eastAsia="Times New Roman"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D6E2974"/>
    <w:multiLevelType w:val="multilevel"/>
    <w:tmpl w:val="7D6E297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12"/>
  </w:num>
  <w:num w:numId="3">
    <w:abstractNumId w:val="13"/>
  </w:num>
  <w:num w:numId="4">
    <w:abstractNumId w:val="2"/>
  </w:num>
  <w:num w:numId="5">
    <w:abstractNumId w:val="4"/>
  </w:num>
  <w:num w:numId="6">
    <w:abstractNumId w:val="11"/>
  </w:num>
  <w:num w:numId="7">
    <w:abstractNumId w:val="6"/>
  </w:num>
  <w:num w:numId="8">
    <w:abstractNumId w:val="10"/>
  </w:num>
  <w:num w:numId="9">
    <w:abstractNumId w:val="0"/>
  </w:num>
  <w:num w:numId="10">
    <w:abstractNumId w:val="7"/>
  </w:num>
  <w:num w:numId="11">
    <w:abstractNumId w:val="14"/>
  </w:num>
  <w:num w:numId="12">
    <w:abstractNumId w:val="5"/>
  </w:num>
  <w:num w:numId="13">
    <w:abstractNumId w:val="8"/>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5EA"/>
    <w:rsid w:val="00033FCB"/>
    <w:rsid w:val="0004456C"/>
    <w:rsid w:val="0005259B"/>
    <w:rsid w:val="00053F7B"/>
    <w:rsid w:val="00053FEE"/>
    <w:rsid w:val="00060AE4"/>
    <w:rsid w:val="00061ADD"/>
    <w:rsid w:val="00071C44"/>
    <w:rsid w:val="00072F57"/>
    <w:rsid w:val="000746A7"/>
    <w:rsid w:val="00076257"/>
    <w:rsid w:val="000910BB"/>
    <w:rsid w:val="000926AF"/>
    <w:rsid w:val="00096623"/>
    <w:rsid w:val="000A3ED2"/>
    <w:rsid w:val="000B7F80"/>
    <w:rsid w:val="000C00FA"/>
    <w:rsid w:val="000C2B50"/>
    <w:rsid w:val="000C51AA"/>
    <w:rsid w:val="000D17BC"/>
    <w:rsid w:val="000D2186"/>
    <w:rsid w:val="000E08F8"/>
    <w:rsid w:val="000E4F35"/>
    <w:rsid w:val="000F3306"/>
    <w:rsid w:val="000F6C1C"/>
    <w:rsid w:val="00102CE8"/>
    <w:rsid w:val="00110BAE"/>
    <w:rsid w:val="00111D4B"/>
    <w:rsid w:val="00116F4B"/>
    <w:rsid w:val="00120DF1"/>
    <w:rsid w:val="001229F4"/>
    <w:rsid w:val="00137471"/>
    <w:rsid w:val="0015083C"/>
    <w:rsid w:val="00150FD3"/>
    <w:rsid w:val="00184428"/>
    <w:rsid w:val="001932AD"/>
    <w:rsid w:val="001A248F"/>
    <w:rsid w:val="001A3B5F"/>
    <w:rsid w:val="001A659D"/>
    <w:rsid w:val="001B51AB"/>
    <w:rsid w:val="001B5CA8"/>
    <w:rsid w:val="001B76A1"/>
    <w:rsid w:val="001C4490"/>
    <w:rsid w:val="001D2C1A"/>
    <w:rsid w:val="001D3BA2"/>
    <w:rsid w:val="001D44B7"/>
    <w:rsid w:val="001E0075"/>
    <w:rsid w:val="001E4E22"/>
    <w:rsid w:val="001E7263"/>
    <w:rsid w:val="001F1B1F"/>
    <w:rsid w:val="001F2A20"/>
    <w:rsid w:val="001F486F"/>
    <w:rsid w:val="00207DC4"/>
    <w:rsid w:val="00222B70"/>
    <w:rsid w:val="0022485E"/>
    <w:rsid w:val="00227CF1"/>
    <w:rsid w:val="00231ED4"/>
    <w:rsid w:val="00232798"/>
    <w:rsid w:val="00232E9F"/>
    <w:rsid w:val="00232FBA"/>
    <w:rsid w:val="00236E32"/>
    <w:rsid w:val="00243A99"/>
    <w:rsid w:val="00262380"/>
    <w:rsid w:val="00281BA2"/>
    <w:rsid w:val="002834BB"/>
    <w:rsid w:val="0029567C"/>
    <w:rsid w:val="002A027C"/>
    <w:rsid w:val="002A6F12"/>
    <w:rsid w:val="002C0B82"/>
    <w:rsid w:val="002C35DC"/>
    <w:rsid w:val="002D3E9A"/>
    <w:rsid w:val="002E0FA6"/>
    <w:rsid w:val="002F6ED2"/>
    <w:rsid w:val="00301B7A"/>
    <w:rsid w:val="00306D59"/>
    <w:rsid w:val="00317C59"/>
    <w:rsid w:val="00321EF0"/>
    <w:rsid w:val="0032503A"/>
    <w:rsid w:val="00325EE1"/>
    <w:rsid w:val="003357C0"/>
    <w:rsid w:val="00344D60"/>
    <w:rsid w:val="00346477"/>
    <w:rsid w:val="00347CB0"/>
    <w:rsid w:val="0035340F"/>
    <w:rsid w:val="0036248C"/>
    <w:rsid w:val="00363A4F"/>
    <w:rsid w:val="003666A8"/>
    <w:rsid w:val="00366D63"/>
    <w:rsid w:val="00367401"/>
    <w:rsid w:val="00375678"/>
    <w:rsid w:val="00382685"/>
    <w:rsid w:val="0039390A"/>
    <w:rsid w:val="00394AB0"/>
    <w:rsid w:val="00396252"/>
    <w:rsid w:val="003A2853"/>
    <w:rsid w:val="003A4B47"/>
    <w:rsid w:val="003B24AF"/>
    <w:rsid w:val="003B4CC0"/>
    <w:rsid w:val="003B7182"/>
    <w:rsid w:val="003D087F"/>
    <w:rsid w:val="003D5036"/>
    <w:rsid w:val="003D6FDA"/>
    <w:rsid w:val="003D764D"/>
    <w:rsid w:val="003E3A1A"/>
    <w:rsid w:val="003F1B9F"/>
    <w:rsid w:val="003F3265"/>
    <w:rsid w:val="0040091C"/>
    <w:rsid w:val="00406D7A"/>
    <w:rsid w:val="004121B8"/>
    <w:rsid w:val="004258BA"/>
    <w:rsid w:val="00440982"/>
    <w:rsid w:val="00447900"/>
    <w:rsid w:val="004531C9"/>
    <w:rsid w:val="004544D3"/>
    <w:rsid w:val="00457D91"/>
    <w:rsid w:val="00460C31"/>
    <w:rsid w:val="00464E5B"/>
    <w:rsid w:val="0047055A"/>
    <w:rsid w:val="00474450"/>
    <w:rsid w:val="004842F5"/>
    <w:rsid w:val="004873E6"/>
    <w:rsid w:val="004A469A"/>
    <w:rsid w:val="004B15B8"/>
    <w:rsid w:val="004B566C"/>
    <w:rsid w:val="004B577F"/>
    <w:rsid w:val="004B7B48"/>
    <w:rsid w:val="004C183D"/>
    <w:rsid w:val="004D4AB1"/>
    <w:rsid w:val="004E6993"/>
    <w:rsid w:val="004E6E69"/>
    <w:rsid w:val="004F218A"/>
    <w:rsid w:val="004F5416"/>
    <w:rsid w:val="0050334E"/>
    <w:rsid w:val="00504DCF"/>
    <w:rsid w:val="00505387"/>
    <w:rsid w:val="005079DE"/>
    <w:rsid w:val="00512DF7"/>
    <w:rsid w:val="005141E7"/>
    <w:rsid w:val="00517E63"/>
    <w:rsid w:val="00526B0D"/>
    <w:rsid w:val="0054693C"/>
    <w:rsid w:val="0055346F"/>
    <w:rsid w:val="005579FF"/>
    <w:rsid w:val="005776DD"/>
    <w:rsid w:val="00582117"/>
    <w:rsid w:val="0058478F"/>
    <w:rsid w:val="00593315"/>
    <w:rsid w:val="005A170D"/>
    <w:rsid w:val="005A6C86"/>
    <w:rsid w:val="005A6C96"/>
    <w:rsid w:val="005C00CB"/>
    <w:rsid w:val="005D0418"/>
    <w:rsid w:val="005D0C97"/>
    <w:rsid w:val="005D66DA"/>
    <w:rsid w:val="005D6717"/>
    <w:rsid w:val="005E1D58"/>
    <w:rsid w:val="005E539F"/>
    <w:rsid w:val="00610E37"/>
    <w:rsid w:val="006207ED"/>
    <w:rsid w:val="00626676"/>
    <w:rsid w:val="00626BC9"/>
    <w:rsid w:val="0064334E"/>
    <w:rsid w:val="006458DF"/>
    <w:rsid w:val="00650D52"/>
    <w:rsid w:val="006615B2"/>
    <w:rsid w:val="00662313"/>
    <w:rsid w:val="00662618"/>
    <w:rsid w:val="00665963"/>
    <w:rsid w:val="00673911"/>
    <w:rsid w:val="006824CB"/>
    <w:rsid w:val="006870C9"/>
    <w:rsid w:val="00691F65"/>
    <w:rsid w:val="006A3ADF"/>
    <w:rsid w:val="006A7BCB"/>
    <w:rsid w:val="006B4C1E"/>
    <w:rsid w:val="006C090F"/>
    <w:rsid w:val="006C4E32"/>
    <w:rsid w:val="006C56D8"/>
    <w:rsid w:val="006C603C"/>
    <w:rsid w:val="006D07AE"/>
    <w:rsid w:val="006D1C93"/>
    <w:rsid w:val="006E3F11"/>
    <w:rsid w:val="006E526C"/>
    <w:rsid w:val="00701410"/>
    <w:rsid w:val="007105FE"/>
    <w:rsid w:val="007113A1"/>
    <w:rsid w:val="00714D27"/>
    <w:rsid w:val="007202A5"/>
    <w:rsid w:val="007217BB"/>
    <w:rsid w:val="00721CF6"/>
    <w:rsid w:val="00723E46"/>
    <w:rsid w:val="007263ED"/>
    <w:rsid w:val="00733826"/>
    <w:rsid w:val="00733C9A"/>
    <w:rsid w:val="00760833"/>
    <w:rsid w:val="00766CFB"/>
    <w:rsid w:val="00767396"/>
    <w:rsid w:val="00773021"/>
    <w:rsid w:val="007816FF"/>
    <w:rsid w:val="007823FB"/>
    <w:rsid w:val="00783B44"/>
    <w:rsid w:val="00785028"/>
    <w:rsid w:val="007A3A5A"/>
    <w:rsid w:val="007A4370"/>
    <w:rsid w:val="007B3BBD"/>
    <w:rsid w:val="007E1D15"/>
    <w:rsid w:val="007E1DEA"/>
    <w:rsid w:val="007E2202"/>
    <w:rsid w:val="007F350A"/>
    <w:rsid w:val="0080436C"/>
    <w:rsid w:val="008145EA"/>
    <w:rsid w:val="00815869"/>
    <w:rsid w:val="00816B81"/>
    <w:rsid w:val="00823B90"/>
    <w:rsid w:val="00823FCE"/>
    <w:rsid w:val="0083266E"/>
    <w:rsid w:val="008546E5"/>
    <w:rsid w:val="00865EA8"/>
    <w:rsid w:val="00871653"/>
    <w:rsid w:val="0087617C"/>
    <w:rsid w:val="00880684"/>
    <w:rsid w:val="00881D74"/>
    <w:rsid w:val="00881E7B"/>
    <w:rsid w:val="008836AC"/>
    <w:rsid w:val="00887422"/>
    <w:rsid w:val="00887446"/>
    <w:rsid w:val="0089166C"/>
    <w:rsid w:val="00892C1E"/>
    <w:rsid w:val="00893204"/>
    <w:rsid w:val="008960DE"/>
    <w:rsid w:val="008963E1"/>
    <w:rsid w:val="008A2876"/>
    <w:rsid w:val="008A36DF"/>
    <w:rsid w:val="008C1698"/>
    <w:rsid w:val="008C1A3D"/>
    <w:rsid w:val="008C646C"/>
    <w:rsid w:val="008D01C3"/>
    <w:rsid w:val="008D0E44"/>
    <w:rsid w:val="008D1E13"/>
    <w:rsid w:val="008D3249"/>
    <w:rsid w:val="008D6549"/>
    <w:rsid w:val="008D70D2"/>
    <w:rsid w:val="008E4149"/>
    <w:rsid w:val="008E4385"/>
    <w:rsid w:val="008E7F72"/>
    <w:rsid w:val="00900AE8"/>
    <w:rsid w:val="00900DAD"/>
    <w:rsid w:val="009130A5"/>
    <w:rsid w:val="0091408E"/>
    <w:rsid w:val="00927AF9"/>
    <w:rsid w:val="00937396"/>
    <w:rsid w:val="009378CA"/>
    <w:rsid w:val="0095025E"/>
    <w:rsid w:val="00955C4C"/>
    <w:rsid w:val="00966FA0"/>
    <w:rsid w:val="00974D9C"/>
    <w:rsid w:val="0097701F"/>
    <w:rsid w:val="009840CD"/>
    <w:rsid w:val="009871DE"/>
    <w:rsid w:val="00995338"/>
    <w:rsid w:val="00995ED2"/>
    <w:rsid w:val="00996777"/>
    <w:rsid w:val="009C0BC7"/>
    <w:rsid w:val="009C0FBD"/>
    <w:rsid w:val="009C6592"/>
    <w:rsid w:val="009E209B"/>
    <w:rsid w:val="009E6501"/>
    <w:rsid w:val="009F0747"/>
    <w:rsid w:val="00A02A83"/>
    <w:rsid w:val="00A03514"/>
    <w:rsid w:val="00A06F74"/>
    <w:rsid w:val="00A15355"/>
    <w:rsid w:val="00A17079"/>
    <w:rsid w:val="00A33301"/>
    <w:rsid w:val="00A448C3"/>
    <w:rsid w:val="00A458D4"/>
    <w:rsid w:val="00A45CF9"/>
    <w:rsid w:val="00A46AA4"/>
    <w:rsid w:val="00A46FB7"/>
    <w:rsid w:val="00A53118"/>
    <w:rsid w:val="00A640F4"/>
    <w:rsid w:val="00A86AB5"/>
    <w:rsid w:val="00A97226"/>
    <w:rsid w:val="00AA08AA"/>
    <w:rsid w:val="00AA0E64"/>
    <w:rsid w:val="00AA142F"/>
    <w:rsid w:val="00AA53DB"/>
    <w:rsid w:val="00AB0061"/>
    <w:rsid w:val="00AB239A"/>
    <w:rsid w:val="00AB4347"/>
    <w:rsid w:val="00AC39FB"/>
    <w:rsid w:val="00AC47C8"/>
    <w:rsid w:val="00AD51D1"/>
    <w:rsid w:val="00AD53C7"/>
    <w:rsid w:val="00AD7ADC"/>
    <w:rsid w:val="00AE08EB"/>
    <w:rsid w:val="00AF3414"/>
    <w:rsid w:val="00B00BBE"/>
    <w:rsid w:val="00B05C93"/>
    <w:rsid w:val="00B10710"/>
    <w:rsid w:val="00B208FA"/>
    <w:rsid w:val="00B23CF9"/>
    <w:rsid w:val="00B25C12"/>
    <w:rsid w:val="00B2766F"/>
    <w:rsid w:val="00B31ABC"/>
    <w:rsid w:val="00B376EA"/>
    <w:rsid w:val="00B445ED"/>
    <w:rsid w:val="00B5142C"/>
    <w:rsid w:val="00B52309"/>
    <w:rsid w:val="00B54A93"/>
    <w:rsid w:val="00B611CC"/>
    <w:rsid w:val="00B6300F"/>
    <w:rsid w:val="00B701BA"/>
    <w:rsid w:val="00B70389"/>
    <w:rsid w:val="00B7301C"/>
    <w:rsid w:val="00B84623"/>
    <w:rsid w:val="00BA494B"/>
    <w:rsid w:val="00BA51EF"/>
    <w:rsid w:val="00BB66D5"/>
    <w:rsid w:val="00BC4039"/>
    <w:rsid w:val="00BC7E6E"/>
    <w:rsid w:val="00BE1D1F"/>
    <w:rsid w:val="00BE256D"/>
    <w:rsid w:val="00BE3060"/>
    <w:rsid w:val="00BE5E66"/>
    <w:rsid w:val="00BE6BBA"/>
    <w:rsid w:val="00BF671D"/>
    <w:rsid w:val="00BF6D3E"/>
    <w:rsid w:val="00BF6DE3"/>
    <w:rsid w:val="00C00281"/>
    <w:rsid w:val="00C05625"/>
    <w:rsid w:val="00C05870"/>
    <w:rsid w:val="00C1053B"/>
    <w:rsid w:val="00C1751E"/>
    <w:rsid w:val="00C17804"/>
    <w:rsid w:val="00C17C6C"/>
    <w:rsid w:val="00C21339"/>
    <w:rsid w:val="00C266F9"/>
    <w:rsid w:val="00C371EA"/>
    <w:rsid w:val="00C445AD"/>
    <w:rsid w:val="00C44CBA"/>
    <w:rsid w:val="00C458F0"/>
    <w:rsid w:val="00C4666A"/>
    <w:rsid w:val="00C479A3"/>
    <w:rsid w:val="00C50477"/>
    <w:rsid w:val="00C74DAF"/>
    <w:rsid w:val="00C80116"/>
    <w:rsid w:val="00C87BFC"/>
    <w:rsid w:val="00CB2C18"/>
    <w:rsid w:val="00CB79E6"/>
    <w:rsid w:val="00CD7EAD"/>
    <w:rsid w:val="00CF5E71"/>
    <w:rsid w:val="00CF7FAC"/>
    <w:rsid w:val="00D013B9"/>
    <w:rsid w:val="00D160C1"/>
    <w:rsid w:val="00D17794"/>
    <w:rsid w:val="00D22398"/>
    <w:rsid w:val="00D35E6C"/>
    <w:rsid w:val="00D3784E"/>
    <w:rsid w:val="00D436CF"/>
    <w:rsid w:val="00D45B2F"/>
    <w:rsid w:val="00D45CA6"/>
    <w:rsid w:val="00D46E88"/>
    <w:rsid w:val="00D51238"/>
    <w:rsid w:val="00D537C7"/>
    <w:rsid w:val="00D542D1"/>
    <w:rsid w:val="00D55151"/>
    <w:rsid w:val="00D60BD6"/>
    <w:rsid w:val="00D613A9"/>
    <w:rsid w:val="00D67E61"/>
    <w:rsid w:val="00D70D86"/>
    <w:rsid w:val="00D71B41"/>
    <w:rsid w:val="00D76BA4"/>
    <w:rsid w:val="00D8021D"/>
    <w:rsid w:val="00D82D10"/>
    <w:rsid w:val="00D86784"/>
    <w:rsid w:val="00D920E6"/>
    <w:rsid w:val="00DA004C"/>
    <w:rsid w:val="00DB2779"/>
    <w:rsid w:val="00DB37C0"/>
    <w:rsid w:val="00DE0236"/>
    <w:rsid w:val="00DE2A08"/>
    <w:rsid w:val="00DE2B4D"/>
    <w:rsid w:val="00E00E44"/>
    <w:rsid w:val="00E01570"/>
    <w:rsid w:val="00E02580"/>
    <w:rsid w:val="00E049A8"/>
    <w:rsid w:val="00E06B92"/>
    <w:rsid w:val="00E12ECB"/>
    <w:rsid w:val="00E1451F"/>
    <w:rsid w:val="00E15A72"/>
    <w:rsid w:val="00E15E28"/>
    <w:rsid w:val="00E16577"/>
    <w:rsid w:val="00E26DBE"/>
    <w:rsid w:val="00E30BAF"/>
    <w:rsid w:val="00E36051"/>
    <w:rsid w:val="00E36B4E"/>
    <w:rsid w:val="00E544FA"/>
    <w:rsid w:val="00E55E83"/>
    <w:rsid w:val="00E5792E"/>
    <w:rsid w:val="00E6077C"/>
    <w:rsid w:val="00E6618E"/>
    <w:rsid w:val="00E77075"/>
    <w:rsid w:val="00E77436"/>
    <w:rsid w:val="00E82C8E"/>
    <w:rsid w:val="00E87CFA"/>
    <w:rsid w:val="00E93D77"/>
    <w:rsid w:val="00E95264"/>
    <w:rsid w:val="00E96F4E"/>
    <w:rsid w:val="00EA2172"/>
    <w:rsid w:val="00EA2DC1"/>
    <w:rsid w:val="00EC5571"/>
    <w:rsid w:val="00ED0453"/>
    <w:rsid w:val="00ED0E8F"/>
    <w:rsid w:val="00EE1504"/>
    <w:rsid w:val="00EE2E70"/>
    <w:rsid w:val="00EE349F"/>
    <w:rsid w:val="00EE3B5B"/>
    <w:rsid w:val="00EE4CC9"/>
    <w:rsid w:val="00EF4800"/>
    <w:rsid w:val="00EF674A"/>
    <w:rsid w:val="00F00A3D"/>
    <w:rsid w:val="00F17CA4"/>
    <w:rsid w:val="00F20B7B"/>
    <w:rsid w:val="00F22DDA"/>
    <w:rsid w:val="00F23304"/>
    <w:rsid w:val="00F24DDD"/>
    <w:rsid w:val="00F2770B"/>
    <w:rsid w:val="00F304A0"/>
    <w:rsid w:val="00F549A3"/>
    <w:rsid w:val="00F55CBF"/>
    <w:rsid w:val="00F7199A"/>
    <w:rsid w:val="00F72B10"/>
    <w:rsid w:val="00F72D88"/>
    <w:rsid w:val="00F77359"/>
    <w:rsid w:val="00F83D18"/>
    <w:rsid w:val="00F86A73"/>
    <w:rsid w:val="00FA2B9B"/>
    <w:rsid w:val="00FA43A4"/>
    <w:rsid w:val="00FA58DA"/>
    <w:rsid w:val="00FB1FA4"/>
    <w:rsid w:val="00FB4397"/>
    <w:rsid w:val="00FC345B"/>
    <w:rsid w:val="00FD4E37"/>
    <w:rsid w:val="01FA494A"/>
    <w:rsid w:val="023E6245"/>
    <w:rsid w:val="04785FA7"/>
    <w:rsid w:val="04D84C56"/>
    <w:rsid w:val="05CA610A"/>
    <w:rsid w:val="069B7465"/>
    <w:rsid w:val="06FA08D7"/>
    <w:rsid w:val="08D37319"/>
    <w:rsid w:val="0940300B"/>
    <w:rsid w:val="0A8F4D54"/>
    <w:rsid w:val="0B8D7CFF"/>
    <w:rsid w:val="0F0C1BFB"/>
    <w:rsid w:val="0F57323B"/>
    <w:rsid w:val="0FF61686"/>
    <w:rsid w:val="112134CD"/>
    <w:rsid w:val="11743932"/>
    <w:rsid w:val="14D21342"/>
    <w:rsid w:val="17006E4C"/>
    <w:rsid w:val="18DE63DD"/>
    <w:rsid w:val="18F1507E"/>
    <w:rsid w:val="1A962F18"/>
    <w:rsid w:val="1D472A99"/>
    <w:rsid w:val="1E301F4B"/>
    <w:rsid w:val="203A2A6C"/>
    <w:rsid w:val="20534041"/>
    <w:rsid w:val="28CC07FC"/>
    <w:rsid w:val="291B008F"/>
    <w:rsid w:val="2E552D91"/>
    <w:rsid w:val="2F5E1045"/>
    <w:rsid w:val="2FDB068C"/>
    <w:rsid w:val="3118389A"/>
    <w:rsid w:val="31272A24"/>
    <w:rsid w:val="31C93659"/>
    <w:rsid w:val="329D2E00"/>
    <w:rsid w:val="32BE744E"/>
    <w:rsid w:val="36C627C1"/>
    <w:rsid w:val="3A1741DD"/>
    <w:rsid w:val="3AC86641"/>
    <w:rsid w:val="3BE03EC8"/>
    <w:rsid w:val="3E9C6E18"/>
    <w:rsid w:val="3EC66D80"/>
    <w:rsid w:val="414E2C89"/>
    <w:rsid w:val="43EA05B2"/>
    <w:rsid w:val="46C56BB5"/>
    <w:rsid w:val="47775FCD"/>
    <w:rsid w:val="48AD63A5"/>
    <w:rsid w:val="48DE4489"/>
    <w:rsid w:val="4B355D88"/>
    <w:rsid w:val="4C666EE9"/>
    <w:rsid w:val="4E7613C9"/>
    <w:rsid w:val="534122A6"/>
    <w:rsid w:val="53F555CD"/>
    <w:rsid w:val="559A3B50"/>
    <w:rsid w:val="57EE6152"/>
    <w:rsid w:val="5A49426D"/>
    <w:rsid w:val="5BA22531"/>
    <w:rsid w:val="5EDC5A30"/>
    <w:rsid w:val="621D1385"/>
    <w:rsid w:val="63A469EA"/>
    <w:rsid w:val="662E4CEC"/>
    <w:rsid w:val="673335DC"/>
    <w:rsid w:val="688F379A"/>
    <w:rsid w:val="6A8B2D0B"/>
    <w:rsid w:val="6C0A1F35"/>
    <w:rsid w:val="6CA901D5"/>
    <w:rsid w:val="6D2E042E"/>
    <w:rsid w:val="709D7847"/>
    <w:rsid w:val="7671125F"/>
    <w:rsid w:val="76F01A11"/>
    <w:rsid w:val="771A5453"/>
    <w:rsid w:val="77C20E07"/>
    <w:rsid w:val="78EA1B6E"/>
    <w:rsid w:val="792F6DE0"/>
    <w:rsid w:val="79B86F78"/>
    <w:rsid w:val="79EE0117"/>
    <w:rsid w:val="7AA11240"/>
    <w:rsid w:val="7ABB0B5C"/>
    <w:rsid w:val="7BAD2677"/>
    <w:rsid w:val="7BCD4C8A"/>
    <w:rsid w:val="7C323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99"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4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basedOn w:val="1"/>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link w:val="152"/>
    <w:qFormat/>
    <w:uiPriority w:val="99"/>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qFormat/>
    <w:uiPriority w:val="0"/>
    <w:pPr>
      <w:keepLines/>
      <w:spacing w:after="0"/>
    </w:pPr>
  </w:style>
  <w:style w:type="paragraph" w:styleId="48">
    <w:name w:val="index 2"/>
    <w:basedOn w:val="47"/>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qFormat/>
    <w:uiPriority w:val="99"/>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link w:val="154"/>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4 字符"/>
    <w:basedOn w:val="53"/>
    <w:link w:val="5"/>
    <w:qFormat/>
    <w:uiPriority w:val="0"/>
    <w:rPr>
      <w:rFonts w:ascii="Arial" w:hAnsi="Arial" w:eastAsia="Times New Roman"/>
      <w:sz w:val="24"/>
      <w:lang w:val="en-GB" w:eastAsia="en-GB"/>
    </w:rPr>
  </w:style>
  <w:style w:type="character" w:customStyle="1" w:styleId="149">
    <w:name w:val="未处理的提及1"/>
    <w:basedOn w:val="53"/>
    <w:semiHidden/>
    <w:unhideWhenUsed/>
    <w:qFormat/>
    <w:uiPriority w:val="99"/>
    <w:rPr>
      <w:color w:val="605E5C"/>
      <w:shd w:val="clear" w:color="auto" w:fill="E1DFDD"/>
    </w:rPr>
  </w:style>
  <w:style w:type="paragraph" w:customStyle="1" w:styleId="15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table" w:customStyle="1" w:styleId="151">
    <w:name w:val="网格型1"/>
    <w:basedOn w:val="5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脚注文本 字符"/>
    <w:link w:val="41"/>
    <w:qFormat/>
    <w:locked/>
    <w:uiPriority w:val="99"/>
    <w:rPr>
      <w:rFonts w:eastAsia="Times New Roman"/>
      <w:sz w:val="16"/>
      <w:lang w:val="en-GB" w:eastAsia="en-GB"/>
    </w:rPr>
  </w:style>
  <w:style w:type="character" w:customStyle="1" w:styleId="153">
    <w:name w:val="B1 Zchn"/>
    <w:qFormat/>
    <w:uiPriority w:val="0"/>
    <w:rPr>
      <w:rFonts w:ascii="Times New Roman" w:hAnsi="Times New Roman"/>
      <w:lang w:val="en-GB" w:eastAsia="ja-JP"/>
    </w:rPr>
  </w:style>
  <w:style w:type="character" w:customStyle="1" w:styleId="154">
    <w:name w:val="Table_text Char"/>
    <w:basedOn w:val="53"/>
    <w:link w:val="139"/>
    <w:qFormat/>
    <w:locked/>
    <w:uiPriority w:val="0"/>
    <w:rPr>
      <w:rFonts w:eastAsia="宋体"/>
      <w:sz w:val="22"/>
      <w:lang w:val="fr-FR" w:eastAsia="en-GB"/>
    </w:rPr>
  </w:style>
  <w:style w:type="paragraph" w:customStyle="1" w:styleId="155">
    <w:name w:val="Table_fin"/>
    <w:basedOn w:val="1"/>
    <w:qFormat/>
    <w:uiPriority w:val="0"/>
    <w:pPr>
      <w:spacing w:after="0"/>
    </w:pPr>
    <w:rPr>
      <w:lang w:eastAsia="zh-CN"/>
    </w:rPr>
  </w:style>
  <w:style w:type="character" w:customStyle="1" w:styleId="156">
    <w:name w:val="Unresolved Mention"/>
    <w:basedOn w:val="53"/>
    <w:semiHidden/>
    <w:unhideWhenUsed/>
    <w:qFormat/>
    <w:uiPriority w:val="99"/>
    <w:rPr>
      <w:color w:val="605E5C"/>
      <w:shd w:val="clear" w:color="auto" w:fill="E1DFDD"/>
    </w:rPr>
  </w:style>
  <w:style w:type="paragraph" w:customStyle="1" w:styleId="157">
    <w:name w:val="Frame Contents"/>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13</Pages>
  <Words>5358</Words>
  <Characters>30064</Characters>
  <Lines>556</Lines>
  <Paragraphs>407</Paragraphs>
  <TotalTime>0</TotalTime>
  <ScaleCrop>false</ScaleCrop>
  <LinksUpToDate>false</LinksUpToDate>
  <CharactersWithSpaces>35015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2025-09-18T07:13:00Z</dcterms:created>
  <dc:creator>Joern Krause</dc:creator>
  <cp:lastModifiedBy>zhang</cp:lastModifiedBy>
  <dcterms:modified xsi:type="dcterms:W3CDTF">2025-12-11T20:00:25Z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2052-12.1.0.23125</vt:lpwstr>
  </property>
  <property fmtid="{D5CDD505-2E9C-101B-9397-08002B2CF9AE}" pid="11" name="ICV">
    <vt:lpwstr>C7BE87E53CFD4BD19501F4B0C06C7A46_13</vt:lpwstr>
  </property>
</Properties>
</file>