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AFFBC" w14:textId="73FBFD43" w:rsidR="00D14DE4" w:rsidRPr="001C2D88" w:rsidRDefault="00D14DE4" w:rsidP="00D14DE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117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341943">
        <w:rPr>
          <w:rFonts w:ascii="Arial" w:eastAsiaTheme="minorEastAsia" w:hAnsi="Arial" w:cs="Arial"/>
          <w:b/>
        </w:rPr>
        <w:t>522172</w:t>
      </w:r>
    </w:p>
    <w:p w14:paraId="6DF1AAC8" w14:textId="77777777" w:rsidR="00D14DE4" w:rsidRPr="001C2D88" w:rsidRDefault="00D14DE4" w:rsidP="00D14DE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Dallas, TX, USA, November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</w:rPr>
        <w:t>1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CA6DC5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12D3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C05A1D9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036C06" w:rsidRPr="00036C06">
        <w:rPr>
          <w:rFonts w:ascii="Arial" w:eastAsia="MS Mincho" w:hAnsi="Arial" w:cs="Arial"/>
          <w:sz w:val="22"/>
        </w:rPr>
        <w:t xml:space="preserve">HPUE </w:t>
      </w:r>
      <w:r w:rsidR="00816EA1">
        <w:rPr>
          <w:rFonts w:ascii="Arial" w:eastAsia="MS Mincho" w:hAnsi="Arial" w:cs="Arial"/>
          <w:sz w:val="22"/>
        </w:rPr>
        <w:t>for NTN UE RF requ</w:t>
      </w:r>
      <w:r w:rsidR="00036C06" w:rsidRPr="00036C06">
        <w:rPr>
          <w:rFonts w:ascii="Arial" w:eastAsia="MS Mincho" w:hAnsi="Arial" w:cs="Arial"/>
          <w:sz w:val="22"/>
        </w:rPr>
        <w:t>irements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793A440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2D035E">
        <w:rPr>
          <w:sz w:val="21"/>
          <w:szCs w:val="21"/>
        </w:rPr>
        <w:t>9</w:t>
      </w:r>
      <w:r>
        <w:rPr>
          <w:sz w:val="21"/>
          <w:szCs w:val="21"/>
        </w:rPr>
        <w:t xml:space="preserve">, a </w:t>
      </w:r>
      <w:r w:rsidR="002D035E">
        <w:rPr>
          <w:sz w:val="21"/>
          <w:szCs w:val="21"/>
        </w:rPr>
        <w:t>new</w:t>
      </w:r>
      <w:r>
        <w:rPr>
          <w:sz w:val="21"/>
          <w:szCs w:val="21"/>
        </w:rPr>
        <w:t xml:space="preserve"> WID has been approved [1] for “</w:t>
      </w:r>
      <w:r w:rsidR="00816EA1" w:rsidRPr="00816EA1">
        <w:rPr>
          <w:sz w:val="21"/>
          <w:szCs w:val="21"/>
        </w:rPr>
        <w:t>Enhanced requirements for NR NTN and IoT NTN Phase 2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16EA1">
        <w:rPr>
          <w:sz w:val="21"/>
          <w:szCs w:val="21"/>
        </w:rPr>
        <w:t xml:space="preserve">The part on </w:t>
      </w:r>
      <w:r w:rsidR="00816EA1" w:rsidRPr="00816EA1">
        <w:rPr>
          <w:sz w:val="21"/>
          <w:szCs w:val="21"/>
        </w:rPr>
        <w:t>HPUE for NTN (PC1.5)</w:t>
      </w:r>
      <w:r w:rsidR="00816EA1">
        <w:rPr>
          <w:sz w:val="21"/>
          <w:szCs w:val="21"/>
        </w:rPr>
        <w:t xml:space="preserve"> has the following objectives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4073D8">
        <w:tc>
          <w:tcPr>
            <w:tcW w:w="9631" w:type="dxa"/>
          </w:tcPr>
          <w:p w14:paraId="459C1817" w14:textId="77777777" w:rsidR="00816EA1" w:rsidRPr="00816EA1" w:rsidRDefault="00816EA1" w:rsidP="00816EA1">
            <w:pPr>
              <w:spacing w:after="120"/>
              <w:jc w:val="both"/>
              <w:rPr>
                <w:sz w:val="21"/>
                <w:szCs w:val="21"/>
                <w:u w:val="single"/>
              </w:rPr>
            </w:pPr>
            <w:r w:rsidRPr="00816EA1">
              <w:rPr>
                <w:sz w:val="21"/>
                <w:szCs w:val="21"/>
                <w:u w:val="single"/>
              </w:rPr>
              <w:t>HPUE for NTN Core Part</w:t>
            </w:r>
          </w:p>
          <w:p w14:paraId="1054F31E" w14:textId="77777777" w:rsidR="00816EA1" w:rsidRPr="00816EA1" w:rsidRDefault="00816EA1" w:rsidP="00816EA1">
            <w:pPr>
              <w:numPr>
                <w:ilvl w:val="0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high power UE (HPUE) NB-IoT based IoT-NTN in FR1-NTN bands and the corresponding LTE NTN bands for the single uplink (UL) carrier scenario</w:t>
            </w:r>
          </w:p>
          <w:p w14:paraId="25FF6CCA" w14:textId="77777777" w:rsidR="00816EA1" w:rsidRPr="00816EA1" w:rsidRDefault="00816EA1" w:rsidP="00816EA1">
            <w:pPr>
              <w:numPr>
                <w:ilvl w:val="1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IoT-NTN PC1.5 with 1Tx for handheld and non-handheld device types</w:t>
            </w:r>
          </w:p>
          <w:p w14:paraId="52FD3F46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Example bands are Band 256 and 255</w:t>
            </w:r>
          </w:p>
          <w:p w14:paraId="58713B9E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Tx requirements, at least including</w:t>
            </w:r>
          </w:p>
          <w:p w14:paraId="0B08F86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MPR and A-MPR for the example bands considering the regulation for the corresponding bands, if necessary</w:t>
            </w:r>
          </w:p>
          <w:p w14:paraId="722EB014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Rx requirements, at least including</w:t>
            </w:r>
          </w:p>
          <w:p w14:paraId="0425EA9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RSD requirements on the example bands, if necessary</w:t>
            </w:r>
          </w:p>
          <w:p w14:paraId="3DA5C8D2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necessary signaling to support the above objectives</w:t>
            </w:r>
          </w:p>
          <w:p w14:paraId="497FBE3D" w14:textId="31442361" w:rsidR="002D035E" w:rsidRPr="00816EA1" w:rsidRDefault="00816EA1" w:rsidP="00816EA1">
            <w:pPr>
              <w:numPr>
                <w:ilvl w:val="0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The band agnostic requirements for UE power class specified for TN are expected to apply also to corresponding NR NTN power classes.</w:t>
            </w: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4455B1EA" w:rsidR="00673EB0" w:rsidRDefault="00D14DE4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RAN4#116-bis meeting, a very good progress has been made [2]. </w:t>
      </w:r>
      <w:r w:rsidR="002D035E">
        <w:rPr>
          <w:sz w:val="21"/>
          <w:szCs w:val="21"/>
          <w:lang w:eastAsia="ja-JP"/>
        </w:rPr>
        <w:t xml:space="preserve">In the following, we will provide </w:t>
      </w:r>
      <w:r>
        <w:rPr>
          <w:sz w:val="21"/>
          <w:szCs w:val="21"/>
          <w:lang w:eastAsia="ja-JP"/>
        </w:rPr>
        <w:t>our</w:t>
      </w:r>
      <w:r w:rsidR="002D035E">
        <w:rPr>
          <w:sz w:val="21"/>
          <w:szCs w:val="21"/>
          <w:lang w:eastAsia="ja-JP"/>
        </w:rPr>
        <w:t xml:space="preserve"> view on </w:t>
      </w:r>
      <w:r>
        <w:rPr>
          <w:sz w:val="21"/>
          <w:szCs w:val="21"/>
          <w:lang w:eastAsia="ja-JP"/>
        </w:rPr>
        <w:t xml:space="preserve">one of </w:t>
      </w:r>
      <w:r w:rsidR="00CF7D94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>remaining issues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6C7D6F4" w14:textId="77777777" w:rsidR="00D14DE4" w:rsidRDefault="00D14DE4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Other than the MPR and the A-MPR requirements, the only remaining issue in this part of the WI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4DE4" w14:paraId="2E1017E1" w14:textId="77777777" w:rsidTr="00D14DE4">
        <w:tc>
          <w:tcPr>
            <w:tcW w:w="9631" w:type="dxa"/>
          </w:tcPr>
          <w:p w14:paraId="7053A767" w14:textId="77777777" w:rsidR="00D14DE4" w:rsidRPr="00D14DE4" w:rsidRDefault="00D14DE4" w:rsidP="00D14DE4">
            <w:pPr>
              <w:spacing w:after="120"/>
              <w:jc w:val="both"/>
              <w:rPr>
                <w:sz w:val="21"/>
                <w:szCs w:val="21"/>
              </w:rPr>
            </w:pPr>
            <w:r w:rsidRPr="00D14DE4">
              <w:rPr>
                <w:sz w:val="21"/>
                <w:szCs w:val="21"/>
              </w:rPr>
              <w:t>Issue 2-2-</w:t>
            </w:r>
            <w:r w:rsidRPr="00D14DE4">
              <w:rPr>
                <w:rFonts w:hint="eastAsia"/>
                <w:sz w:val="21"/>
                <w:szCs w:val="21"/>
              </w:rPr>
              <w:t>3:</w:t>
            </w:r>
            <w:r w:rsidRPr="00D14DE4">
              <w:rPr>
                <w:sz w:val="21"/>
                <w:szCs w:val="21"/>
              </w:rPr>
              <w:t xml:space="preserve"> UE RF front end assumptions and related accommodations</w:t>
            </w:r>
          </w:p>
          <w:p w14:paraId="544A0498" w14:textId="77777777" w:rsidR="00D14DE4" w:rsidRPr="00D14DE4" w:rsidRDefault="00D14DE4" w:rsidP="00D14DE4">
            <w:pPr>
              <w:spacing w:after="120"/>
              <w:jc w:val="both"/>
              <w:rPr>
                <w:sz w:val="21"/>
                <w:szCs w:val="21"/>
                <w:highlight w:val="green"/>
              </w:rPr>
            </w:pPr>
            <w:proofErr w:type="spellStart"/>
            <w:r w:rsidRPr="00D14DE4">
              <w:rPr>
                <w:rFonts w:hint="eastAsia"/>
                <w:sz w:val="21"/>
                <w:szCs w:val="21"/>
                <w:highlight w:val="green"/>
              </w:rPr>
              <w:t>WayFoward</w:t>
            </w:r>
            <w:proofErr w:type="spellEnd"/>
            <w:r w:rsidRPr="00D14DE4">
              <w:rPr>
                <w:rFonts w:hint="eastAsia"/>
                <w:sz w:val="21"/>
                <w:szCs w:val="21"/>
                <w:highlight w:val="green"/>
              </w:rPr>
              <w:t>:</w:t>
            </w:r>
          </w:p>
          <w:p w14:paraId="369F1476" w14:textId="77777777" w:rsidR="00D14DE4" w:rsidRPr="00D14DE4" w:rsidRDefault="00D14DE4" w:rsidP="00D14DE4">
            <w:pPr>
              <w:numPr>
                <w:ilvl w:val="0"/>
                <w:numId w:val="10"/>
              </w:numPr>
              <w:spacing w:after="120"/>
              <w:jc w:val="both"/>
              <w:rPr>
                <w:sz w:val="21"/>
                <w:szCs w:val="21"/>
                <w:highlight w:val="green"/>
              </w:rPr>
            </w:pPr>
            <w:r w:rsidRPr="00D14DE4">
              <w:rPr>
                <w:sz w:val="21"/>
                <w:szCs w:val="21"/>
                <w:highlight w:val="green"/>
              </w:rPr>
              <w:t xml:space="preserve">FFS on power handling challenges when NB-IoT NTN UE is scheduled for long duration </w:t>
            </w:r>
            <w:r w:rsidRPr="00D14DE4">
              <w:rPr>
                <w:rFonts w:hint="eastAsia"/>
                <w:sz w:val="21"/>
                <w:szCs w:val="21"/>
                <w:highlight w:val="green"/>
              </w:rPr>
              <w:t xml:space="preserve">e.g. 256ms </w:t>
            </w:r>
            <w:r w:rsidRPr="00D14DE4">
              <w:rPr>
                <w:sz w:val="21"/>
                <w:szCs w:val="21"/>
                <w:highlight w:val="green"/>
              </w:rPr>
              <w:t xml:space="preserve">in UL with </w:t>
            </w:r>
            <w:r w:rsidRPr="00D14DE4">
              <w:rPr>
                <w:rFonts w:hint="eastAsia"/>
                <w:sz w:val="21"/>
                <w:szCs w:val="21"/>
                <w:highlight w:val="green"/>
              </w:rPr>
              <w:t>high power e.g. +29dBm</w:t>
            </w:r>
            <w:r w:rsidRPr="00D14DE4">
              <w:rPr>
                <w:sz w:val="21"/>
                <w:szCs w:val="21"/>
                <w:highlight w:val="green"/>
              </w:rPr>
              <w:t>. (e.g. potential accommodations to UE maximum output power requirements</w:t>
            </w:r>
            <w:r w:rsidRPr="00D14DE4">
              <w:rPr>
                <w:rFonts w:hint="eastAsia"/>
                <w:sz w:val="21"/>
                <w:szCs w:val="21"/>
                <w:highlight w:val="green"/>
              </w:rPr>
              <w:t>)</w:t>
            </w:r>
          </w:p>
          <w:p w14:paraId="55CCD4E4" w14:textId="5F9BF996" w:rsidR="00D14DE4" w:rsidRPr="00D14DE4" w:rsidRDefault="00D14DE4" w:rsidP="00816EA1">
            <w:pPr>
              <w:numPr>
                <w:ilvl w:val="0"/>
                <w:numId w:val="10"/>
              </w:numPr>
              <w:spacing w:after="120"/>
              <w:jc w:val="both"/>
              <w:rPr>
                <w:sz w:val="21"/>
                <w:szCs w:val="21"/>
              </w:rPr>
            </w:pPr>
            <w:r w:rsidRPr="00D14DE4">
              <w:rPr>
                <w:rFonts w:hint="eastAsia"/>
                <w:sz w:val="21"/>
                <w:szCs w:val="21"/>
                <w:highlight w:val="green"/>
              </w:rPr>
              <w:t xml:space="preserve">The timeline of the </w:t>
            </w:r>
            <w:r w:rsidRPr="00D14DE4">
              <w:rPr>
                <w:sz w:val="21"/>
                <w:szCs w:val="21"/>
                <w:highlight w:val="green"/>
              </w:rPr>
              <w:t>PC1.5 IoT NTN</w:t>
            </w:r>
            <w:r w:rsidRPr="00D14DE4">
              <w:rPr>
                <w:rFonts w:hint="eastAsia"/>
                <w:sz w:val="21"/>
                <w:szCs w:val="21"/>
                <w:highlight w:val="green"/>
              </w:rPr>
              <w:t xml:space="preserve"> work shall not be impacted by this issue, even if no solution is agreed, no discussion after RAN4#118.</w:t>
            </w:r>
          </w:p>
        </w:tc>
      </w:tr>
    </w:tbl>
    <w:p w14:paraId="6E82FB08" w14:textId="77777777" w:rsidR="00D14DE4" w:rsidRDefault="00D14DE4" w:rsidP="00816EA1">
      <w:pPr>
        <w:spacing w:after="120"/>
        <w:jc w:val="both"/>
        <w:rPr>
          <w:sz w:val="21"/>
          <w:szCs w:val="21"/>
        </w:rPr>
      </w:pPr>
    </w:p>
    <w:p w14:paraId="2E6FB701" w14:textId="0B555BF0" w:rsidR="00BC40BE" w:rsidRDefault="00EB5E19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current LTE specifications, the fallback to the default power class</w:t>
      </w:r>
      <w:r w:rsidR="00BC40BE">
        <w:rPr>
          <w:sz w:val="21"/>
          <w:szCs w:val="21"/>
        </w:rPr>
        <w:t xml:space="preserve"> (PC3)</w:t>
      </w:r>
      <w:r>
        <w:rPr>
          <w:sz w:val="21"/>
          <w:szCs w:val="21"/>
        </w:rPr>
        <w:t xml:space="preserve"> is </w:t>
      </w:r>
      <w:r w:rsidR="00945AEC">
        <w:rPr>
          <w:sz w:val="21"/>
          <w:szCs w:val="21"/>
        </w:rPr>
        <w:t xml:space="preserve">mandated </w:t>
      </w:r>
      <w:r>
        <w:rPr>
          <w:sz w:val="21"/>
          <w:szCs w:val="21"/>
        </w:rPr>
        <w:t>for power class 2 UEs but only for TDD bands</w:t>
      </w:r>
      <w:r w:rsidR="00945AEC">
        <w:rPr>
          <w:sz w:val="21"/>
          <w:szCs w:val="21"/>
        </w:rPr>
        <w:t xml:space="preserve"> (“the UE </w:t>
      </w:r>
      <w:r w:rsidR="00945AEC" w:rsidRPr="00945AEC">
        <w:rPr>
          <w:sz w:val="21"/>
          <w:szCs w:val="21"/>
          <w:u w:val="single"/>
        </w:rPr>
        <w:t>shall</w:t>
      </w:r>
      <w:r w:rsidR="00945AEC">
        <w:rPr>
          <w:sz w:val="21"/>
          <w:szCs w:val="21"/>
        </w:rPr>
        <w:t xml:space="preserve"> meet…”)</w:t>
      </w:r>
      <w:r>
        <w:rPr>
          <w:sz w:val="21"/>
          <w:szCs w:val="21"/>
        </w:rPr>
        <w:t xml:space="preserve">. </w:t>
      </w:r>
      <w:r w:rsidR="00BC40BE">
        <w:rPr>
          <w:sz w:val="21"/>
          <w:szCs w:val="21"/>
        </w:rPr>
        <w:t>It occurs if TDD frame configuration is</w:t>
      </w:r>
      <w:r w:rsidR="00945AEC">
        <w:rPr>
          <w:sz w:val="21"/>
          <w:szCs w:val="21"/>
        </w:rPr>
        <w:t xml:space="preserve"> </w:t>
      </w:r>
      <w:r w:rsidR="00BC40BE">
        <w:rPr>
          <w:sz w:val="21"/>
          <w:szCs w:val="21"/>
        </w:rPr>
        <w:t xml:space="preserve">0 or 6, as well as if IE </w:t>
      </w:r>
      <w:r w:rsidR="00BC40BE" w:rsidRPr="00BC40BE">
        <w:rPr>
          <w:i/>
          <w:iCs/>
          <w:sz w:val="21"/>
          <w:szCs w:val="21"/>
        </w:rPr>
        <w:t>P-max</w:t>
      </w:r>
      <w:r w:rsidR="00BC40BE">
        <w:rPr>
          <w:sz w:val="21"/>
          <w:szCs w:val="21"/>
        </w:rPr>
        <w:t xml:space="preserve"> is not provided or set to the maximum output power of the default power class or lower (band 41 is a small exception). </w:t>
      </w:r>
      <w:r w:rsidR="00945AEC">
        <w:rPr>
          <w:sz w:val="21"/>
          <w:szCs w:val="21"/>
        </w:rPr>
        <w:t xml:space="preserve">For FDD band 14, which is the only FDD band </w:t>
      </w:r>
      <w:r w:rsidR="00C542E5">
        <w:rPr>
          <w:sz w:val="21"/>
          <w:szCs w:val="21"/>
        </w:rPr>
        <w:t xml:space="preserve">in LTE </w:t>
      </w:r>
      <w:r w:rsidR="00945AEC">
        <w:rPr>
          <w:sz w:val="21"/>
          <w:szCs w:val="21"/>
        </w:rPr>
        <w:t xml:space="preserve">which supports PC2, fallback to the default power class is </w:t>
      </w:r>
      <w:r w:rsidR="00945AEC">
        <w:rPr>
          <w:sz w:val="21"/>
          <w:szCs w:val="21"/>
        </w:rPr>
        <w:lastRenderedPageBreak/>
        <w:t xml:space="preserve">not defined for PC2, i.e. UEs are </w:t>
      </w:r>
      <w:r w:rsidR="00FC24D3">
        <w:rPr>
          <w:sz w:val="21"/>
          <w:szCs w:val="21"/>
        </w:rPr>
        <w:t>never</w:t>
      </w:r>
      <w:r w:rsidR="00945AEC">
        <w:rPr>
          <w:sz w:val="21"/>
          <w:szCs w:val="21"/>
        </w:rPr>
        <w:t xml:space="preserve"> mandated to meet all requirements for PC3. Unlike NR, </w:t>
      </w:r>
      <w:r w:rsidR="00C542E5">
        <w:rPr>
          <w:sz w:val="21"/>
          <w:szCs w:val="21"/>
        </w:rPr>
        <w:t xml:space="preserve">reporting </w:t>
      </w:r>
      <w:r w:rsidR="00945AEC">
        <w:rPr>
          <w:sz w:val="21"/>
          <w:szCs w:val="21"/>
        </w:rPr>
        <w:t>mechanisms based on the maximum uplink duty cycle are not defin</w:t>
      </w:r>
      <w:r w:rsidR="00C542E5">
        <w:rPr>
          <w:sz w:val="21"/>
          <w:szCs w:val="21"/>
        </w:rPr>
        <w:t>ed</w:t>
      </w:r>
      <w:r w:rsidR="00FC24D3">
        <w:rPr>
          <w:sz w:val="21"/>
          <w:szCs w:val="21"/>
        </w:rPr>
        <w:t xml:space="preserve"> in LTE</w:t>
      </w:r>
      <w:r w:rsidR="00C542E5">
        <w:rPr>
          <w:sz w:val="21"/>
          <w:szCs w:val="21"/>
        </w:rPr>
        <w:t>.</w:t>
      </w:r>
    </w:p>
    <w:p w14:paraId="1E01F1D9" w14:textId="797017F8" w:rsidR="00C542E5" w:rsidRDefault="00C542E5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The above issue</w:t>
      </w:r>
      <w:r w:rsidR="00FC24D3">
        <w:rPr>
          <w:sz w:val="21"/>
          <w:szCs w:val="21"/>
        </w:rPr>
        <w:t xml:space="preserve"> from the WF</w:t>
      </w:r>
      <w:r>
        <w:rPr>
          <w:sz w:val="21"/>
          <w:szCs w:val="21"/>
        </w:rPr>
        <w:t xml:space="preserve"> </w:t>
      </w:r>
      <w:r w:rsidR="00FC24D3">
        <w:rPr>
          <w:sz w:val="21"/>
          <w:szCs w:val="21"/>
        </w:rPr>
        <w:t>originated from the following</w:t>
      </w:r>
      <w:r>
        <w:rPr>
          <w:sz w:val="21"/>
          <w:szCs w:val="21"/>
        </w:rPr>
        <w:t xml:space="preserve"> proposal in RAN4#116-bis meeting</w:t>
      </w:r>
      <w:r w:rsidR="00FC24D3">
        <w:rPr>
          <w:sz w:val="21"/>
          <w:szCs w:val="21"/>
        </w:rPr>
        <w:t xml:space="preserve">: “Proposal 1: </w:t>
      </w:r>
      <w:r w:rsidR="00FC24D3" w:rsidRPr="00FC24D3">
        <w:rPr>
          <w:sz w:val="21"/>
          <w:szCs w:val="21"/>
        </w:rPr>
        <w:t>Allow but do not mandate PC1.5 NB-IoT NTN UE to reduce transmit power to PC3 power level when 25% Tx duty cycle in a radio frame is exceeded</w:t>
      </w:r>
      <w:r w:rsidR="00FC24D3">
        <w:rPr>
          <w:sz w:val="21"/>
          <w:szCs w:val="21"/>
        </w:rPr>
        <w:t xml:space="preserve">” [3]. </w:t>
      </w:r>
      <w:r w:rsidR="00FF5A1D">
        <w:rPr>
          <w:sz w:val="21"/>
          <w:szCs w:val="21"/>
        </w:rPr>
        <w:t xml:space="preserve">Allowing </w:t>
      </w:r>
      <w:r w:rsidR="004C5F2C">
        <w:rPr>
          <w:sz w:val="21"/>
          <w:szCs w:val="21"/>
        </w:rPr>
        <w:t>UEs to transmit with higher powers for longer duration can indeed improve the uplink performance, but o</w:t>
      </w:r>
      <w:r w:rsidR="00FF5A1D">
        <w:rPr>
          <w:sz w:val="21"/>
          <w:szCs w:val="21"/>
        </w:rPr>
        <w:t xml:space="preserve">ne of the concerns was how to be sure that all UEs will meet SAR requirements if they were allowed not to fall back to the default power class when 25% Tx duty cycle in a radio frame was exceeded. However, </w:t>
      </w:r>
      <w:r w:rsidR="004C5F2C">
        <w:rPr>
          <w:sz w:val="21"/>
          <w:szCs w:val="21"/>
        </w:rPr>
        <w:t>ultimately,</w:t>
      </w:r>
      <w:r w:rsidR="00FF5A1D">
        <w:rPr>
          <w:sz w:val="21"/>
          <w:szCs w:val="21"/>
        </w:rPr>
        <w:t xml:space="preserve"> compliance </w:t>
      </w:r>
      <w:r w:rsidR="00074E78">
        <w:rPr>
          <w:sz w:val="21"/>
          <w:szCs w:val="21"/>
        </w:rPr>
        <w:t>with</w:t>
      </w:r>
      <w:r w:rsidR="00FF5A1D">
        <w:rPr>
          <w:sz w:val="21"/>
          <w:szCs w:val="21"/>
        </w:rPr>
        <w:t xml:space="preserve"> the SAR requirements is UE’s responsibility</w:t>
      </w:r>
      <w:r w:rsidR="004B037B">
        <w:rPr>
          <w:sz w:val="21"/>
          <w:szCs w:val="21"/>
        </w:rPr>
        <w:t>,</w:t>
      </w:r>
      <w:r w:rsidR="00FF5A1D">
        <w:rPr>
          <w:sz w:val="21"/>
          <w:szCs w:val="21"/>
        </w:rPr>
        <w:t xml:space="preserve"> </w:t>
      </w:r>
      <w:r w:rsidR="00824ADC">
        <w:rPr>
          <w:sz w:val="21"/>
          <w:szCs w:val="21"/>
        </w:rPr>
        <w:t>while</w:t>
      </w:r>
      <w:r w:rsidR="00FF5A1D">
        <w:rPr>
          <w:sz w:val="21"/>
          <w:szCs w:val="21"/>
        </w:rPr>
        <w:t xml:space="preserve">  RAN4</w:t>
      </w:r>
      <w:r w:rsidR="004B037B">
        <w:rPr>
          <w:sz w:val="21"/>
          <w:szCs w:val="21"/>
        </w:rPr>
        <w:t xml:space="preserve"> </w:t>
      </w:r>
      <w:r w:rsidR="00FF5A1D">
        <w:rPr>
          <w:sz w:val="21"/>
          <w:szCs w:val="21"/>
        </w:rPr>
        <w:t>only define</w:t>
      </w:r>
      <w:r w:rsidR="004B037B">
        <w:rPr>
          <w:sz w:val="21"/>
          <w:szCs w:val="21"/>
        </w:rPr>
        <w:t>s</w:t>
      </w:r>
      <w:r w:rsidR="00FF5A1D">
        <w:rPr>
          <w:sz w:val="21"/>
          <w:szCs w:val="21"/>
        </w:rPr>
        <w:t xml:space="preserve"> provisions to facilitate compliance </w:t>
      </w:r>
      <w:r w:rsidR="00074E78">
        <w:rPr>
          <w:sz w:val="21"/>
          <w:szCs w:val="21"/>
        </w:rPr>
        <w:t>with</w:t>
      </w:r>
      <w:r w:rsidR="00FF5A1D">
        <w:rPr>
          <w:sz w:val="21"/>
          <w:szCs w:val="21"/>
        </w:rPr>
        <w:t xml:space="preserve"> the SAR requirements, such as P-MPR. </w:t>
      </w:r>
    </w:p>
    <w:p w14:paraId="56A65717" w14:textId="20203048" w:rsidR="004B037B" w:rsidRDefault="004B037B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Hence, not mandating UE to reduce its transmit power to PC3 power level when 25% uplink duty cycle in a radio frame is exceeded could be specified</w:t>
      </w:r>
      <w:r w:rsidR="00BB34E6">
        <w:rPr>
          <w:sz w:val="21"/>
          <w:szCs w:val="21"/>
        </w:rPr>
        <w:t>, meaning that likely no changes would be needed for the core specifications. On the other hand, these requirements should be properly tested, where an RMC with up to 25% uplink duty cycle should be defined and where no P-MPR mechanism is being used.</w:t>
      </w:r>
    </w:p>
    <w:p w14:paraId="4E8C2887" w14:textId="3826B548" w:rsidR="000B287C" w:rsidRPr="000B287C" w:rsidRDefault="000B287C" w:rsidP="000B287C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 xml:space="preserve">Proposal: </w:t>
      </w:r>
      <w:r w:rsidR="005D6522">
        <w:rPr>
          <w:b/>
          <w:bCs/>
          <w:sz w:val="21"/>
          <w:szCs w:val="21"/>
        </w:rPr>
        <w:t>Allow, but d</w:t>
      </w:r>
      <w:r w:rsidR="00BB34E6">
        <w:rPr>
          <w:b/>
          <w:bCs/>
          <w:sz w:val="21"/>
          <w:szCs w:val="21"/>
        </w:rPr>
        <w:t>o not mandate</w:t>
      </w:r>
      <w:r w:rsidR="005D6522">
        <w:rPr>
          <w:b/>
          <w:bCs/>
          <w:sz w:val="21"/>
          <w:szCs w:val="21"/>
        </w:rPr>
        <w:t xml:space="preserve"> the </w:t>
      </w:r>
      <w:r w:rsidR="00BB34E6" w:rsidRPr="00BB34E6">
        <w:rPr>
          <w:b/>
          <w:bCs/>
          <w:sz w:val="21"/>
          <w:szCs w:val="21"/>
        </w:rPr>
        <w:t>UE</w:t>
      </w:r>
      <w:r w:rsidR="005D6522">
        <w:rPr>
          <w:b/>
          <w:bCs/>
          <w:sz w:val="21"/>
          <w:szCs w:val="21"/>
        </w:rPr>
        <w:t>s</w:t>
      </w:r>
      <w:r w:rsidR="00BB34E6" w:rsidRPr="00BB34E6">
        <w:rPr>
          <w:b/>
          <w:bCs/>
          <w:sz w:val="21"/>
          <w:szCs w:val="21"/>
        </w:rPr>
        <w:t xml:space="preserve"> to reduce </w:t>
      </w:r>
      <w:r w:rsidR="005D6522">
        <w:rPr>
          <w:b/>
          <w:bCs/>
          <w:sz w:val="21"/>
          <w:szCs w:val="21"/>
        </w:rPr>
        <w:t>their</w:t>
      </w:r>
      <w:r w:rsidR="00BB34E6" w:rsidRPr="00BB34E6">
        <w:rPr>
          <w:b/>
          <w:bCs/>
          <w:sz w:val="21"/>
          <w:szCs w:val="21"/>
        </w:rPr>
        <w:t xml:space="preserve"> transmit power to PC3 power level when 25% uplink duty cycle in a radio frame is exceeded</w:t>
      </w:r>
      <w:r w:rsidR="005D6522">
        <w:rPr>
          <w:b/>
          <w:bCs/>
          <w:sz w:val="21"/>
          <w:szCs w:val="21"/>
        </w:rPr>
        <w:t>. At the same time, introduce an RMC with up to 25% uplink duty cycle where P-MPR should be disabled to properly test these devices.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6549806" w14:textId="77777777" w:rsidR="00341943" w:rsidRPr="000B287C" w:rsidRDefault="00341943" w:rsidP="00341943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 xml:space="preserve">Proposal: </w:t>
      </w:r>
      <w:r>
        <w:rPr>
          <w:b/>
          <w:bCs/>
          <w:sz w:val="21"/>
          <w:szCs w:val="21"/>
        </w:rPr>
        <w:t xml:space="preserve">Allow, but do not mandate the </w:t>
      </w:r>
      <w:r w:rsidRPr="00BB34E6">
        <w:rPr>
          <w:b/>
          <w:bCs/>
          <w:sz w:val="21"/>
          <w:szCs w:val="21"/>
        </w:rPr>
        <w:t>UE</w:t>
      </w:r>
      <w:r>
        <w:rPr>
          <w:b/>
          <w:bCs/>
          <w:sz w:val="21"/>
          <w:szCs w:val="21"/>
        </w:rPr>
        <w:t>s</w:t>
      </w:r>
      <w:r w:rsidRPr="00BB34E6">
        <w:rPr>
          <w:b/>
          <w:bCs/>
          <w:sz w:val="21"/>
          <w:szCs w:val="21"/>
        </w:rPr>
        <w:t xml:space="preserve"> to reduce </w:t>
      </w:r>
      <w:r>
        <w:rPr>
          <w:b/>
          <w:bCs/>
          <w:sz w:val="21"/>
          <w:szCs w:val="21"/>
        </w:rPr>
        <w:t>their</w:t>
      </w:r>
      <w:r w:rsidRPr="00BB34E6">
        <w:rPr>
          <w:b/>
          <w:bCs/>
          <w:sz w:val="21"/>
          <w:szCs w:val="21"/>
        </w:rPr>
        <w:t xml:space="preserve"> transmit power to PC3 power level when 25% uplink duty cycle in a radio frame is exceeded</w:t>
      </w:r>
      <w:r>
        <w:rPr>
          <w:b/>
          <w:bCs/>
          <w:sz w:val="21"/>
          <w:szCs w:val="21"/>
        </w:rPr>
        <w:t>. At the same time, introduce an RMC with up to 25% uplink duty cycle where P-MPR should be disabled to properly test these devices.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711FB037" w:rsidR="0094237D" w:rsidRPr="00D14DE4" w:rsidRDefault="00DD531C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2529</w:t>
      </w:r>
      <w:r w:rsidR="00422104">
        <w:rPr>
          <w:sz w:val="22"/>
          <w:szCs w:val="22"/>
          <w:lang w:val="en-GB"/>
        </w:rPr>
        <w:t>6</w:t>
      </w:r>
      <w:r w:rsidR="002D035E" w:rsidRPr="002D035E">
        <w:rPr>
          <w:sz w:val="22"/>
          <w:szCs w:val="22"/>
          <w:lang w:val="en-GB"/>
        </w:rPr>
        <w:t>2</w:t>
      </w:r>
      <w:r w:rsidR="000C76A4" w:rsidRPr="000C76A4">
        <w:rPr>
          <w:sz w:val="22"/>
          <w:szCs w:val="22"/>
          <w:lang w:val="en-GB"/>
        </w:rPr>
        <w:t>, “</w:t>
      </w:r>
      <w:r w:rsidR="002D035E" w:rsidRPr="002D035E">
        <w:rPr>
          <w:sz w:val="22"/>
          <w:szCs w:val="22"/>
          <w:lang w:val="en-GB"/>
        </w:rPr>
        <w:t>New WID</w:t>
      </w:r>
      <w:r w:rsidR="00422104">
        <w:rPr>
          <w:sz w:val="22"/>
          <w:szCs w:val="22"/>
          <w:lang w:val="en-GB"/>
        </w:rPr>
        <w:t xml:space="preserve"> on</w:t>
      </w:r>
      <w:r w:rsidR="002D035E" w:rsidRPr="002D035E">
        <w:rPr>
          <w:sz w:val="22"/>
          <w:szCs w:val="22"/>
          <w:lang w:val="en-GB"/>
        </w:rPr>
        <w:t xml:space="preserve"> </w:t>
      </w:r>
      <w:r w:rsidR="00422104" w:rsidRPr="00422104">
        <w:rPr>
          <w:sz w:val="22"/>
          <w:szCs w:val="22"/>
          <w:lang w:val="en-GB"/>
        </w:rPr>
        <w:t>Enhanced requirements for NR NTN and IoT NTN Phase 2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RAN#10</w:t>
      </w:r>
      <w:r w:rsidR="002D035E">
        <w:rPr>
          <w:sz w:val="22"/>
          <w:szCs w:val="22"/>
          <w:lang w:val="en-GB"/>
        </w:rPr>
        <w:t>9</w:t>
      </w:r>
      <w:r w:rsidRPr="00713173">
        <w:rPr>
          <w:sz w:val="22"/>
          <w:szCs w:val="22"/>
        </w:rPr>
        <w:t>.</w:t>
      </w:r>
      <w:bookmarkEnd w:id="0"/>
    </w:p>
    <w:p w14:paraId="015EA366" w14:textId="1B9A14CE" w:rsidR="00D14DE4" w:rsidRPr="00FC24D3" w:rsidRDefault="00D14DE4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R4-2515157, “</w:t>
      </w:r>
      <w:r w:rsidRPr="00D14DE4">
        <w:rPr>
          <w:sz w:val="22"/>
          <w:szCs w:val="22"/>
        </w:rPr>
        <w:t>WF for [116bis][318] NR_IoT_NTN_Ph2</w:t>
      </w:r>
      <w:r>
        <w:rPr>
          <w:sz w:val="22"/>
          <w:szCs w:val="22"/>
        </w:rPr>
        <w:t>”, CHTTL, RAN4#116-bis.</w:t>
      </w:r>
    </w:p>
    <w:p w14:paraId="59B35748" w14:textId="5D3A9669" w:rsidR="00FC24D3" w:rsidRPr="00422104" w:rsidRDefault="00FC24D3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R4-2514383, “NB-IoT NTN PC1.5 requirements”, Qualcomm Inc., RAN4#116-bis.</w:t>
      </w:r>
    </w:p>
    <w:sectPr w:rsidR="00FC24D3" w:rsidRPr="0042210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303" w14:textId="77777777" w:rsidR="00BF0EA4" w:rsidRDefault="00BF0EA4" w:rsidP="00CF21FF">
      <w:r>
        <w:separator/>
      </w:r>
    </w:p>
  </w:endnote>
  <w:endnote w:type="continuationSeparator" w:id="0">
    <w:p w14:paraId="026F1D16" w14:textId="77777777" w:rsidR="00BF0EA4" w:rsidRDefault="00BF0EA4" w:rsidP="00CF21FF">
      <w:r>
        <w:continuationSeparator/>
      </w:r>
    </w:p>
  </w:endnote>
  <w:endnote w:type="continuationNotice" w:id="1">
    <w:p w14:paraId="61F281E9" w14:textId="77777777" w:rsidR="00BF0EA4" w:rsidRDefault="00BF0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B1F8" w14:textId="77777777" w:rsidR="00BF0EA4" w:rsidRDefault="00BF0EA4" w:rsidP="00CF21FF">
      <w:r>
        <w:separator/>
      </w:r>
    </w:p>
  </w:footnote>
  <w:footnote w:type="continuationSeparator" w:id="0">
    <w:p w14:paraId="08E6418F" w14:textId="77777777" w:rsidR="00BF0EA4" w:rsidRDefault="00BF0EA4" w:rsidP="00CF21FF">
      <w:r>
        <w:continuationSeparator/>
      </w:r>
    </w:p>
  </w:footnote>
  <w:footnote w:type="continuationNotice" w:id="1">
    <w:p w14:paraId="00B392D6" w14:textId="77777777" w:rsidR="00BF0EA4" w:rsidRDefault="00BF0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20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C6EA8"/>
    <w:multiLevelType w:val="hybridMultilevel"/>
    <w:tmpl w:val="F4EC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3"/>
  </w:num>
  <w:num w:numId="2" w16cid:durableId="206456521">
    <w:abstractNumId w:val="17"/>
  </w:num>
  <w:num w:numId="3" w16cid:durableId="2114860448">
    <w:abstractNumId w:val="3"/>
  </w:num>
  <w:num w:numId="4" w16cid:durableId="236524273">
    <w:abstractNumId w:val="18"/>
  </w:num>
  <w:num w:numId="5" w16cid:durableId="124935407">
    <w:abstractNumId w:val="21"/>
  </w:num>
  <w:num w:numId="6" w16cid:durableId="910846781">
    <w:abstractNumId w:val="25"/>
  </w:num>
  <w:num w:numId="7" w16cid:durableId="730082185">
    <w:abstractNumId w:val="24"/>
  </w:num>
  <w:num w:numId="8" w16cid:durableId="575479695">
    <w:abstractNumId w:val="16"/>
  </w:num>
  <w:num w:numId="9" w16cid:durableId="1112823213">
    <w:abstractNumId w:val="14"/>
  </w:num>
  <w:num w:numId="10" w16cid:durableId="614143105">
    <w:abstractNumId w:val="23"/>
  </w:num>
  <w:num w:numId="11" w16cid:durableId="1213073752">
    <w:abstractNumId w:val="12"/>
  </w:num>
  <w:num w:numId="12" w16cid:durableId="341251335">
    <w:abstractNumId w:val="26"/>
  </w:num>
  <w:num w:numId="13" w16cid:durableId="338388040">
    <w:abstractNumId w:val="28"/>
  </w:num>
  <w:num w:numId="14" w16cid:durableId="683022094">
    <w:abstractNumId w:val="5"/>
  </w:num>
  <w:num w:numId="15" w16cid:durableId="598368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6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20"/>
  </w:num>
  <w:num w:numId="20" w16cid:durableId="15349896">
    <w:abstractNumId w:val="29"/>
  </w:num>
  <w:num w:numId="21" w16cid:durableId="724373019">
    <w:abstractNumId w:val="11"/>
  </w:num>
  <w:num w:numId="22" w16cid:durableId="1839881142">
    <w:abstractNumId w:val="7"/>
  </w:num>
  <w:num w:numId="23" w16cid:durableId="240726457">
    <w:abstractNumId w:val="13"/>
  </w:num>
  <w:num w:numId="24" w16cid:durableId="1017077059">
    <w:abstractNumId w:val="9"/>
  </w:num>
  <w:num w:numId="25" w16cid:durableId="2028672868">
    <w:abstractNumId w:val="1"/>
  </w:num>
  <w:num w:numId="26" w16cid:durableId="207763560">
    <w:abstractNumId w:val="15"/>
  </w:num>
  <w:num w:numId="27" w16cid:durableId="1251548132">
    <w:abstractNumId w:val="19"/>
  </w:num>
  <w:num w:numId="28" w16cid:durableId="702941417">
    <w:abstractNumId w:val="10"/>
  </w:num>
  <w:num w:numId="29" w16cid:durableId="353111904">
    <w:abstractNumId w:val="8"/>
  </w:num>
  <w:num w:numId="30" w16cid:durableId="778139649">
    <w:abstractNumId w:val="4"/>
  </w:num>
  <w:num w:numId="31" w16cid:durableId="777218402">
    <w:abstractNumId w:val="22"/>
  </w:num>
  <w:num w:numId="32" w16cid:durableId="19994578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6C06"/>
    <w:rsid w:val="0003740A"/>
    <w:rsid w:val="000401B2"/>
    <w:rsid w:val="0004032B"/>
    <w:rsid w:val="00040FC8"/>
    <w:rsid w:val="00041632"/>
    <w:rsid w:val="000417D6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4E78"/>
    <w:rsid w:val="0007527E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3C1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87C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597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41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1943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15B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3D8"/>
    <w:rsid w:val="00407661"/>
    <w:rsid w:val="00410314"/>
    <w:rsid w:val="00410E7B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104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2D3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37B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5F2C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522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6177"/>
    <w:rsid w:val="006D62B5"/>
    <w:rsid w:val="006D75A6"/>
    <w:rsid w:val="006E01C1"/>
    <w:rsid w:val="006E0328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6EA1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4ADC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AEC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52E3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34E6"/>
    <w:rsid w:val="00BB472C"/>
    <w:rsid w:val="00BB572E"/>
    <w:rsid w:val="00BB5C64"/>
    <w:rsid w:val="00BB621D"/>
    <w:rsid w:val="00BB65DE"/>
    <w:rsid w:val="00BB74FD"/>
    <w:rsid w:val="00BC04C9"/>
    <w:rsid w:val="00BC16F5"/>
    <w:rsid w:val="00BC28DE"/>
    <w:rsid w:val="00BC40B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0EA4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7EC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42E5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5678"/>
    <w:rsid w:val="00C7633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2D2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DE4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0F5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32C"/>
    <w:rsid w:val="00EB2FB8"/>
    <w:rsid w:val="00EB37B3"/>
    <w:rsid w:val="00EB47AE"/>
    <w:rsid w:val="00EB4854"/>
    <w:rsid w:val="00EB5E19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4A7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4D3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5A1D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984F0FDB-99BE-4BD2-A2C0-E15FDF57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943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B019ACF-1404-4CB6-87F4-2E7666844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sharepoint/v3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86</cp:revision>
  <cp:lastPrinted>2022-08-20T03:29:00Z</cp:lastPrinted>
  <dcterms:created xsi:type="dcterms:W3CDTF">2024-11-01T02:57:00Z</dcterms:created>
  <dcterms:modified xsi:type="dcterms:W3CDTF">2025-11-07T23:41:00Z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