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DF370E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BD2A0D">
        <w:rPr>
          <w:rFonts w:ascii="Arial" w:hAnsi="Arial" w:cs="Arial"/>
          <w:b/>
          <w:sz w:val="24"/>
          <w:lang w:val="en-US" w:eastAsia="zh-CN"/>
        </w:rPr>
        <w:t>7</w:t>
      </w:r>
      <w:r w:rsidRPr="005E5BB3">
        <w:rPr>
          <w:rFonts w:ascii="Arial" w:hAnsi="Arial" w:cs="Arial"/>
          <w:b/>
          <w:i/>
          <w:sz w:val="24"/>
          <w:lang w:eastAsia="zh-CN"/>
        </w:rPr>
        <w:tab/>
      </w:r>
      <w:r w:rsidR="00115EE2" w:rsidRPr="00115EE2">
        <w:rPr>
          <w:rFonts w:ascii="Arial" w:hAnsi="Arial" w:cs="Arial"/>
          <w:b/>
          <w:sz w:val="24"/>
          <w:lang w:val="en-US" w:eastAsia="zh-CN"/>
        </w:rPr>
        <w:t>R4-2521633</w:t>
      </w:r>
    </w:p>
    <w:p w14:paraId="1A599841" w14:textId="3C64321C" w:rsidR="00A3046A" w:rsidRPr="00A3046A" w:rsidRDefault="00BD2A0D" w:rsidP="00115716">
      <w:pPr>
        <w:pStyle w:val="a3"/>
        <w:tabs>
          <w:tab w:val="left" w:pos="2160"/>
        </w:tabs>
        <w:ind w:left="2127" w:hanging="2127"/>
        <w:jc w:val="both"/>
        <w:rPr>
          <w:rFonts w:eastAsiaTheme="minorEastAsia" w:cs="Arial"/>
          <w:noProof w:val="0"/>
          <w:sz w:val="24"/>
          <w:lang w:val="en-GB"/>
        </w:rPr>
      </w:pPr>
      <w:r>
        <w:rPr>
          <w:sz w:val="24"/>
          <w:lang w:val="en-GB"/>
        </w:rPr>
        <w:t>Dallas</w:t>
      </w:r>
      <w:r w:rsidR="002A6DDA" w:rsidRPr="00214FCF">
        <w:rPr>
          <w:sz w:val="24"/>
          <w:lang w:val="en-GB"/>
        </w:rPr>
        <w:t xml:space="preserve">, </w:t>
      </w:r>
      <w:r>
        <w:rPr>
          <w:sz w:val="24"/>
          <w:lang w:val="en-GB"/>
        </w:rPr>
        <w:t>USA</w:t>
      </w:r>
      <w:r w:rsidR="002A6DDA" w:rsidRPr="0024284D">
        <w:rPr>
          <w:sz w:val="24"/>
        </w:rPr>
        <w:t xml:space="preserve">, </w:t>
      </w:r>
      <w:r>
        <w:rPr>
          <w:sz w:val="24"/>
        </w:rPr>
        <w:t>17</w:t>
      </w:r>
      <w:r w:rsidR="002A6DDA" w:rsidRPr="0024284D">
        <w:rPr>
          <w:sz w:val="24"/>
        </w:rPr>
        <w:t xml:space="preserve"> – </w:t>
      </w:r>
      <w:r>
        <w:rPr>
          <w:sz w:val="24"/>
        </w:rPr>
        <w:t>21</w:t>
      </w:r>
      <w:r w:rsidR="002A6DDA" w:rsidRPr="0024284D">
        <w:rPr>
          <w:sz w:val="24"/>
        </w:rPr>
        <w:t xml:space="preserve"> </w:t>
      </w:r>
      <w:r>
        <w:rPr>
          <w:sz w:val="24"/>
        </w:rPr>
        <w:t>November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68775D7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A1F01" w:rsidRPr="00BA1F01">
        <w:rPr>
          <w:rFonts w:ascii="Arial" w:eastAsia="宋体" w:hAnsi="Arial"/>
          <w:b/>
          <w:sz w:val="24"/>
          <w:lang w:val="en-US" w:eastAsia="zh-CN"/>
        </w:rPr>
        <w:t>Discussion on performance requirements for NTN in Ku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70495F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15EE2">
        <w:rPr>
          <w:rFonts w:ascii="Arial" w:eastAsia="宋体" w:hAnsi="Arial"/>
          <w:b/>
          <w:sz w:val="24"/>
          <w:lang w:val="en-US" w:eastAsia="zh-CN"/>
        </w:rPr>
        <w:t>5.10.2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5EE2">
      <w:pPr>
        <w:pStyle w:val="1"/>
        <w:jc w:val="both"/>
        <w:rPr>
          <w:lang w:val="en-US"/>
        </w:rPr>
      </w:pPr>
      <w:bookmarkStart w:id="0" w:name="_GoBack"/>
      <w:r>
        <w:rPr>
          <w:lang w:val="en-US"/>
        </w:rPr>
        <w:t>Introduction</w:t>
      </w:r>
    </w:p>
    <w:bookmarkEnd w:id="0"/>
    <w:p w14:paraId="75ACCEC4" w14:textId="3267BA9C" w:rsidR="00A25B84" w:rsidRDefault="00204059" w:rsidP="00A25B84">
      <w:pPr>
        <w:spacing w:before="120" w:after="120"/>
        <w:rPr>
          <w:rFonts w:eastAsiaTheme="minorEastAsia"/>
          <w:lang w:val="en-US" w:eastAsia="zh-CN"/>
        </w:rPr>
      </w:pPr>
      <w:r>
        <w:rPr>
          <w:rFonts w:eastAsia="宋体"/>
          <w:lang w:eastAsia="zh-CN"/>
        </w:rPr>
        <w:t xml:space="preserve">RRM </w:t>
      </w:r>
      <w:r w:rsidR="00BA1F01">
        <w:rPr>
          <w:rFonts w:eastAsia="宋体"/>
          <w:lang w:eastAsia="zh-CN"/>
        </w:rPr>
        <w:t>performance requirements for Ku band NTN</w:t>
      </w:r>
      <w:r w:rsidR="008B0DB1">
        <w:rPr>
          <w:rFonts w:eastAsiaTheme="minorEastAsia"/>
          <w:lang w:val="en-US" w:eastAsia="zh-CN"/>
        </w:rPr>
        <w:t xml:space="preserve"> are discussed in RAN4#116-bis, and the outcomes are captured in WF [1]. In our view, following issues need to be further discussed. </w:t>
      </w:r>
    </w:p>
    <w:p w14:paraId="7EC74F73" w14:textId="3CE6A6CC" w:rsidR="008B0DB1" w:rsidRDefault="00363931" w:rsidP="003D53CF">
      <w:pPr>
        <w:pStyle w:val="afe"/>
        <w:numPr>
          <w:ilvl w:val="0"/>
          <w:numId w:val="12"/>
        </w:numPr>
        <w:spacing w:before="120" w:after="120"/>
        <w:rPr>
          <w:rFonts w:eastAsiaTheme="minorEastAsia"/>
          <w:lang w:eastAsia="zh-CN"/>
        </w:rPr>
      </w:pPr>
      <w:r>
        <w:rPr>
          <w:rFonts w:eastAsiaTheme="minorEastAsia"/>
          <w:lang w:eastAsia="zh-CN"/>
        </w:rPr>
        <w:t>Band group for accuracy requirements</w:t>
      </w:r>
    </w:p>
    <w:p w14:paraId="7799AE68" w14:textId="26C52905" w:rsidR="00363931" w:rsidRDefault="00363931" w:rsidP="003D53CF">
      <w:pPr>
        <w:pStyle w:val="afe"/>
        <w:numPr>
          <w:ilvl w:val="0"/>
          <w:numId w:val="12"/>
        </w:numPr>
        <w:spacing w:before="120" w:after="120"/>
        <w:rPr>
          <w:rFonts w:eastAsiaTheme="minorEastAsia"/>
          <w:lang w:eastAsia="zh-CN"/>
        </w:rPr>
      </w:pPr>
      <w:r>
        <w:rPr>
          <w:rFonts w:eastAsiaTheme="minorEastAsia" w:hint="eastAsia"/>
          <w:lang w:eastAsia="zh-CN"/>
        </w:rPr>
        <w:t>U</w:t>
      </w:r>
      <w:r>
        <w:rPr>
          <w:rFonts w:eastAsiaTheme="minorEastAsia"/>
          <w:lang w:eastAsia="zh-CN"/>
        </w:rPr>
        <w:t>E mobility in UL timing test</w:t>
      </w:r>
    </w:p>
    <w:p w14:paraId="74C37E5A" w14:textId="31B81D51" w:rsidR="00363931" w:rsidRDefault="00363931" w:rsidP="003D53CF">
      <w:pPr>
        <w:pStyle w:val="afe"/>
        <w:numPr>
          <w:ilvl w:val="0"/>
          <w:numId w:val="12"/>
        </w:numPr>
        <w:spacing w:before="120" w:after="120"/>
        <w:rPr>
          <w:rFonts w:eastAsiaTheme="minorEastAsia"/>
          <w:lang w:eastAsia="zh-CN"/>
        </w:rPr>
      </w:pPr>
      <w:r w:rsidRPr="00363931">
        <w:rPr>
          <w:rFonts w:eastAsiaTheme="minorEastAsia"/>
          <w:lang w:eastAsia="zh-CN"/>
        </w:rPr>
        <w:t>Test cases for Ku bands in FR1-NTN</w:t>
      </w:r>
    </w:p>
    <w:p w14:paraId="51780913" w14:textId="350F48D2" w:rsidR="008B0DB1" w:rsidRPr="008B0DB1" w:rsidRDefault="00363931" w:rsidP="003D53CF">
      <w:pPr>
        <w:pStyle w:val="afe"/>
        <w:numPr>
          <w:ilvl w:val="0"/>
          <w:numId w:val="12"/>
        </w:numPr>
        <w:spacing w:before="120" w:after="120"/>
        <w:rPr>
          <w:rFonts w:eastAsiaTheme="minorEastAsia"/>
          <w:lang w:eastAsia="zh-CN"/>
        </w:rPr>
      </w:pPr>
      <w:r>
        <w:rPr>
          <w:rFonts w:eastAsia="宋体"/>
          <w:bCs/>
        </w:rPr>
        <w:t>T</w:t>
      </w:r>
      <w:r w:rsidRPr="00983462">
        <w:rPr>
          <w:rFonts w:eastAsia="宋体"/>
          <w:bCs/>
        </w:rPr>
        <w:t>est applicability for VSAT supporting both FR1-NTN and FR2-NTN</w:t>
      </w:r>
    </w:p>
    <w:p w14:paraId="520DEC9D" w14:textId="2DC26A84"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B8379F">
        <w:rPr>
          <w:rFonts w:eastAsia="宋体"/>
          <w:lang w:eastAsia="zh-CN"/>
        </w:rPr>
        <w:t>RRM performance requirements for Ku band NTN</w:t>
      </w:r>
      <w:r>
        <w:rPr>
          <w:rFonts w:eastAsia="宋体"/>
          <w:lang w:eastAsia="zh-CN"/>
        </w:rPr>
        <w:t>.</w:t>
      </w:r>
    </w:p>
    <w:p w14:paraId="0D6E96EF" w14:textId="57E9A034" w:rsidR="004729BE" w:rsidRDefault="004729BE" w:rsidP="004729BE">
      <w:pPr>
        <w:pStyle w:val="1"/>
        <w:jc w:val="both"/>
        <w:rPr>
          <w:lang w:val="en-US"/>
        </w:rPr>
      </w:pPr>
      <w:r>
        <w:rPr>
          <w:lang w:val="en-US"/>
        </w:rPr>
        <w:t>Discussion</w:t>
      </w:r>
    </w:p>
    <w:p w14:paraId="495E7AD1" w14:textId="0107D5E0" w:rsidR="00781FA9" w:rsidRDefault="00781FA9" w:rsidP="00781FA9">
      <w:pPr>
        <w:pStyle w:val="2"/>
        <w:rPr>
          <w:lang w:eastAsia="zh-CN"/>
        </w:rPr>
      </w:pPr>
      <w:r>
        <w:rPr>
          <w:lang w:eastAsia="zh-CN"/>
        </w:rPr>
        <w:t>Band group for accuracy requirements</w:t>
      </w:r>
    </w:p>
    <w:tbl>
      <w:tblPr>
        <w:tblStyle w:val="afa"/>
        <w:tblW w:w="0" w:type="auto"/>
        <w:tblLook w:val="04A0" w:firstRow="1" w:lastRow="0" w:firstColumn="1" w:lastColumn="0" w:noHBand="0" w:noVBand="1"/>
      </w:tblPr>
      <w:tblGrid>
        <w:gridCol w:w="9621"/>
      </w:tblGrid>
      <w:tr w:rsidR="00D832A1" w14:paraId="694C668E" w14:textId="77777777" w:rsidTr="00D832A1">
        <w:tc>
          <w:tcPr>
            <w:tcW w:w="9621" w:type="dxa"/>
          </w:tcPr>
          <w:p w14:paraId="33075258" w14:textId="77777777" w:rsidR="00D832A1" w:rsidRPr="00D832A1" w:rsidRDefault="00D832A1" w:rsidP="00D832A1">
            <w:pPr>
              <w:keepNext/>
              <w:keepLines/>
              <w:spacing w:beforeLines="0" w:before="120" w:afterLines="0" w:after="180"/>
              <w:outlineLvl w:val="3"/>
              <w:rPr>
                <w:rFonts w:ascii="Arial" w:eastAsia="宋体" w:hAnsi="Arial"/>
                <w:sz w:val="24"/>
                <w:szCs w:val="24"/>
                <w:lang w:val="sv-SE" w:eastAsia="zh-CN"/>
              </w:rPr>
            </w:pPr>
            <w:r w:rsidRPr="00D832A1">
              <w:rPr>
                <w:rFonts w:eastAsia="宋体"/>
                <w:b/>
                <w:bCs/>
                <w:sz w:val="24"/>
                <w:szCs w:val="24"/>
                <w:lang w:val="en-US" w:eastAsia="zh-CN"/>
              </w:rPr>
              <w:t>Issue 1-1-1: Measurement accuracy with new band</w:t>
            </w:r>
          </w:p>
          <w:p w14:paraId="3AEEBE01" w14:textId="77777777" w:rsidR="00D832A1" w:rsidRPr="00D832A1" w:rsidRDefault="00D832A1" w:rsidP="00D832A1">
            <w:pPr>
              <w:spacing w:beforeLines="0" w:before="0" w:afterLines="0" w:after="180"/>
              <w:rPr>
                <w:rFonts w:eastAsia="宋体"/>
                <w:sz w:val="20"/>
                <w:lang w:val="en-US"/>
              </w:rPr>
            </w:pPr>
            <w:r w:rsidRPr="00D832A1">
              <w:rPr>
                <w:rFonts w:eastAsia="宋体"/>
                <w:sz w:val="20"/>
                <w:lang w:val="en-US"/>
              </w:rPr>
              <w:t xml:space="preserve">Agreement </w:t>
            </w:r>
          </w:p>
          <w:p w14:paraId="73FC0381" w14:textId="77777777" w:rsidR="00D832A1" w:rsidRPr="00D832A1" w:rsidRDefault="00D832A1" w:rsidP="00D832A1">
            <w:pPr>
              <w:numPr>
                <w:ilvl w:val="0"/>
                <w:numId w:val="15"/>
              </w:numPr>
              <w:overflowPunct w:val="0"/>
              <w:autoSpaceDE w:val="0"/>
              <w:autoSpaceDN w:val="0"/>
              <w:adjustRightInd w:val="0"/>
              <w:spacing w:beforeLines="0" w:before="120" w:afterLines="0" w:after="120"/>
              <w:jc w:val="both"/>
              <w:rPr>
                <w:sz w:val="20"/>
                <w:lang w:val="en-US" w:eastAsia="zh-CN"/>
              </w:rPr>
            </w:pPr>
            <w:r w:rsidRPr="00D832A1">
              <w:rPr>
                <w:sz w:val="20"/>
              </w:rPr>
              <w:t>The legacy measurement accuracy requirements for Ka band NTN (FR2-NTN) shall be reused for Ku band with FR1 numerology and FR2 numerology.</w:t>
            </w:r>
          </w:p>
          <w:p w14:paraId="261F4F38" w14:textId="77777777" w:rsidR="00D832A1" w:rsidRPr="00D832A1" w:rsidRDefault="00D832A1" w:rsidP="00D832A1">
            <w:pPr>
              <w:numPr>
                <w:ilvl w:val="0"/>
                <w:numId w:val="15"/>
              </w:numPr>
              <w:overflowPunct w:val="0"/>
              <w:autoSpaceDE w:val="0"/>
              <w:autoSpaceDN w:val="0"/>
              <w:adjustRightInd w:val="0"/>
              <w:spacing w:beforeLines="0" w:before="120" w:afterLines="0" w:after="120"/>
              <w:jc w:val="both"/>
              <w:rPr>
                <w:sz w:val="20"/>
              </w:rPr>
            </w:pPr>
            <w:r w:rsidRPr="00D832A1">
              <w:rPr>
                <w:sz w:val="20"/>
              </w:rPr>
              <w:t>Introduce FR1 numerology in FR2-NTN accuracy requirements table.</w:t>
            </w:r>
          </w:p>
          <w:p w14:paraId="1A2EEBCA" w14:textId="77777777" w:rsidR="00D832A1" w:rsidRPr="00D832A1" w:rsidRDefault="00D832A1" w:rsidP="00D832A1">
            <w:pPr>
              <w:numPr>
                <w:ilvl w:val="0"/>
                <w:numId w:val="15"/>
              </w:numPr>
              <w:overflowPunct w:val="0"/>
              <w:autoSpaceDE w:val="0"/>
              <w:autoSpaceDN w:val="0"/>
              <w:adjustRightInd w:val="0"/>
              <w:spacing w:beforeLines="0" w:before="120" w:afterLines="0" w:after="120"/>
              <w:jc w:val="both"/>
              <w:rPr>
                <w:sz w:val="20"/>
              </w:rPr>
            </w:pPr>
            <w:r w:rsidRPr="00D832A1">
              <w:rPr>
                <w:sz w:val="20"/>
              </w:rPr>
              <w:t>The following measurement accuracy requirements shall be considered:</w:t>
            </w:r>
          </w:p>
          <w:p w14:paraId="1518730F" w14:textId="77777777" w:rsidR="00D832A1" w:rsidRPr="00D832A1" w:rsidRDefault="00D832A1" w:rsidP="00D832A1">
            <w:pPr>
              <w:numPr>
                <w:ilvl w:val="1"/>
                <w:numId w:val="15"/>
              </w:numPr>
              <w:overflowPunct w:val="0"/>
              <w:autoSpaceDE w:val="0"/>
              <w:autoSpaceDN w:val="0"/>
              <w:adjustRightInd w:val="0"/>
              <w:spacing w:beforeLines="0" w:before="120" w:afterLines="0" w:after="120"/>
              <w:jc w:val="both"/>
              <w:rPr>
                <w:sz w:val="20"/>
              </w:rPr>
            </w:pPr>
            <w:r w:rsidRPr="00D832A1">
              <w:rPr>
                <w:sz w:val="20"/>
              </w:rPr>
              <w:t xml:space="preserve">Intra-frequency RSRP accuracy requirements </w:t>
            </w:r>
          </w:p>
          <w:p w14:paraId="6602D5A5" w14:textId="77777777" w:rsidR="00D832A1" w:rsidRPr="00D832A1" w:rsidRDefault="00D832A1" w:rsidP="00D832A1">
            <w:pPr>
              <w:numPr>
                <w:ilvl w:val="1"/>
                <w:numId w:val="15"/>
              </w:numPr>
              <w:overflowPunct w:val="0"/>
              <w:autoSpaceDE w:val="0"/>
              <w:autoSpaceDN w:val="0"/>
              <w:adjustRightInd w:val="0"/>
              <w:spacing w:beforeLines="0" w:before="120" w:afterLines="0" w:after="120"/>
              <w:jc w:val="both"/>
              <w:rPr>
                <w:sz w:val="20"/>
              </w:rPr>
            </w:pPr>
            <w:r w:rsidRPr="00D832A1">
              <w:rPr>
                <w:sz w:val="20"/>
              </w:rPr>
              <w:t xml:space="preserve">Inter-frequency RSRP accuracy requirements </w:t>
            </w:r>
          </w:p>
          <w:p w14:paraId="15CB1AEC" w14:textId="77777777" w:rsidR="00D832A1" w:rsidRPr="00D832A1" w:rsidRDefault="00D832A1" w:rsidP="00D832A1">
            <w:pPr>
              <w:numPr>
                <w:ilvl w:val="1"/>
                <w:numId w:val="15"/>
              </w:numPr>
              <w:overflowPunct w:val="0"/>
              <w:autoSpaceDE w:val="0"/>
              <w:autoSpaceDN w:val="0"/>
              <w:adjustRightInd w:val="0"/>
              <w:spacing w:beforeLines="0" w:before="120" w:afterLines="0" w:after="120"/>
              <w:jc w:val="both"/>
              <w:rPr>
                <w:sz w:val="20"/>
              </w:rPr>
            </w:pPr>
            <w:r w:rsidRPr="00D832A1">
              <w:rPr>
                <w:sz w:val="20"/>
              </w:rPr>
              <w:t xml:space="preserve">Intra-frequency RSRQ accuracy requirements </w:t>
            </w:r>
          </w:p>
          <w:p w14:paraId="2BD48C81" w14:textId="77777777" w:rsidR="00D832A1" w:rsidRPr="00D832A1" w:rsidRDefault="00D832A1" w:rsidP="00D832A1">
            <w:pPr>
              <w:numPr>
                <w:ilvl w:val="1"/>
                <w:numId w:val="15"/>
              </w:numPr>
              <w:overflowPunct w:val="0"/>
              <w:autoSpaceDE w:val="0"/>
              <w:autoSpaceDN w:val="0"/>
              <w:adjustRightInd w:val="0"/>
              <w:spacing w:beforeLines="0" w:before="120" w:afterLines="0" w:after="120"/>
              <w:jc w:val="both"/>
              <w:rPr>
                <w:sz w:val="20"/>
              </w:rPr>
            </w:pPr>
            <w:r w:rsidRPr="00D832A1">
              <w:rPr>
                <w:sz w:val="20"/>
              </w:rPr>
              <w:t xml:space="preserve">Inter-frequency RSRQ accuracy requirements </w:t>
            </w:r>
          </w:p>
          <w:p w14:paraId="141EF041" w14:textId="77777777" w:rsidR="00D832A1" w:rsidRPr="00D832A1" w:rsidRDefault="00D832A1" w:rsidP="00D832A1">
            <w:pPr>
              <w:numPr>
                <w:ilvl w:val="1"/>
                <w:numId w:val="15"/>
              </w:numPr>
              <w:overflowPunct w:val="0"/>
              <w:autoSpaceDE w:val="0"/>
              <w:autoSpaceDN w:val="0"/>
              <w:adjustRightInd w:val="0"/>
              <w:spacing w:beforeLines="0" w:before="120" w:afterLines="0" w:after="120"/>
              <w:jc w:val="both"/>
              <w:rPr>
                <w:sz w:val="20"/>
              </w:rPr>
            </w:pPr>
            <w:r w:rsidRPr="00D832A1">
              <w:rPr>
                <w:sz w:val="20"/>
              </w:rPr>
              <w:t xml:space="preserve">Intra-frequency SINR accuracy requirements </w:t>
            </w:r>
          </w:p>
          <w:p w14:paraId="01F3BAB8" w14:textId="77777777" w:rsidR="00D832A1" w:rsidRPr="00D832A1" w:rsidRDefault="00D832A1" w:rsidP="00D832A1">
            <w:pPr>
              <w:numPr>
                <w:ilvl w:val="1"/>
                <w:numId w:val="15"/>
              </w:numPr>
              <w:overflowPunct w:val="0"/>
              <w:autoSpaceDE w:val="0"/>
              <w:autoSpaceDN w:val="0"/>
              <w:adjustRightInd w:val="0"/>
              <w:spacing w:beforeLines="0" w:before="120" w:afterLines="0" w:after="120"/>
              <w:jc w:val="both"/>
              <w:rPr>
                <w:sz w:val="20"/>
              </w:rPr>
            </w:pPr>
            <w:r w:rsidRPr="00D832A1">
              <w:rPr>
                <w:sz w:val="20"/>
              </w:rPr>
              <w:t>Inter-frequency SINR accuracy requirements</w:t>
            </w:r>
          </w:p>
          <w:p w14:paraId="7E4ED4CB" w14:textId="77777777" w:rsidR="00D832A1" w:rsidRPr="00D832A1" w:rsidRDefault="00D832A1" w:rsidP="00D832A1">
            <w:pPr>
              <w:numPr>
                <w:ilvl w:val="1"/>
                <w:numId w:val="15"/>
              </w:numPr>
              <w:overflowPunct w:val="0"/>
              <w:autoSpaceDE w:val="0"/>
              <w:autoSpaceDN w:val="0"/>
              <w:adjustRightInd w:val="0"/>
              <w:spacing w:beforeLines="0" w:before="120" w:afterLines="0" w:after="120"/>
              <w:jc w:val="both"/>
              <w:rPr>
                <w:sz w:val="20"/>
              </w:rPr>
            </w:pPr>
            <w:r w:rsidRPr="00D832A1">
              <w:rPr>
                <w:sz w:val="20"/>
              </w:rPr>
              <w:t>L1-RSRP accuracy requirements</w:t>
            </w:r>
          </w:p>
          <w:p w14:paraId="3C56CEE8" w14:textId="4F3120EA" w:rsidR="00D832A1" w:rsidRPr="00D832A1" w:rsidRDefault="00D832A1" w:rsidP="00781FA9">
            <w:pPr>
              <w:numPr>
                <w:ilvl w:val="0"/>
                <w:numId w:val="15"/>
              </w:numPr>
              <w:autoSpaceDN w:val="0"/>
              <w:spacing w:beforeLines="0" w:before="120" w:afterLines="0" w:after="120"/>
              <w:rPr>
                <w:rFonts w:eastAsia="等线"/>
                <w:bCs/>
                <w:sz w:val="20"/>
              </w:rPr>
            </w:pPr>
            <w:r w:rsidRPr="00D832A1">
              <w:rPr>
                <w:rFonts w:eastAsia="等线"/>
                <w:bCs/>
                <w:sz w:val="20"/>
              </w:rPr>
              <w:t>FFS the band group to include Ku band</w:t>
            </w:r>
          </w:p>
        </w:tc>
      </w:tr>
    </w:tbl>
    <w:p w14:paraId="24A4B5AA" w14:textId="4F80C291" w:rsidR="00781FA9" w:rsidRDefault="00D832A1" w:rsidP="00781FA9">
      <w:pPr>
        <w:spacing w:before="120" w:after="120"/>
        <w:rPr>
          <w:rFonts w:eastAsiaTheme="minorEastAsia"/>
          <w:lang w:eastAsia="zh-CN"/>
        </w:rPr>
      </w:pPr>
      <w:r>
        <w:rPr>
          <w:rFonts w:eastAsiaTheme="minorEastAsia"/>
          <w:lang w:eastAsia="zh-CN"/>
        </w:rPr>
        <w:t xml:space="preserve">Before introduction of Ku bands, bands in FR1-NTN and FR2-NTN are in separate band groups. So far, there is no band group defined for FR2-NTN in clause 3.5, as the band group is not used in clause 10 or Annex B for FR2-NTN. </w:t>
      </w:r>
    </w:p>
    <w:p w14:paraId="0D4232EB" w14:textId="5835BEBF" w:rsidR="00D832A1" w:rsidRDefault="005C3ED7" w:rsidP="00781FA9">
      <w:pPr>
        <w:spacing w:before="120" w:after="120"/>
        <w:rPr>
          <w:rFonts w:eastAsiaTheme="minorEastAsia"/>
          <w:lang w:eastAsia="zh-CN"/>
        </w:rPr>
      </w:pPr>
      <w:r>
        <w:rPr>
          <w:rFonts w:eastAsiaTheme="minorEastAsia"/>
          <w:lang w:eastAsia="zh-CN"/>
        </w:rPr>
        <w:t xml:space="preserve">For Ku bands, although band n247 and n248 are in FR1-NTN, our understanding is that they should not be included in the band group for FR1-NTN. In 38.101-5, the </w:t>
      </w:r>
      <w:proofErr w:type="spellStart"/>
      <w:r>
        <w:rPr>
          <w:rFonts w:eastAsiaTheme="minorEastAsia"/>
          <w:lang w:eastAsia="zh-CN"/>
        </w:rPr>
        <w:t>refsens</w:t>
      </w:r>
      <w:proofErr w:type="spellEnd"/>
      <w:r>
        <w:rPr>
          <w:rFonts w:eastAsiaTheme="minorEastAsia"/>
          <w:lang w:eastAsia="zh-CN"/>
        </w:rPr>
        <w:t xml:space="preserve"> requirements for band n247 and n248 are defined as OTA requirements and same as those for band n508 and n509. </w:t>
      </w:r>
    </w:p>
    <w:p w14:paraId="698A9446" w14:textId="77777777" w:rsidR="005C3ED7" w:rsidRPr="005C3ED7" w:rsidRDefault="005C3ED7" w:rsidP="005C3ED7">
      <w:pPr>
        <w:keepNext/>
        <w:keepLines/>
        <w:overflowPunct w:val="0"/>
        <w:autoSpaceDE w:val="0"/>
        <w:autoSpaceDN w:val="0"/>
        <w:adjustRightInd w:val="0"/>
        <w:spacing w:beforeLines="0" w:before="60" w:afterLines="0" w:after="180"/>
        <w:jc w:val="center"/>
        <w:textAlignment w:val="baseline"/>
        <w:rPr>
          <w:rFonts w:ascii="Arial" w:eastAsia="宋体" w:hAnsi="Arial"/>
          <w:b/>
          <w:sz w:val="20"/>
          <w:lang w:eastAsia="zh-CN"/>
        </w:rPr>
      </w:pPr>
      <w:r w:rsidRPr="005C3ED7">
        <w:rPr>
          <w:rFonts w:ascii="Arial" w:eastAsia="宋体" w:hAnsi="Arial"/>
          <w:b/>
          <w:sz w:val="20"/>
          <w:lang w:eastAsia="zh-CN"/>
        </w:rPr>
        <w:lastRenderedPageBreak/>
        <w:t xml:space="preserve">Table 10.3.2-2: The range of </w:t>
      </w:r>
      <w:r w:rsidRPr="005C3ED7">
        <w:rPr>
          <w:rFonts w:ascii="Arial" w:eastAsia="宋体" w:hAnsi="Arial"/>
          <w:b/>
          <w:bCs/>
          <w:sz w:val="20"/>
          <w:lang w:eastAsia="zh-CN"/>
        </w:rPr>
        <w:t>EIS</w:t>
      </w:r>
      <w:r w:rsidRPr="005C3ED7">
        <w:rPr>
          <w:rFonts w:ascii="Arial" w:eastAsia="宋体" w:hAnsi="Arial"/>
          <w:b/>
          <w:bCs/>
          <w:sz w:val="20"/>
          <w:vertAlign w:val="subscript"/>
          <w:lang w:eastAsia="zh-CN"/>
        </w:rPr>
        <w:t>REFSENS_50MHz</w:t>
      </w:r>
      <w:r w:rsidRPr="005C3ED7">
        <w:rPr>
          <w:rFonts w:ascii="Arial" w:eastAsia="宋体" w:hAnsi="Arial"/>
          <w:b/>
          <w:sz w:val="20"/>
          <w:lang w:eastAsia="zh-CN"/>
        </w:rPr>
        <w:t xml:space="preserve"> 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5C3ED7" w:rsidRPr="005C3ED7" w14:paraId="196FBF64" w14:textId="77777777" w:rsidTr="002B00DF">
        <w:trPr>
          <w:cantSplit/>
          <w:jc w:val="center"/>
        </w:trPr>
        <w:tc>
          <w:tcPr>
            <w:tcW w:w="2830" w:type="dxa"/>
            <w:vAlign w:val="center"/>
          </w:tcPr>
          <w:p w14:paraId="04672949"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cs="Arial"/>
                <w:b/>
                <w:i/>
                <w:sz w:val="18"/>
                <w:lang w:eastAsia="zh-CN"/>
              </w:rPr>
            </w:pPr>
            <w:r w:rsidRPr="005C3ED7">
              <w:rPr>
                <w:rFonts w:ascii="Arial" w:eastAsia="宋体" w:hAnsi="Arial"/>
                <w:b/>
                <w:sz w:val="18"/>
                <w:lang w:eastAsia="zh-CN"/>
              </w:rPr>
              <w:t>Operating band</w:t>
            </w:r>
          </w:p>
        </w:tc>
        <w:tc>
          <w:tcPr>
            <w:tcW w:w="2127" w:type="dxa"/>
            <w:vAlign w:val="center"/>
          </w:tcPr>
          <w:p w14:paraId="04A77F8F"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cs="Arial"/>
                <w:b/>
                <w:i/>
                <w:sz w:val="18"/>
                <w:lang w:eastAsia="zh-CN"/>
              </w:rPr>
            </w:pPr>
            <w:r w:rsidRPr="005C3ED7">
              <w:rPr>
                <w:rFonts w:ascii="Arial" w:eastAsia="宋体" w:hAnsi="Arial" w:cs="Arial"/>
                <w:b/>
                <w:i/>
                <w:sz w:val="18"/>
                <w:lang w:eastAsia="zh-CN"/>
              </w:rPr>
              <w:t>NTN VSAT class</w:t>
            </w:r>
          </w:p>
        </w:tc>
        <w:tc>
          <w:tcPr>
            <w:tcW w:w="1701" w:type="dxa"/>
            <w:vAlign w:val="center"/>
          </w:tcPr>
          <w:p w14:paraId="28D5409B"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cs="Arial"/>
                <w:b/>
                <w:sz w:val="18"/>
                <w:lang w:eastAsia="zh-CN"/>
              </w:rPr>
            </w:pPr>
            <w:r w:rsidRPr="005C3ED7">
              <w:rPr>
                <w:rFonts w:ascii="Arial" w:eastAsia="宋体" w:hAnsi="Arial" w:cs="Arial"/>
                <w:b/>
                <w:i/>
                <w:sz w:val="18"/>
                <w:lang w:eastAsia="zh-CN"/>
              </w:rPr>
              <w:t>NTN VSAT type</w:t>
            </w:r>
          </w:p>
        </w:tc>
        <w:tc>
          <w:tcPr>
            <w:tcW w:w="2903" w:type="dxa"/>
            <w:vAlign w:val="center"/>
          </w:tcPr>
          <w:p w14:paraId="181C41DE"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cs="Arial"/>
                <w:b/>
                <w:sz w:val="18"/>
                <w:lang w:eastAsia="zh-CN"/>
              </w:rPr>
            </w:pPr>
            <w:r w:rsidRPr="005C3ED7">
              <w:rPr>
                <w:rFonts w:ascii="Arial" w:eastAsia="宋体" w:hAnsi="Arial"/>
                <w:b/>
                <w:sz w:val="18"/>
                <w:lang w:eastAsia="zh-CN"/>
              </w:rPr>
              <w:t>The range of EIS</w:t>
            </w:r>
            <w:r w:rsidRPr="005C3ED7">
              <w:rPr>
                <w:rFonts w:ascii="Arial" w:eastAsia="宋体" w:hAnsi="Arial"/>
                <w:b/>
                <w:sz w:val="18"/>
                <w:vertAlign w:val="subscript"/>
                <w:lang w:eastAsia="zh-CN"/>
              </w:rPr>
              <w:t>REFSENS_50MHz</w:t>
            </w:r>
          </w:p>
          <w:p w14:paraId="0F17A709"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cs="Arial"/>
                <w:b/>
                <w:sz w:val="18"/>
                <w:lang w:eastAsia="zh-CN"/>
              </w:rPr>
            </w:pPr>
            <w:r w:rsidRPr="005C3ED7">
              <w:rPr>
                <w:rFonts w:ascii="Arial" w:eastAsia="宋体" w:hAnsi="Arial" w:cs="Arial"/>
                <w:b/>
                <w:sz w:val="18"/>
                <w:lang w:eastAsia="zh-CN"/>
              </w:rPr>
              <w:t>(dBm)</w:t>
            </w:r>
          </w:p>
        </w:tc>
      </w:tr>
      <w:tr w:rsidR="005C3ED7" w:rsidRPr="005C3ED7" w14:paraId="1E90672E" w14:textId="77777777" w:rsidTr="002B00DF">
        <w:trPr>
          <w:cantSplit/>
          <w:jc w:val="center"/>
        </w:trPr>
        <w:tc>
          <w:tcPr>
            <w:tcW w:w="2830" w:type="dxa"/>
            <w:vMerge w:val="restart"/>
            <w:vAlign w:val="center"/>
          </w:tcPr>
          <w:p w14:paraId="6F0E1EDD"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sz w:val="18"/>
                <w:lang w:eastAsia="zh-CN"/>
              </w:rPr>
              <w:t>n512, n511</w:t>
            </w:r>
          </w:p>
        </w:tc>
        <w:tc>
          <w:tcPr>
            <w:tcW w:w="2127" w:type="dxa"/>
            <w:vMerge w:val="restart"/>
            <w:vAlign w:val="center"/>
          </w:tcPr>
          <w:p w14:paraId="0BC305B1"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iCs/>
                <w:sz w:val="18"/>
                <w:lang w:eastAsia="zh-CN"/>
              </w:rPr>
            </w:pPr>
            <w:r w:rsidRPr="005C3ED7">
              <w:rPr>
                <w:rFonts w:ascii="Arial" w:eastAsia="宋体" w:hAnsi="Arial"/>
                <w:iCs/>
                <w:sz w:val="18"/>
                <w:lang w:eastAsia="zh-CN"/>
              </w:rPr>
              <w:t>Fixed VSAT</w:t>
            </w:r>
          </w:p>
        </w:tc>
        <w:tc>
          <w:tcPr>
            <w:tcW w:w="1701" w:type="dxa"/>
            <w:vAlign w:val="center"/>
          </w:tcPr>
          <w:p w14:paraId="53BDFF16"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i/>
                <w:sz w:val="18"/>
                <w:lang w:eastAsia="zh-CN"/>
              </w:rPr>
            </w:pPr>
            <w:r w:rsidRPr="005C3ED7">
              <w:rPr>
                <w:rFonts w:ascii="Arial" w:eastAsia="宋体" w:hAnsi="Arial"/>
                <w:sz w:val="18"/>
                <w:lang w:eastAsia="zh-CN"/>
              </w:rPr>
              <w:t>1, 2</w:t>
            </w:r>
          </w:p>
        </w:tc>
        <w:tc>
          <w:tcPr>
            <w:tcW w:w="2903" w:type="dxa"/>
            <w:vAlign w:val="center"/>
          </w:tcPr>
          <w:p w14:paraId="3AEFDA24"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sz w:val="18"/>
                <w:lang w:eastAsia="zh-CN"/>
              </w:rPr>
              <w:t>≤ -122</w:t>
            </w:r>
          </w:p>
        </w:tc>
      </w:tr>
      <w:tr w:rsidR="005C3ED7" w:rsidRPr="005C3ED7" w14:paraId="62CD18B9" w14:textId="77777777" w:rsidTr="002B00DF">
        <w:trPr>
          <w:cantSplit/>
          <w:jc w:val="center"/>
        </w:trPr>
        <w:tc>
          <w:tcPr>
            <w:tcW w:w="2830" w:type="dxa"/>
            <w:vMerge/>
            <w:vAlign w:val="center"/>
          </w:tcPr>
          <w:p w14:paraId="24D309DB"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p>
        </w:tc>
        <w:tc>
          <w:tcPr>
            <w:tcW w:w="2127" w:type="dxa"/>
            <w:vMerge/>
            <w:vAlign w:val="center"/>
          </w:tcPr>
          <w:p w14:paraId="4F2DEE99"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i/>
                <w:sz w:val="18"/>
                <w:lang w:eastAsia="zh-CN"/>
              </w:rPr>
            </w:pPr>
          </w:p>
        </w:tc>
        <w:tc>
          <w:tcPr>
            <w:tcW w:w="1701" w:type="dxa"/>
            <w:vAlign w:val="center"/>
          </w:tcPr>
          <w:p w14:paraId="30274DD5"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i/>
                <w:sz w:val="18"/>
                <w:lang w:eastAsia="zh-CN"/>
              </w:rPr>
            </w:pPr>
            <w:r w:rsidRPr="005C3ED7">
              <w:rPr>
                <w:rFonts w:ascii="Arial" w:eastAsia="宋体" w:hAnsi="Arial"/>
                <w:sz w:val="18"/>
                <w:lang w:eastAsia="zh-CN"/>
              </w:rPr>
              <w:t>3</w:t>
            </w:r>
          </w:p>
        </w:tc>
        <w:tc>
          <w:tcPr>
            <w:tcW w:w="2903" w:type="dxa"/>
            <w:vAlign w:val="center"/>
          </w:tcPr>
          <w:p w14:paraId="6EE1AD95"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sz w:val="18"/>
                <w:lang w:eastAsia="zh-CN"/>
              </w:rPr>
              <w:t>≤ -115.6</w:t>
            </w:r>
          </w:p>
        </w:tc>
      </w:tr>
      <w:tr w:rsidR="005C3ED7" w:rsidRPr="005C3ED7" w14:paraId="7E124D34" w14:textId="77777777" w:rsidTr="002B00DF">
        <w:trPr>
          <w:cantSplit/>
          <w:jc w:val="center"/>
        </w:trPr>
        <w:tc>
          <w:tcPr>
            <w:tcW w:w="2830" w:type="dxa"/>
          </w:tcPr>
          <w:p w14:paraId="713A6B1D"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sz w:val="18"/>
                <w:lang w:eastAsia="zh-CN"/>
              </w:rPr>
              <w:t>n512, n511, n510</w:t>
            </w:r>
          </w:p>
        </w:tc>
        <w:tc>
          <w:tcPr>
            <w:tcW w:w="2127" w:type="dxa"/>
          </w:tcPr>
          <w:p w14:paraId="692C25AD"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sz w:val="18"/>
                <w:lang w:eastAsia="zh-CN"/>
              </w:rPr>
              <w:t>Mobile VSAT</w:t>
            </w:r>
          </w:p>
        </w:tc>
        <w:tc>
          <w:tcPr>
            <w:tcW w:w="1701" w:type="dxa"/>
            <w:vAlign w:val="center"/>
          </w:tcPr>
          <w:p w14:paraId="5DAE5EA6"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sz w:val="18"/>
                <w:lang w:eastAsia="zh-CN"/>
              </w:rPr>
              <w:t>4, 5</w:t>
            </w:r>
          </w:p>
        </w:tc>
        <w:tc>
          <w:tcPr>
            <w:tcW w:w="2903" w:type="dxa"/>
            <w:vAlign w:val="center"/>
          </w:tcPr>
          <w:p w14:paraId="0571E95D"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sz w:val="18"/>
                <w:lang w:eastAsia="zh-CN"/>
              </w:rPr>
              <w:t>≤ -122</w:t>
            </w:r>
          </w:p>
        </w:tc>
      </w:tr>
      <w:tr w:rsidR="005C3ED7" w:rsidRPr="005C3ED7" w14:paraId="4C470E99" w14:textId="77777777" w:rsidTr="002B00DF">
        <w:trPr>
          <w:cantSplit/>
          <w:jc w:val="center"/>
        </w:trPr>
        <w:tc>
          <w:tcPr>
            <w:tcW w:w="2830" w:type="dxa"/>
          </w:tcPr>
          <w:p w14:paraId="1F28BB7A"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cs="Arial"/>
                <w:sz w:val="18"/>
                <w:szCs w:val="18"/>
                <w:lang w:eastAsia="zh-CN"/>
              </w:rPr>
              <w:t>n248, n247, n509, n508</w:t>
            </w:r>
          </w:p>
        </w:tc>
        <w:tc>
          <w:tcPr>
            <w:tcW w:w="2127" w:type="dxa"/>
          </w:tcPr>
          <w:p w14:paraId="78AD0D43"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cs="Arial"/>
                <w:sz w:val="18"/>
                <w:szCs w:val="18"/>
                <w:lang w:eastAsia="zh-CN"/>
              </w:rPr>
              <w:t>Mobile VSAT</w:t>
            </w:r>
          </w:p>
        </w:tc>
        <w:tc>
          <w:tcPr>
            <w:tcW w:w="1701" w:type="dxa"/>
          </w:tcPr>
          <w:p w14:paraId="21E2AA4B"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cs="Arial"/>
                <w:sz w:val="18"/>
                <w:szCs w:val="18"/>
                <w:lang w:eastAsia="zh-CN"/>
              </w:rPr>
              <w:t>4, 5</w:t>
            </w:r>
          </w:p>
        </w:tc>
        <w:tc>
          <w:tcPr>
            <w:tcW w:w="2903" w:type="dxa"/>
          </w:tcPr>
          <w:p w14:paraId="0FABC8E7"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cs="Arial"/>
                <w:sz w:val="18"/>
                <w:szCs w:val="18"/>
                <w:lang w:eastAsia="zh-CN"/>
              </w:rPr>
              <w:t>≤ -126</w:t>
            </w:r>
          </w:p>
        </w:tc>
      </w:tr>
      <w:tr w:rsidR="005C3ED7" w:rsidRPr="005C3ED7" w14:paraId="4AE8FA08" w14:textId="77777777" w:rsidTr="002B00DF">
        <w:trPr>
          <w:cantSplit/>
          <w:jc w:val="center"/>
        </w:trPr>
        <w:tc>
          <w:tcPr>
            <w:tcW w:w="2830" w:type="dxa"/>
          </w:tcPr>
          <w:p w14:paraId="5D07E4C3"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cs="Arial"/>
                <w:sz w:val="18"/>
                <w:szCs w:val="18"/>
                <w:lang w:eastAsia="zh-CN"/>
              </w:rPr>
              <w:t>n248, n247, n509, n508</w:t>
            </w:r>
          </w:p>
        </w:tc>
        <w:tc>
          <w:tcPr>
            <w:tcW w:w="2127" w:type="dxa"/>
          </w:tcPr>
          <w:p w14:paraId="12DFFD3C"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cs="Arial"/>
                <w:sz w:val="18"/>
                <w:szCs w:val="18"/>
                <w:lang w:eastAsia="zh-CN"/>
              </w:rPr>
              <w:t>Mobile VSAT</w:t>
            </w:r>
          </w:p>
        </w:tc>
        <w:tc>
          <w:tcPr>
            <w:tcW w:w="1701" w:type="dxa"/>
          </w:tcPr>
          <w:p w14:paraId="3602ABF5"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cs="Arial"/>
                <w:sz w:val="18"/>
                <w:szCs w:val="18"/>
                <w:lang w:eastAsia="zh-CN"/>
              </w:rPr>
              <w:t>6</w:t>
            </w:r>
          </w:p>
        </w:tc>
        <w:tc>
          <w:tcPr>
            <w:tcW w:w="2903" w:type="dxa"/>
          </w:tcPr>
          <w:p w14:paraId="1F8BA295" w14:textId="77777777" w:rsidR="005C3ED7" w:rsidRPr="005C3ED7" w:rsidRDefault="005C3ED7" w:rsidP="005C3ED7">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5C3ED7">
              <w:rPr>
                <w:rFonts w:ascii="Arial" w:eastAsia="宋体" w:hAnsi="Arial" w:cs="Arial"/>
                <w:sz w:val="18"/>
                <w:szCs w:val="18"/>
                <w:lang w:eastAsia="zh-CN"/>
              </w:rPr>
              <w:t>≤ -122</w:t>
            </w:r>
          </w:p>
        </w:tc>
      </w:tr>
    </w:tbl>
    <w:p w14:paraId="20E3999A" w14:textId="51B61B83" w:rsidR="005C3ED7" w:rsidRPr="005C3ED7" w:rsidRDefault="005C3ED7" w:rsidP="00781FA9">
      <w:pPr>
        <w:spacing w:before="120" w:after="120"/>
        <w:rPr>
          <w:rFonts w:eastAsiaTheme="minorEastAsia"/>
          <w:b/>
          <w:lang w:eastAsia="zh-CN"/>
        </w:rPr>
      </w:pPr>
      <w:r w:rsidRPr="005C3ED7">
        <w:rPr>
          <w:rFonts w:eastAsiaTheme="minorEastAsia" w:hint="eastAsia"/>
          <w:b/>
          <w:lang w:eastAsia="zh-CN"/>
        </w:rPr>
        <w:t>P</w:t>
      </w:r>
      <w:r w:rsidRPr="005C3ED7">
        <w:rPr>
          <w:rFonts w:eastAsiaTheme="minorEastAsia"/>
          <w:b/>
          <w:lang w:eastAsia="zh-CN"/>
        </w:rPr>
        <w:t>roposal 1: Do not include band n247 and n248 in the band group for FR1-NTN.</w:t>
      </w:r>
    </w:p>
    <w:p w14:paraId="489A8FF9" w14:textId="53441FC0" w:rsidR="00781FA9" w:rsidRDefault="00781FA9" w:rsidP="00781FA9">
      <w:pPr>
        <w:pStyle w:val="2"/>
        <w:rPr>
          <w:lang w:eastAsia="zh-CN"/>
        </w:rPr>
      </w:pPr>
      <w:r>
        <w:rPr>
          <w:rFonts w:hint="eastAsia"/>
          <w:lang w:eastAsia="zh-CN"/>
        </w:rPr>
        <w:t>U</w:t>
      </w:r>
      <w:r>
        <w:rPr>
          <w:lang w:eastAsia="zh-CN"/>
        </w:rPr>
        <w:t>E mobility in UL timing test</w:t>
      </w:r>
    </w:p>
    <w:tbl>
      <w:tblPr>
        <w:tblStyle w:val="afa"/>
        <w:tblW w:w="0" w:type="auto"/>
        <w:tblLook w:val="04A0" w:firstRow="1" w:lastRow="0" w:firstColumn="1" w:lastColumn="0" w:noHBand="0" w:noVBand="1"/>
      </w:tblPr>
      <w:tblGrid>
        <w:gridCol w:w="9621"/>
      </w:tblGrid>
      <w:tr w:rsidR="005C3ED7" w14:paraId="7EBFA136" w14:textId="77777777" w:rsidTr="005C3ED7">
        <w:tc>
          <w:tcPr>
            <w:tcW w:w="9621" w:type="dxa"/>
          </w:tcPr>
          <w:p w14:paraId="18988A4B" w14:textId="77777777" w:rsidR="005C3ED7" w:rsidRPr="005C3ED7" w:rsidRDefault="005C3ED7" w:rsidP="005C3ED7">
            <w:pPr>
              <w:keepNext/>
              <w:keepLines/>
              <w:spacing w:beforeLines="0" w:before="120" w:afterLines="0" w:after="180"/>
              <w:outlineLvl w:val="3"/>
              <w:rPr>
                <w:rFonts w:eastAsia="宋体"/>
                <w:b/>
                <w:bCs/>
                <w:sz w:val="24"/>
                <w:szCs w:val="24"/>
                <w:lang w:val="en-US" w:eastAsia="zh-CN"/>
              </w:rPr>
            </w:pPr>
            <w:r w:rsidRPr="005C3ED7">
              <w:rPr>
                <w:rFonts w:eastAsia="宋体"/>
                <w:b/>
                <w:bCs/>
                <w:sz w:val="24"/>
                <w:szCs w:val="24"/>
                <w:lang w:val="en-US" w:eastAsia="zh-CN"/>
              </w:rPr>
              <w:t>Issue 1-2-2: UE transmit timing test for NGSO VSAT</w:t>
            </w:r>
          </w:p>
          <w:p w14:paraId="2EFE303F" w14:textId="77777777" w:rsidR="005C3ED7" w:rsidRPr="005C3ED7" w:rsidRDefault="005C3ED7" w:rsidP="005C3ED7">
            <w:pPr>
              <w:spacing w:beforeLines="0" w:before="0" w:afterLines="0" w:after="180"/>
              <w:rPr>
                <w:rFonts w:eastAsia="宋体"/>
                <w:sz w:val="20"/>
                <w:lang w:val="en-US"/>
              </w:rPr>
            </w:pPr>
            <w:r w:rsidRPr="005C3ED7">
              <w:rPr>
                <w:rFonts w:eastAsia="宋体"/>
                <w:sz w:val="20"/>
                <w:lang w:val="en-US"/>
              </w:rPr>
              <w:t>Agreement</w:t>
            </w:r>
          </w:p>
          <w:p w14:paraId="688DA1EC" w14:textId="77777777" w:rsidR="005C3ED7" w:rsidRPr="005C3ED7" w:rsidRDefault="005C3ED7" w:rsidP="005C3ED7">
            <w:pPr>
              <w:numPr>
                <w:ilvl w:val="0"/>
                <w:numId w:val="16"/>
              </w:numPr>
              <w:overflowPunct w:val="0"/>
              <w:autoSpaceDE w:val="0"/>
              <w:autoSpaceDN w:val="0"/>
              <w:adjustRightInd w:val="0"/>
              <w:spacing w:beforeLines="0" w:before="0" w:afterLines="0" w:after="120"/>
              <w:rPr>
                <w:rFonts w:eastAsia="宋体"/>
                <w:bCs/>
                <w:sz w:val="20"/>
                <w:lang w:val="en-US" w:eastAsia="zh-CN"/>
              </w:rPr>
            </w:pPr>
            <w:r w:rsidRPr="005C3ED7">
              <w:rPr>
                <w:sz w:val="20"/>
                <w:lang w:val="x-none" w:eastAsia="x-none"/>
              </w:rPr>
              <w:t>Introduce NGSO configuration for transmit timing test case of a mobile VSAT.</w:t>
            </w:r>
          </w:p>
          <w:p w14:paraId="3247922D" w14:textId="357E0936" w:rsidR="005C3ED7" w:rsidRPr="005C3ED7" w:rsidRDefault="005C3ED7" w:rsidP="005C3ED7">
            <w:pPr>
              <w:numPr>
                <w:ilvl w:val="1"/>
                <w:numId w:val="16"/>
              </w:numPr>
              <w:overflowPunct w:val="0"/>
              <w:autoSpaceDE w:val="0"/>
              <w:autoSpaceDN w:val="0"/>
              <w:adjustRightInd w:val="0"/>
              <w:spacing w:beforeLines="0" w:before="0" w:afterLines="0" w:after="120"/>
              <w:rPr>
                <w:rFonts w:eastAsia="宋体"/>
                <w:bCs/>
                <w:sz w:val="20"/>
                <w:lang w:val="en-US" w:eastAsia="zh-CN"/>
              </w:rPr>
            </w:pPr>
            <w:r w:rsidRPr="005C3ED7">
              <w:rPr>
                <w:rFonts w:eastAsia="宋体"/>
                <w:bCs/>
                <w:sz w:val="20"/>
                <w:lang w:val="en-US" w:eastAsia="zh-CN"/>
              </w:rPr>
              <w:t>Further discuss the need to emulate the mobility of the mobile NGSO VSAT UE.</w:t>
            </w:r>
          </w:p>
        </w:tc>
      </w:tr>
    </w:tbl>
    <w:p w14:paraId="7782FCD0" w14:textId="7916B620" w:rsidR="00781FA9" w:rsidRDefault="00925AA6" w:rsidP="00781FA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to </w:t>
      </w:r>
      <w:r w:rsidR="00B3782C">
        <w:rPr>
          <w:rFonts w:eastAsiaTheme="minorEastAsia"/>
          <w:lang w:eastAsia="zh-CN"/>
        </w:rPr>
        <w:t>emulate UE mobility in the UL timing test.</w:t>
      </w:r>
    </w:p>
    <w:p w14:paraId="7755E7CD" w14:textId="5B012F7E" w:rsidR="00B3782C" w:rsidRDefault="00B3782C" w:rsidP="00B3782C">
      <w:pPr>
        <w:pStyle w:val="afe"/>
        <w:numPr>
          <w:ilvl w:val="0"/>
          <w:numId w:val="12"/>
        </w:numPr>
        <w:spacing w:before="120" w:after="120"/>
        <w:rPr>
          <w:rFonts w:eastAsiaTheme="minorEastAsia"/>
          <w:lang w:eastAsia="zh-CN"/>
        </w:rPr>
      </w:pPr>
      <w:r>
        <w:rPr>
          <w:rFonts w:eastAsiaTheme="minorEastAsia" w:hint="eastAsia"/>
          <w:lang w:eastAsia="zh-CN"/>
        </w:rPr>
        <w:t>W</w:t>
      </w:r>
      <w:r>
        <w:rPr>
          <w:rFonts w:eastAsiaTheme="minorEastAsia"/>
          <w:lang w:eastAsia="zh-CN"/>
        </w:rPr>
        <w:t>e understand the UL timing requirements for mobile VSAT are stringent, particularly from GNSS point of view. The assumed GNSS error is reduced from 50m in FR1-NTN to 10m in FR2-NTN. However, GNSS is not modeled in the test, but UE location and velocity are set by AT command, so the critical part of the requirements (GNSS performance) is not really verified.</w:t>
      </w:r>
    </w:p>
    <w:p w14:paraId="2CB25750" w14:textId="7A3E2F47" w:rsidR="00B3782C" w:rsidRDefault="00B3782C" w:rsidP="00B3782C">
      <w:pPr>
        <w:pStyle w:val="afe"/>
        <w:numPr>
          <w:ilvl w:val="0"/>
          <w:numId w:val="12"/>
        </w:numPr>
        <w:spacing w:before="120" w:after="120"/>
        <w:rPr>
          <w:rFonts w:eastAsiaTheme="minorEastAsia"/>
          <w:lang w:eastAsia="zh-CN"/>
        </w:rPr>
      </w:pPr>
      <w:r>
        <w:rPr>
          <w:rFonts w:eastAsiaTheme="minorEastAsia"/>
          <w:lang w:eastAsia="zh-CN"/>
        </w:rPr>
        <w:t xml:space="preserve">The channel model </w:t>
      </w:r>
      <w:r w:rsidR="00192767">
        <w:rPr>
          <w:rFonts w:eastAsiaTheme="minorEastAsia"/>
          <w:lang w:eastAsia="zh-CN"/>
        </w:rPr>
        <w:t>does not support UE mobility. To support UE mobility, the channel model needs to be updated such that the UE location and velocity in every milli-second are considered to generate delay and Doppler shift. We understand it may too late to update the channel model at this late stage of R19.</w:t>
      </w:r>
    </w:p>
    <w:p w14:paraId="3EA8AF6E" w14:textId="419C71DE" w:rsidR="00192767" w:rsidRPr="00B3782C" w:rsidRDefault="006D108B" w:rsidP="00B3782C">
      <w:pPr>
        <w:pStyle w:val="afe"/>
        <w:numPr>
          <w:ilvl w:val="0"/>
          <w:numId w:val="12"/>
        </w:numPr>
        <w:spacing w:before="120" w:after="120"/>
        <w:rPr>
          <w:rFonts w:eastAsiaTheme="minorEastAsia"/>
          <w:lang w:eastAsia="zh-CN"/>
        </w:rPr>
      </w:pPr>
      <w:r>
        <w:rPr>
          <w:rFonts w:eastAsiaTheme="minorEastAsia"/>
          <w:lang w:eastAsia="zh-CN"/>
        </w:rPr>
        <w:t>To support UE mobility, RAN4 also needs to define the UE motion trajectory during the test time, so UE has to do GNSS location interpolation following the UE motion trajectory</w:t>
      </w:r>
      <w:r w:rsidRPr="006D108B">
        <w:rPr>
          <w:rFonts w:eastAsiaTheme="minorEastAsia"/>
          <w:lang w:eastAsia="zh-CN"/>
        </w:rPr>
        <w:t xml:space="preserve"> </w:t>
      </w:r>
      <w:r>
        <w:rPr>
          <w:rFonts w:eastAsiaTheme="minorEastAsia"/>
          <w:lang w:eastAsia="zh-CN"/>
        </w:rPr>
        <w:t>defined by RAN4, otherwise the UE will get penalized. As the UE location and velocity is set by AT command in the test</w:t>
      </w:r>
      <w:r w:rsidR="00C31550">
        <w:rPr>
          <w:rFonts w:eastAsiaTheme="minorEastAsia"/>
          <w:lang w:eastAsia="zh-CN"/>
        </w:rPr>
        <w:t xml:space="preserve"> which is used in test mode</w:t>
      </w:r>
      <w:r>
        <w:rPr>
          <w:rFonts w:eastAsiaTheme="minorEastAsia"/>
          <w:lang w:eastAsia="zh-CN"/>
        </w:rPr>
        <w:t xml:space="preserve">, this is effectively defining requirements for test mode. </w:t>
      </w:r>
    </w:p>
    <w:p w14:paraId="12CFB62B" w14:textId="2FC2232D" w:rsidR="00781FA9" w:rsidRPr="000C722C" w:rsidRDefault="000C722C" w:rsidP="00781FA9">
      <w:pPr>
        <w:spacing w:before="120" w:after="120"/>
        <w:rPr>
          <w:rFonts w:eastAsiaTheme="minorEastAsia"/>
          <w:b/>
          <w:lang w:eastAsia="zh-CN"/>
        </w:rPr>
      </w:pPr>
      <w:r w:rsidRPr="000C722C">
        <w:rPr>
          <w:rFonts w:eastAsiaTheme="minorEastAsia" w:hint="eastAsia"/>
          <w:b/>
          <w:lang w:eastAsia="zh-CN"/>
        </w:rPr>
        <w:t>P</w:t>
      </w:r>
      <w:r w:rsidRPr="000C722C">
        <w:rPr>
          <w:rFonts w:eastAsiaTheme="minorEastAsia"/>
          <w:b/>
          <w:lang w:eastAsia="zh-CN"/>
        </w:rPr>
        <w:t>roposal 2: Do not emulate UE mobility in the UL timing test.</w:t>
      </w:r>
    </w:p>
    <w:p w14:paraId="6C921A72" w14:textId="458C4798" w:rsidR="00781FA9" w:rsidRDefault="00781FA9" w:rsidP="00781FA9">
      <w:pPr>
        <w:pStyle w:val="2"/>
        <w:rPr>
          <w:lang w:eastAsia="zh-CN"/>
        </w:rPr>
      </w:pPr>
      <w:r w:rsidRPr="00363931">
        <w:rPr>
          <w:lang w:eastAsia="zh-CN"/>
        </w:rPr>
        <w:t>Test cases for Ku bands in FR1-NTN</w:t>
      </w:r>
    </w:p>
    <w:tbl>
      <w:tblPr>
        <w:tblStyle w:val="afa"/>
        <w:tblW w:w="0" w:type="auto"/>
        <w:tblLook w:val="04A0" w:firstRow="1" w:lastRow="0" w:firstColumn="1" w:lastColumn="0" w:noHBand="0" w:noVBand="1"/>
      </w:tblPr>
      <w:tblGrid>
        <w:gridCol w:w="9621"/>
      </w:tblGrid>
      <w:tr w:rsidR="000C722C" w14:paraId="5B96A289" w14:textId="77777777" w:rsidTr="000C722C">
        <w:tc>
          <w:tcPr>
            <w:tcW w:w="9621" w:type="dxa"/>
          </w:tcPr>
          <w:p w14:paraId="3CE64174" w14:textId="77777777" w:rsidR="000C722C" w:rsidRPr="000C722C" w:rsidRDefault="000C722C" w:rsidP="000C722C">
            <w:pPr>
              <w:keepNext/>
              <w:keepLines/>
              <w:spacing w:beforeLines="0" w:before="120" w:afterLines="0" w:after="180"/>
              <w:outlineLvl w:val="3"/>
              <w:rPr>
                <w:rFonts w:eastAsia="宋体"/>
                <w:b/>
                <w:bCs/>
                <w:sz w:val="24"/>
                <w:szCs w:val="24"/>
                <w:lang w:val="en-US" w:eastAsia="zh-CN"/>
              </w:rPr>
            </w:pPr>
            <w:r w:rsidRPr="000C722C">
              <w:rPr>
                <w:rFonts w:eastAsia="宋体"/>
                <w:b/>
                <w:bCs/>
                <w:sz w:val="24"/>
                <w:szCs w:val="24"/>
                <w:lang w:val="en-US" w:eastAsia="zh-CN"/>
              </w:rPr>
              <w:t xml:space="preserve">Issue 1-2-4: </w:t>
            </w:r>
            <w:bookmarkStart w:id="1" w:name="_Hlk213151476"/>
            <w:r w:rsidRPr="000C722C">
              <w:rPr>
                <w:rFonts w:eastAsia="宋体"/>
                <w:b/>
                <w:bCs/>
                <w:sz w:val="24"/>
                <w:szCs w:val="24"/>
                <w:lang w:val="en-US" w:eastAsia="zh-CN"/>
              </w:rPr>
              <w:t>Test cases for Ku bands in FR1-NTN</w:t>
            </w:r>
            <w:bookmarkEnd w:id="1"/>
          </w:p>
          <w:p w14:paraId="6869E5A4" w14:textId="77777777" w:rsidR="000C722C" w:rsidRPr="000C722C" w:rsidRDefault="000C722C" w:rsidP="000C722C">
            <w:pPr>
              <w:spacing w:beforeLines="0" w:before="0" w:afterLines="0" w:after="180"/>
              <w:rPr>
                <w:rFonts w:eastAsia="宋体"/>
                <w:sz w:val="20"/>
                <w:lang w:val="en-US"/>
              </w:rPr>
            </w:pPr>
            <w:proofErr w:type="spellStart"/>
            <w:r w:rsidRPr="000C722C">
              <w:rPr>
                <w:rFonts w:eastAsia="宋体"/>
                <w:sz w:val="20"/>
                <w:lang w:val="en-US"/>
              </w:rPr>
              <w:t>WayForward</w:t>
            </w:r>
            <w:proofErr w:type="spellEnd"/>
          </w:p>
          <w:p w14:paraId="419BB100" w14:textId="77777777" w:rsidR="000C722C" w:rsidRPr="000C722C" w:rsidRDefault="000C722C" w:rsidP="000C722C">
            <w:pPr>
              <w:numPr>
                <w:ilvl w:val="0"/>
                <w:numId w:val="17"/>
              </w:numPr>
              <w:overflowPunct w:val="0"/>
              <w:autoSpaceDE w:val="0"/>
              <w:autoSpaceDN w:val="0"/>
              <w:adjustRightInd w:val="0"/>
              <w:spacing w:beforeLines="0" w:before="0" w:afterLines="0" w:after="120"/>
              <w:textAlignment w:val="baseline"/>
              <w:rPr>
                <w:bCs/>
                <w:sz w:val="20"/>
                <w:lang w:val="en-US" w:eastAsia="zh-CN"/>
              </w:rPr>
            </w:pPr>
            <w:r w:rsidRPr="000C722C">
              <w:rPr>
                <w:sz w:val="20"/>
                <w:lang w:val="en-US"/>
              </w:rPr>
              <w:t xml:space="preserve">Further discuss the following options </w:t>
            </w:r>
          </w:p>
          <w:p w14:paraId="0CE22079" w14:textId="77777777" w:rsidR="000C722C" w:rsidRPr="000C722C" w:rsidRDefault="000C722C" w:rsidP="000C722C">
            <w:pPr>
              <w:numPr>
                <w:ilvl w:val="0"/>
                <w:numId w:val="17"/>
              </w:numPr>
              <w:overflowPunct w:val="0"/>
              <w:autoSpaceDE w:val="0"/>
              <w:autoSpaceDN w:val="0"/>
              <w:adjustRightInd w:val="0"/>
              <w:spacing w:beforeLines="0" w:before="0" w:afterLines="0" w:after="120"/>
              <w:ind w:left="644"/>
              <w:rPr>
                <w:rFonts w:eastAsia="宋体"/>
                <w:bCs/>
                <w:sz w:val="20"/>
                <w:lang w:val="en-US" w:eastAsia="zh-CN"/>
              </w:rPr>
            </w:pPr>
            <w:r w:rsidRPr="000C722C">
              <w:rPr>
                <w:rFonts w:eastAsia="宋体"/>
                <w:bCs/>
                <w:sz w:val="20"/>
              </w:rPr>
              <w:t>Option 1: reuse exiting test cases defined for SAN FR1</w:t>
            </w:r>
          </w:p>
          <w:p w14:paraId="5A0482C5" w14:textId="77777777" w:rsidR="000C722C" w:rsidRPr="000C722C" w:rsidRDefault="000C722C" w:rsidP="000C722C">
            <w:pPr>
              <w:numPr>
                <w:ilvl w:val="1"/>
                <w:numId w:val="16"/>
              </w:numPr>
              <w:overflowPunct w:val="0"/>
              <w:autoSpaceDE w:val="0"/>
              <w:autoSpaceDN w:val="0"/>
              <w:adjustRightInd w:val="0"/>
              <w:spacing w:beforeLines="0" w:before="0" w:afterLines="0" w:after="120"/>
              <w:ind w:left="1364"/>
              <w:rPr>
                <w:sz w:val="20"/>
                <w:lang w:val="x-none" w:eastAsia="x-none"/>
              </w:rPr>
            </w:pPr>
            <w:r w:rsidRPr="000C722C">
              <w:rPr>
                <w:sz w:val="20"/>
                <w:lang w:val="x-none" w:eastAsia="x-none"/>
              </w:rPr>
              <w:t>Add a table clarifying test applicability for the corresponding test cases for VSAT UEs.</w:t>
            </w:r>
          </w:p>
          <w:p w14:paraId="7A199DF9" w14:textId="77777777" w:rsidR="000C722C" w:rsidRPr="000C722C" w:rsidRDefault="000C722C" w:rsidP="000C722C">
            <w:pPr>
              <w:numPr>
                <w:ilvl w:val="1"/>
                <w:numId w:val="16"/>
              </w:numPr>
              <w:overflowPunct w:val="0"/>
              <w:autoSpaceDE w:val="0"/>
              <w:autoSpaceDN w:val="0"/>
              <w:adjustRightInd w:val="0"/>
              <w:spacing w:beforeLines="0" w:before="0" w:afterLines="0" w:after="120"/>
              <w:ind w:left="1364"/>
              <w:rPr>
                <w:sz w:val="20"/>
                <w:lang w:val="x-none" w:eastAsia="x-none"/>
              </w:rPr>
            </w:pPr>
            <w:r w:rsidRPr="000C722C">
              <w:rPr>
                <w:sz w:val="20"/>
                <w:lang w:val="x-none" w:eastAsia="x-none"/>
              </w:rPr>
              <w:t>Add OTA related parameters</w:t>
            </w:r>
          </w:p>
          <w:p w14:paraId="43CE5490" w14:textId="77777777" w:rsidR="000C722C" w:rsidRPr="000C722C" w:rsidRDefault="000C722C" w:rsidP="000C722C">
            <w:pPr>
              <w:numPr>
                <w:ilvl w:val="0"/>
                <w:numId w:val="17"/>
              </w:numPr>
              <w:overflowPunct w:val="0"/>
              <w:autoSpaceDE w:val="0"/>
              <w:autoSpaceDN w:val="0"/>
              <w:adjustRightInd w:val="0"/>
              <w:spacing w:beforeLines="0" w:before="0" w:afterLines="0" w:after="120"/>
              <w:ind w:left="644"/>
              <w:rPr>
                <w:rFonts w:eastAsia="宋体"/>
                <w:bCs/>
                <w:sz w:val="20"/>
                <w:lang w:val="en-US" w:eastAsia="zh-CN"/>
              </w:rPr>
            </w:pPr>
            <w:r w:rsidRPr="000C722C">
              <w:rPr>
                <w:rFonts w:eastAsia="宋体"/>
                <w:bCs/>
                <w:sz w:val="20"/>
              </w:rPr>
              <w:t>Option 2: reuse existing test cases defined for FR2-NTN</w:t>
            </w:r>
            <w:r w:rsidRPr="000C722C">
              <w:rPr>
                <w:sz w:val="20"/>
                <w:lang w:val="x-none" w:eastAsia="x-none"/>
              </w:rPr>
              <w:t>, unless otherwise specified</w:t>
            </w:r>
          </w:p>
          <w:p w14:paraId="0033BAEC" w14:textId="07F380A8" w:rsidR="000C722C" w:rsidRPr="000C722C" w:rsidRDefault="000C722C" w:rsidP="000C722C">
            <w:pPr>
              <w:numPr>
                <w:ilvl w:val="1"/>
                <w:numId w:val="16"/>
              </w:numPr>
              <w:overflowPunct w:val="0"/>
              <w:autoSpaceDE w:val="0"/>
              <w:autoSpaceDN w:val="0"/>
              <w:adjustRightInd w:val="0"/>
              <w:spacing w:beforeLines="0" w:before="0" w:afterLines="0" w:after="120"/>
              <w:ind w:left="1364"/>
              <w:rPr>
                <w:sz w:val="20"/>
                <w:lang w:val="x-none" w:eastAsia="x-none"/>
              </w:rPr>
            </w:pPr>
            <w:r w:rsidRPr="000C722C">
              <w:rPr>
                <w:sz w:val="20"/>
                <w:lang w:val="x-none" w:eastAsia="x-none"/>
              </w:rPr>
              <w:t>Introduce a new configuration that corresponds to the reference channels used for FR1-NTN numerology.</w:t>
            </w:r>
          </w:p>
        </w:tc>
      </w:tr>
    </w:tbl>
    <w:p w14:paraId="31A35FFF" w14:textId="79EC8418" w:rsidR="00781FA9" w:rsidRDefault="00DC5535" w:rsidP="00781FA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have strong view, but slightly prefer option 2. </w:t>
      </w:r>
    </w:p>
    <w:p w14:paraId="01947D44" w14:textId="3C29E371" w:rsidR="00DC5535" w:rsidRDefault="00DC5535" w:rsidP="00781FA9">
      <w:pPr>
        <w:spacing w:before="120" w:after="120"/>
        <w:rPr>
          <w:rFonts w:eastAsiaTheme="minorEastAsia"/>
          <w:lang w:eastAsia="zh-CN"/>
        </w:rPr>
      </w:pPr>
      <w:r>
        <w:rPr>
          <w:rFonts w:eastAsiaTheme="minorEastAsia"/>
          <w:lang w:eastAsia="zh-CN"/>
        </w:rPr>
        <w:t xml:space="preserve">Although the spec impacts and efforts in drafting CR may be smaller with option 1, option 2 is technically more </w:t>
      </w:r>
      <w:r w:rsidR="00591653">
        <w:rPr>
          <w:rFonts w:eastAsiaTheme="minorEastAsia"/>
          <w:lang w:eastAsia="zh-CN"/>
        </w:rPr>
        <w:t xml:space="preserve">reasonable </w:t>
      </w:r>
      <w:r>
        <w:rPr>
          <w:rFonts w:eastAsiaTheme="minorEastAsia"/>
          <w:lang w:eastAsia="zh-CN"/>
        </w:rPr>
        <w:t xml:space="preserve">and more aligned with the core requirements. The core requirements for Ku band in FR1-NTN is mostly re-using those defined for FR2-NTN, so for the test, it is more straightforward to add FR1-NTN related test configuration in FR2-NTN test cases. </w:t>
      </w:r>
    </w:p>
    <w:p w14:paraId="05D3DF42" w14:textId="18931802" w:rsidR="00781FA9" w:rsidRPr="00591653" w:rsidRDefault="00591653" w:rsidP="00781FA9">
      <w:pPr>
        <w:spacing w:before="120" w:after="120"/>
        <w:rPr>
          <w:rFonts w:eastAsiaTheme="minorEastAsia"/>
          <w:b/>
          <w:lang w:eastAsia="zh-CN"/>
        </w:rPr>
      </w:pPr>
      <w:r w:rsidRPr="00591653">
        <w:rPr>
          <w:rFonts w:eastAsiaTheme="minorEastAsia"/>
          <w:b/>
          <w:lang w:eastAsia="zh-CN"/>
        </w:rPr>
        <w:lastRenderedPageBreak/>
        <w:t>P</w:t>
      </w:r>
      <w:r w:rsidRPr="00591653">
        <w:rPr>
          <w:rFonts w:eastAsiaTheme="minorEastAsia" w:hint="eastAsia"/>
          <w:b/>
          <w:lang w:eastAsia="zh-CN"/>
        </w:rPr>
        <w:t>roposal</w:t>
      </w:r>
      <w:r w:rsidRPr="00591653">
        <w:rPr>
          <w:rFonts w:eastAsiaTheme="minorEastAsia"/>
          <w:b/>
          <w:lang w:eastAsia="zh-CN"/>
        </w:rPr>
        <w:t xml:space="preserve"> 3: Re-use existing test cases defined for FR2-NTN for Ku band in FR1-NTN, and introduce a new configuration that corresponds to the reference channels used for FR1-NTN numerology</w:t>
      </w:r>
      <w:r w:rsidR="00A70D8B">
        <w:rPr>
          <w:rFonts w:eastAsiaTheme="minorEastAsia"/>
          <w:b/>
          <w:lang w:eastAsia="zh-CN"/>
        </w:rPr>
        <w:t>.</w:t>
      </w:r>
    </w:p>
    <w:p w14:paraId="3C0D8332" w14:textId="0DE3EEF5" w:rsidR="00781FA9" w:rsidRDefault="00781FA9" w:rsidP="00781FA9">
      <w:pPr>
        <w:pStyle w:val="2"/>
        <w:rPr>
          <w:rFonts w:eastAsia="宋体"/>
          <w:bCs/>
        </w:rPr>
      </w:pPr>
      <w:r>
        <w:rPr>
          <w:rFonts w:eastAsia="宋体"/>
          <w:bCs/>
        </w:rPr>
        <w:t>T</w:t>
      </w:r>
      <w:r w:rsidRPr="00983462">
        <w:rPr>
          <w:rFonts w:eastAsia="宋体"/>
          <w:bCs/>
        </w:rPr>
        <w:t>est applicability for VSAT supporting both FR1-NTN and FR2-NTN</w:t>
      </w:r>
    </w:p>
    <w:tbl>
      <w:tblPr>
        <w:tblStyle w:val="afa"/>
        <w:tblW w:w="0" w:type="auto"/>
        <w:tblLook w:val="04A0" w:firstRow="1" w:lastRow="0" w:firstColumn="1" w:lastColumn="0" w:noHBand="0" w:noVBand="1"/>
      </w:tblPr>
      <w:tblGrid>
        <w:gridCol w:w="9621"/>
      </w:tblGrid>
      <w:tr w:rsidR="00A70D8B" w14:paraId="1347A77A" w14:textId="77777777" w:rsidTr="00A70D8B">
        <w:tc>
          <w:tcPr>
            <w:tcW w:w="9621" w:type="dxa"/>
          </w:tcPr>
          <w:p w14:paraId="3F7BD02A" w14:textId="77777777" w:rsidR="00A70D8B" w:rsidRPr="00A70D8B" w:rsidRDefault="00A70D8B" w:rsidP="00A70D8B">
            <w:pPr>
              <w:keepNext/>
              <w:keepLines/>
              <w:spacing w:beforeLines="0" w:before="120" w:afterLines="0" w:after="180"/>
              <w:outlineLvl w:val="3"/>
              <w:rPr>
                <w:rFonts w:eastAsia="宋体"/>
                <w:b/>
                <w:bCs/>
                <w:sz w:val="24"/>
                <w:szCs w:val="24"/>
                <w:lang w:val="en-US" w:eastAsia="zh-CN"/>
              </w:rPr>
            </w:pPr>
            <w:r w:rsidRPr="00A70D8B">
              <w:rPr>
                <w:rFonts w:eastAsia="宋体"/>
                <w:b/>
                <w:bCs/>
                <w:sz w:val="24"/>
                <w:szCs w:val="24"/>
                <w:lang w:val="en-US" w:eastAsia="zh-CN"/>
              </w:rPr>
              <w:t>Issue 1-2-5: Test applicability and principle</w:t>
            </w:r>
          </w:p>
          <w:p w14:paraId="0BEDAC7C" w14:textId="77777777" w:rsidR="00A70D8B" w:rsidRPr="00A70D8B" w:rsidRDefault="00A70D8B" w:rsidP="00A70D8B">
            <w:pPr>
              <w:spacing w:beforeLines="0" w:before="0" w:afterLines="0" w:after="180"/>
              <w:rPr>
                <w:rFonts w:eastAsia="宋体"/>
                <w:sz w:val="20"/>
                <w:lang w:val="en-US"/>
              </w:rPr>
            </w:pPr>
            <w:r w:rsidRPr="00A70D8B">
              <w:rPr>
                <w:rFonts w:eastAsia="宋体"/>
                <w:sz w:val="20"/>
                <w:lang w:val="en-US"/>
              </w:rPr>
              <w:t>Agreement</w:t>
            </w:r>
          </w:p>
          <w:p w14:paraId="37FEC0A1" w14:textId="77777777" w:rsidR="00A70D8B" w:rsidRPr="00A70D8B" w:rsidRDefault="00A70D8B" w:rsidP="00A70D8B">
            <w:pPr>
              <w:numPr>
                <w:ilvl w:val="0"/>
                <w:numId w:val="18"/>
              </w:numPr>
              <w:overflowPunct w:val="0"/>
              <w:autoSpaceDE w:val="0"/>
              <w:autoSpaceDN w:val="0"/>
              <w:adjustRightInd w:val="0"/>
              <w:spacing w:beforeLines="0" w:before="0" w:afterLines="0" w:after="120"/>
              <w:rPr>
                <w:rFonts w:eastAsia="宋体"/>
                <w:bCs/>
                <w:sz w:val="20"/>
              </w:rPr>
            </w:pPr>
            <w:r w:rsidRPr="00A70D8B">
              <w:rPr>
                <w:rFonts w:eastAsia="宋体"/>
                <w:bCs/>
                <w:sz w:val="20"/>
                <w:lang w:val="en-US"/>
              </w:rPr>
              <w:t>T</w:t>
            </w:r>
            <w:r w:rsidRPr="00A70D8B">
              <w:rPr>
                <w:rFonts w:eastAsia="宋体"/>
                <w:bCs/>
                <w:sz w:val="20"/>
              </w:rPr>
              <w:t>he testing related to satellite access defined in A.3.36 with FR2 can be a reference.</w:t>
            </w:r>
          </w:p>
          <w:p w14:paraId="4330A114" w14:textId="77777777" w:rsidR="00A70D8B" w:rsidRPr="00A70D8B" w:rsidRDefault="00A70D8B" w:rsidP="00A70D8B">
            <w:pPr>
              <w:numPr>
                <w:ilvl w:val="0"/>
                <w:numId w:val="18"/>
              </w:numPr>
              <w:overflowPunct w:val="0"/>
              <w:autoSpaceDE w:val="0"/>
              <w:autoSpaceDN w:val="0"/>
              <w:adjustRightInd w:val="0"/>
              <w:spacing w:beforeLines="0" w:before="0" w:afterLines="0" w:after="120"/>
              <w:rPr>
                <w:rFonts w:eastAsia="宋体"/>
                <w:bCs/>
                <w:sz w:val="20"/>
              </w:rPr>
            </w:pPr>
            <w:r w:rsidRPr="00A70D8B">
              <w:rPr>
                <w:rFonts w:eastAsia="宋体"/>
                <w:bCs/>
                <w:sz w:val="20"/>
              </w:rPr>
              <w:t xml:space="preserve">If mobile VSAT UE supports both GSO and NGSO, the GSO-based test cases can be skipped if the UE passes NGSO-based test cases. </w:t>
            </w:r>
          </w:p>
          <w:p w14:paraId="3BA045C5" w14:textId="77777777" w:rsidR="00A70D8B" w:rsidRPr="00A70D8B" w:rsidRDefault="00A70D8B" w:rsidP="00A70D8B">
            <w:pPr>
              <w:numPr>
                <w:ilvl w:val="0"/>
                <w:numId w:val="18"/>
              </w:numPr>
              <w:overflowPunct w:val="0"/>
              <w:autoSpaceDE w:val="0"/>
              <w:autoSpaceDN w:val="0"/>
              <w:adjustRightInd w:val="0"/>
              <w:spacing w:beforeLines="0" w:before="0" w:afterLines="0" w:after="120"/>
              <w:rPr>
                <w:rFonts w:eastAsia="宋体"/>
                <w:bCs/>
                <w:sz w:val="20"/>
              </w:rPr>
            </w:pPr>
            <w:r w:rsidRPr="00A70D8B">
              <w:rPr>
                <w:rFonts w:eastAsia="宋体"/>
                <w:bCs/>
                <w:sz w:val="20"/>
              </w:rPr>
              <w:t xml:space="preserve">RAN4 to discuss the </w:t>
            </w:r>
            <w:bookmarkStart w:id="2" w:name="_Hlk213151490"/>
            <w:r w:rsidRPr="00A70D8B">
              <w:rPr>
                <w:rFonts w:eastAsia="宋体"/>
                <w:bCs/>
                <w:sz w:val="20"/>
              </w:rPr>
              <w:t>test applicability for VSAT supporting Ku bands in both FR1-NTN and FR2-NTN</w:t>
            </w:r>
            <w:bookmarkEnd w:id="2"/>
            <w:r w:rsidRPr="00A70D8B">
              <w:rPr>
                <w:rFonts w:eastAsia="宋体"/>
                <w:bCs/>
                <w:sz w:val="20"/>
              </w:rPr>
              <w:t>, if such VSAT exists.</w:t>
            </w:r>
          </w:p>
          <w:p w14:paraId="0EA177AD" w14:textId="77777777" w:rsidR="00A70D8B" w:rsidRPr="00A70D8B" w:rsidRDefault="00A70D8B" w:rsidP="00A70D8B">
            <w:pPr>
              <w:numPr>
                <w:ilvl w:val="1"/>
                <w:numId w:val="18"/>
              </w:numPr>
              <w:overflowPunct w:val="0"/>
              <w:autoSpaceDE w:val="0"/>
              <w:autoSpaceDN w:val="0"/>
              <w:adjustRightInd w:val="0"/>
              <w:spacing w:beforeLines="0" w:before="0" w:afterLines="0" w:after="120"/>
              <w:rPr>
                <w:rFonts w:eastAsia="宋体"/>
                <w:bCs/>
                <w:sz w:val="20"/>
              </w:rPr>
            </w:pPr>
            <w:r w:rsidRPr="00A70D8B">
              <w:rPr>
                <w:rFonts w:eastAsia="宋体"/>
                <w:bCs/>
                <w:sz w:val="20"/>
              </w:rPr>
              <w:t>Option 1: it is at least to pass two test configurations: one with FR1 numerology and one with FR2 numerology.</w:t>
            </w:r>
          </w:p>
          <w:p w14:paraId="432F93D8" w14:textId="2BCF037B" w:rsidR="00A70D8B" w:rsidRPr="00A70D8B" w:rsidRDefault="00A70D8B" w:rsidP="00A70D8B">
            <w:pPr>
              <w:numPr>
                <w:ilvl w:val="1"/>
                <w:numId w:val="18"/>
              </w:numPr>
              <w:overflowPunct w:val="0"/>
              <w:autoSpaceDE w:val="0"/>
              <w:autoSpaceDN w:val="0"/>
              <w:adjustRightInd w:val="0"/>
              <w:spacing w:beforeLines="0" w:before="0" w:afterLines="0" w:after="120"/>
              <w:rPr>
                <w:rFonts w:eastAsia="宋体"/>
                <w:bCs/>
                <w:sz w:val="20"/>
              </w:rPr>
            </w:pPr>
            <w:r w:rsidRPr="00A70D8B">
              <w:rPr>
                <w:rFonts w:eastAsia="宋体"/>
                <w:bCs/>
                <w:sz w:val="20"/>
              </w:rPr>
              <w:t xml:space="preserve">Other options are not precluded. </w:t>
            </w:r>
          </w:p>
        </w:tc>
      </w:tr>
    </w:tbl>
    <w:p w14:paraId="7C52ECD7" w14:textId="6C01C043" w:rsidR="00781FA9" w:rsidRDefault="00A70D8B" w:rsidP="00781FA9">
      <w:pPr>
        <w:spacing w:before="120" w:after="120"/>
        <w:rPr>
          <w:rFonts w:eastAsiaTheme="minorEastAsia"/>
          <w:lang w:eastAsia="zh-CN"/>
        </w:rPr>
      </w:pPr>
      <w:r>
        <w:rPr>
          <w:rFonts w:eastAsiaTheme="minorEastAsia"/>
          <w:lang w:eastAsia="zh-CN"/>
        </w:rPr>
        <w:t xml:space="preserve">For </w:t>
      </w:r>
      <w:r w:rsidRPr="00A70D8B">
        <w:rPr>
          <w:rFonts w:eastAsiaTheme="minorEastAsia"/>
          <w:lang w:eastAsia="zh-CN"/>
        </w:rPr>
        <w:t>VSAT supporting Ku bands in both FR1-NTN and FR2-NTN</w:t>
      </w:r>
      <w:r>
        <w:rPr>
          <w:rFonts w:eastAsiaTheme="minorEastAsia"/>
          <w:lang w:eastAsia="zh-CN"/>
        </w:rPr>
        <w:t xml:space="preserve">, our view is that this VSAT should pass the test with one configuration except for the UL timing test. </w:t>
      </w:r>
    </w:p>
    <w:p w14:paraId="1A39BEB5" w14:textId="2C66613C" w:rsidR="00A70D8B" w:rsidRPr="00A70D8B" w:rsidRDefault="00A70D8B" w:rsidP="00781FA9">
      <w:pPr>
        <w:spacing w:before="120" w:after="120"/>
        <w:rPr>
          <w:rFonts w:eastAsiaTheme="minorEastAsia"/>
          <w:lang w:eastAsia="zh-CN"/>
        </w:rPr>
      </w:pPr>
      <w:r>
        <w:rPr>
          <w:rFonts w:eastAsiaTheme="minorEastAsia"/>
          <w:lang w:eastAsia="zh-CN"/>
        </w:rPr>
        <w:t xml:space="preserve">The consideration is that most of the RRM requirements applicable for VSAT are agnostic to SCS, so it is enough for the VSAT to pass the test with one </w:t>
      </w:r>
      <w:r w:rsidRPr="00A70D8B">
        <w:rPr>
          <w:rFonts w:eastAsiaTheme="minorEastAsia"/>
          <w:lang w:eastAsia="zh-CN"/>
        </w:rPr>
        <w:t>numerology</w:t>
      </w:r>
      <w:r>
        <w:rPr>
          <w:rFonts w:eastAsiaTheme="minorEastAsia"/>
          <w:lang w:eastAsia="zh-CN"/>
        </w:rPr>
        <w:t>, and this will also help to reduce the test efforts. UL timing requirement is an exception because it is dependent on SCS.</w:t>
      </w:r>
    </w:p>
    <w:p w14:paraId="5E0CBA86" w14:textId="0249A669" w:rsidR="00A70D8B" w:rsidRPr="00A70D8B" w:rsidRDefault="00A70D8B" w:rsidP="00A70D8B">
      <w:pPr>
        <w:spacing w:before="120" w:after="120"/>
        <w:rPr>
          <w:rFonts w:eastAsiaTheme="minorEastAsia"/>
          <w:b/>
          <w:lang w:eastAsia="zh-CN"/>
        </w:rPr>
      </w:pPr>
      <w:r w:rsidRPr="00591653">
        <w:rPr>
          <w:rFonts w:eastAsiaTheme="minorEastAsia"/>
          <w:b/>
          <w:lang w:eastAsia="zh-CN"/>
        </w:rPr>
        <w:t>P</w:t>
      </w:r>
      <w:r w:rsidRPr="00591653">
        <w:rPr>
          <w:rFonts w:eastAsiaTheme="minorEastAsia" w:hint="eastAsia"/>
          <w:b/>
          <w:lang w:eastAsia="zh-CN"/>
        </w:rPr>
        <w:t>roposal</w:t>
      </w:r>
      <w:r w:rsidRPr="00591653">
        <w:rPr>
          <w:rFonts w:eastAsiaTheme="minorEastAsia"/>
          <w:b/>
          <w:lang w:eastAsia="zh-CN"/>
        </w:rPr>
        <w:t xml:space="preserve"> </w:t>
      </w:r>
      <w:r>
        <w:rPr>
          <w:rFonts w:eastAsiaTheme="minorEastAsia"/>
          <w:b/>
          <w:lang w:eastAsia="zh-CN"/>
        </w:rPr>
        <w:t>4</w:t>
      </w:r>
      <w:r w:rsidRPr="00591653">
        <w:rPr>
          <w:rFonts w:eastAsiaTheme="minorEastAsia"/>
          <w:b/>
          <w:lang w:eastAsia="zh-CN"/>
        </w:rPr>
        <w:t xml:space="preserve">: </w:t>
      </w:r>
      <w:r w:rsidRPr="00A70D8B">
        <w:rPr>
          <w:rFonts w:eastAsiaTheme="minorEastAsia"/>
          <w:b/>
          <w:lang w:eastAsia="zh-CN"/>
        </w:rPr>
        <w:t>VSAT supporting Ku bands in both FR1-NTN and FR2-NTN</w:t>
      </w:r>
      <w:r>
        <w:rPr>
          <w:rFonts w:eastAsiaTheme="minorEastAsia"/>
          <w:b/>
          <w:lang w:eastAsia="zh-CN"/>
        </w:rPr>
        <w:t xml:space="preserve"> </w:t>
      </w:r>
      <w:r w:rsidRPr="00A70D8B">
        <w:rPr>
          <w:rFonts w:eastAsiaTheme="minorEastAsia"/>
          <w:b/>
          <w:lang w:eastAsia="zh-CN"/>
        </w:rPr>
        <w:t>should pass the test with one configuration</w:t>
      </w:r>
      <w:r>
        <w:rPr>
          <w:rFonts w:eastAsiaTheme="minorEastAsia"/>
          <w:b/>
          <w:lang w:eastAsia="zh-CN"/>
        </w:rPr>
        <w:t xml:space="preserve"> (either </w:t>
      </w:r>
      <w:r w:rsidRPr="00A70D8B">
        <w:rPr>
          <w:rFonts w:eastAsiaTheme="minorEastAsia"/>
          <w:b/>
          <w:lang w:eastAsia="zh-CN"/>
        </w:rPr>
        <w:t xml:space="preserve">FR1 </w:t>
      </w:r>
      <w:r>
        <w:rPr>
          <w:rFonts w:eastAsiaTheme="minorEastAsia"/>
          <w:b/>
          <w:lang w:eastAsia="zh-CN"/>
        </w:rPr>
        <w:t>or</w:t>
      </w:r>
      <w:r w:rsidRPr="00A70D8B">
        <w:rPr>
          <w:rFonts w:eastAsiaTheme="minorEastAsia"/>
          <w:b/>
          <w:lang w:eastAsia="zh-CN"/>
        </w:rPr>
        <w:t xml:space="preserve"> FR2 numerology</w:t>
      </w:r>
      <w:r>
        <w:rPr>
          <w:rFonts w:eastAsiaTheme="minorEastAsia"/>
          <w:b/>
          <w:lang w:eastAsia="zh-CN"/>
        </w:rPr>
        <w:t>),</w:t>
      </w:r>
      <w:r w:rsidRPr="00A70D8B">
        <w:rPr>
          <w:rFonts w:eastAsiaTheme="minorEastAsia"/>
          <w:b/>
          <w:lang w:eastAsia="zh-CN"/>
        </w:rPr>
        <w:t xml:space="preserve"> except for the UL timing test.</w:t>
      </w:r>
    </w:p>
    <w:p w14:paraId="3268F873" w14:textId="77777777" w:rsidR="004729BE" w:rsidRDefault="004729BE" w:rsidP="004729BE">
      <w:pPr>
        <w:pStyle w:val="1"/>
        <w:jc w:val="both"/>
        <w:rPr>
          <w:lang w:val="en-US"/>
        </w:rPr>
      </w:pPr>
      <w:r>
        <w:rPr>
          <w:lang w:val="en-US"/>
        </w:rPr>
        <w:t>Conclusions</w:t>
      </w:r>
    </w:p>
    <w:p w14:paraId="00102B00" w14:textId="5A00F259"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B8379F">
        <w:rPr>
          <w:rFonts w:eastAsia="宋体"/>
          <w:lang w:eastAsia="zh-CN"/>
        </w:rPr>
        <w:t>RRM performance requirements for Ku band NTN</w:t>
      </w:r>
      <w:r w:rsidR="00DD2712">
        <w:rPr>
          <w:rFonts w:eastAsia="宋体"/>
          <w:lang w:eastAsia="zh-CN"/>
        </w:rPr>
        <w:t>.</w:t>
      </w:r>
    </w:p>
    <w:p w14:paraId="6515916E" w14:textId="77777777" w:rsidR="00BC7A36" w:rsidRPr="005C3ED7" w:rsidRDefault="00BC7A36" w:rsidP="00BC7A36">
      <w:pPr>
        <w:spacing w:before="120" w:after="120"/>
        <w:rPr>
          <w:rFonts w:eastAsiaTheme="minorEastAsia"/>
          <w:b/>
          <w:lang w:eastAsia="zh-CN"/>
        </w:rPr>
      </w:pPr>
      <w:r w:rsidRPr="005C3ED7">
        <w:rPr>
          <w:rFonts w:eastAsiaTheme="minorEastAsia" w:hint="eastAsia"/>
          <w:b/>
          <w:lang w:eastAsia="zh-CN"/>
        </w:rPr>
        <w:t>P</w:t>
      </w:r>
      <w:r w:rsidRPr="005C3ED7">
        <w:rPr>
          <w:rFonts w:eastAsiaTheme="minorEastAsia"/>
          <w:b/>
          <w:lang w:eastAsia="zh-CN"/>
        </w:rPr>
        <w:t>roposal 1: Do not include band n247 and n248 in the band group for FR1-NTN.</w:t>
      </w:r>
    </w:p>
    <w:p w14:paraId="07791F34" w14:textId="77777777" w:rsidR="00BC7A36" w:rsidRPr="000C722C" w:rsidRDefault="00BC7A36" w:rsidP="00BC7A36">
      <w:pPr>
        <w:spacing w:before="120" w:after="120"/>
        <w:rPr>
          <w:rFonts w:eastAsiaTheme="minorEastAsia"/>
          <w:b/>
          <w:lang w:eastAsia="zh-CN"/>
        </w:rPr>
      </w:pPr>
      <w:r w:rsidRPr="000C722C">
        <w:rPr>
          <w:rFonts w:eastAsiaTheme="minorEastAsia" w:hint="eastAsia"/>
          <w:b/>
          <w:lang w:eastAsia="zh-CN"/>
        </w:rPr>
        <w:t>P</w:t>
      </w:r>
      <w:r w:rsidRPr="000C722C">
        <w:rPr>
          <w:rFonts w:eastAsiaTheme="minorEastAsia"/>
          <w:b/>
          <w:lang w:eastAsia="zh-CN"/>
        </w:rPr>
        <w:t>roposal 2: Do not emulate UE mobility in the UL timing test.</w:t>
      </w:r>
    </w:p>
    <w:p w14:paraId="4CAEB321" w14:textId="77777777" w:rsidR="00BC7A36" w:rsidRPr="00591653" w:rsidRDefault="00BC7A36" w:rsidP="00BC7A36">
      <w:pPr>
        <w:spacing w:before="120" w:after="120"/>
        <w:rPr>
          <w:rFonts w:eastAsiaTheme="minorEastAsia"/>
          <w:b/>
          <w:lang w:eastAsia="zh-CN"/>
        </w:rPr>
      </w:pPr>
      <w:r w:rsidRPr="00591653">
        <w:rPr>
          <w:rFonts w:eastAsiaTheme="minorEastAsia"/>
          <w:b/>
          <w:lang w:eastAsia="zh-CN"/>
        </w:rPr>
        <w:t>P</w:t>
      </w:r>
      <w:r w:rsidRPr="00591653">
        <w:rPr>
          <w:rFonts w:eastAsiaTheme="minorEastAsia" w:hint="eastAsia"/>
          <w:b/>
          <w:lang w:eastAsia="zh-CN"/>
        </w:rPr>
        <w:t>roposal</w:t>
      </w:r>
      <w:r w:rsidRPr="00591653">
        <w:rPr>
          <w:rFonts w:eastAsiaTheme="minorEastAsia"/>
          <w:b/>
          <w:lang w:eastAsia="zh-CN"/>
        </w:rPr>
        <w:t xml:space="preserve"> 3: Re-use existing test cases defined for FR2-NTN for Ku band in FR1-NTN, and introduce a new configuration that corresponds to the reference channels used for FR1-NTN numerology</w:t>
      </w:r>
      <w:r>
        <w:rPr>
          <w:rFonts w:eastAsiaTheme="minorEastAsia"/>
          <w:b/>
          <w:lang w:eastAsia="zh-CN"/>
        </w:rPr>
        <w:t>.</w:t>
      </w:r>
    </w:p>
    <w:p w14:paraId="651ADD64" w14:textId="77777777" w:rsidR="00BC7A36" w:rsidRPr="00A70D8B" w:rsidRDefault="00BC7A36" w:rsidP="00BC7A36">
      <w:pPr>
        <w:spacing w:before="120" w:after="120"/>
        <w:rPr>
          <w:rFonts w:eastAsiaTheme="minorEastAsia"/>
          <w:b/>
          <w:lang w:eastAsia="zh-CN"/>
        </w:rPr>
      </w:pPr>
      <w:r w:rsidRPr="00591653">
        <w:rPr>
          <w:rFonts w:eastAsiaTheme="minorEastAsia"/>
          <w:b/>
          <w:lang w:eastAsia="zh-CN"/>
        </w:rPr>
        <w:t>P</w:t>
      </w:r>
      <w:r w:rsidRPr="00591653">
        <w:rPr>
          <w:rFonts w:eastAsiaTheme="minorEastAsia" w:hint="eastAsia"/>
          <w:b/>
          <w:lang w:eastAsia="zh-CN"/>
        </w:rPr>
        <w:t>roposal</w:t>
      </w:r>
      <w:r w:rsidRPr="00591653">
        <w:rPr>
          <w:rFonts w:eastAsiaTheme="minorEastAsia"/>
          <w:b/>
          <w:lang w:eastAsia="zh-CN"/>
        </w:rPr>
        <w:t xml:space="preserve"> </w:t>
      </w:r>
      <w:r>
        <w:rPr>
          <w:rFonts w:eastAsiaTheme="minorEastAsia"/>
          <w:b/>
          <w:lang w:eastAsia="zh-CN"/>
        </w:rPr>
        <w:t>4</w:t>
      </w:r>
      <w:r w:rsidRPr="00591653">
        <w:rPr>
          <w:rFonts w:eastAsiaTheme="minorEastAsia"/>
          <w:b/>
          <w:lang w:eastAsia="zh-CN"/>
        </w:rPr>
        <w:t xml:space="preserve">: </w:t>
      </w:r>
      <w:r w:rsidRPr="00A70D8B">
        <w:rPr>
          <w:rFonts w:eastAsiaTheme="minorEastAsia"/>
          <w:b/>
          <w:lang w:eastAsia="zh-CN"/>
        </w:rPr>
        <w:t>VSAT supporting Ku bands in both FR1-NTN and FR2-NTN</w:t>
      </w:r>
      <w:r>
        <w:rPr>
          <w:rFonts w:eastAsiaTheme="minorEastAsia"/>
          <w:b/>
          <w:lang w:eastAsia="zh-CN"/>
        </w:rPr>
        <w:t xml:space="preserve"> </w:t>
      </w:r>
      <w:r w:rsidRPr="00A70D8B">
        <w:rPr>
          <w:rFonts w:eastAsiaTheme="minorEastAsia"/>
          <w:b/>
          <w:lang w:eastAsia="zh-CN"/>
        </w:rPr>
        <w:t>should pass the test with one configuration</w:t>
      </w:r>
      <w:r>
        <w:rPr>
          <w:rFonts w:eastAsiaTheme="minorEastAsia"/>
          <w:b/>
          <w:lang w:eastAsia="zh-CN"/>
        </w:rPr>
        <w:t xml:space="preserve"> (either </w:t>
      </w:r>
      <w:r w:rsidRPr="00A70D8B">
        <w:rPr>
          <w:rFonts w:eastAsiaTheme="minorEastAsia"/>
          <w:b/>
          <w:lang w:eastAsia="zh-CN"/>
        </w:rPr>
        <w:t xml:space="preserve">FR1 </w:t>
      </w:r>
      <w:r>
        <w:rPr>
          <w:rFonts w:eastAsiaTheme="minorEastAsia"/>
          <w:b/>
          <w:lang w:eastAsia="zh-CN"/>
        </w:rPr>
        <w:t>or</w:t>
      </w:r>
      <w:r w:rsidRPr="00A70D8B">
        <w:rPr>
          <w:rFonts w:eastAsiaTheme="minorEastAsia"/>
          <w:b/>
          <w:lang w:eastAsia="zh-CN"/>
        </w:rPr>
        <w:t xml:space="preserve"> FR2 numerology</w:t>
      </w:r>
      <w:r>
        <w:rPr>
          <w:rFonts w:eastAsiaTheme="minorEastAsia"/>
          <w:b/>
          <w:lang w:eastAsia="zh-CN"/>
        </w:rPr>
        <w:t>),</w:t>
      </w:r>
      <w:r w:rsidRPr="00A70D8B">
        <w:rPr>
          <w:rFonts w:eastAsiaTheme="minorEastAsia"/>
          <w:b/>
          <w:lang w:eastAsia="zh-CN"/>
        </w:rPr>
        <w:t xml:space="preserve"> except for the UL timing test.</w:t>
      </w:r>
    </w:p>
    <w:p w14:paraId="2ED084EA" w14:textId="77777777" w:rsidR="00FA0C0C" w:rsidRDefault="00FA0C0C" w:rsidP="00FA0C0C">
      <w:pPr>
        <w:pStyle w:val="1"/>
        <w:jc w:val="both"/>
        <w:rPr>
          <w:lang w:val="en-US"/>
        </w:rPr>
      </w:pPr>
      <w:r w:rsidRPr="00C0754F">
        <w:rPr>
          <w:lang w:val="en-US"/>
        </w:rPr>
        <w:t>Reference</w:t>
      </w:r>
    </w:p>
    <w:p w14:paraId="575166DB" w14:textId="3DA91853" w:rsidR="00F1393E" w:rsidRPr="008B0DB1" w:rsidRDefault="008B0DB1" w:rsidP="008B0DB1">
      <w:pPr>
        <w:numPr>
          <w:ilvl w:val="0"/>
          <w:numId w:val="5"/>
        </w:numPr>
        <w:spacing w:before="120" w:after="120"/>
        <w:rPr>
          <w:rFonts w:eastAsia="宋体"/>
          <w:lang w:val="en-US" w:eastAsia="zh-CN"/>
        </w:rPr>
      </w:pPr>
      <w:r w:rsidRPr="008B0DB1">
        <w:rPr>
          <w:rFonts w:eastAsia="宋体"/>
          <w:lang w:val="en-US" w:eastAsia="zh-CN"/>
        </w:rPr>
        <w:t>R4-2515055</w:t>
      </w:r>
      <w:r>
        <w:rPr>
          <w:rFonts w:eastAsia="宋体"/>
          <w:lang w:val="en-US" w:eastAsia="zh-CN"/>
        </w:rPr>
        <w:t xml:space="preserve">, </w:t>
      </w:r>
      <w:r w:rsidRPr="008B0DB1">
        <w:rPr>
          <w:rFonts w:eastAsia="宋体"/>
          <w:lang w:val="en-US" w:eastAsia="zh-CN"/>
        </w:rPr>
        <w:t>Way Forward for [116</w:t>
      </w:r>
      <w:proofErr w:type="gramStart"/>
      <w:r w:rsidRPr="008B0DB1">
        <w:rPr>
          <w:rFonts w:eastAsia="宋体"/>
          <w:lang w:val="en-US" w:eastAsia="zh-CN"/>
        </w:rPr>
        <w:t>bis][</w:t>
      </w:r>
      <w:proofErr w:type="gramEnd"/>
      <w:r w:rsidRPr="008B0DB1">
        <w:rPr>
          <w:rFonts w:eastAsia="宋体"/>
          <w:lang w:val="en-US" w:eastAsia="zh-CN"/>
        </w:rPr>
        <w:t>310] Rel-19 RRM performance_Part2</w:t>
      </w:r>
      <w:r>
        <w:rPr>
          <w:rFonts w:eastAsia="宋体"/>
          <w:lang w:val="en-US" w:eastAsia="zh-CN"/>
        </w:rPr>
        <w:t xml:space="preserve">, </w:t>
      </w:r>
      <w:r w:rsidRPr="008B0DB1">
        <w:rPr>
          <w:rFonts w:eastAsia="宋体"/>
          <w:lang w:val="en-US" w:eastAsia="zh-CN"/>
        </w:rPr>
        <w:t xml:space="preserve">Moderator (MediaTek </w:t>
      </w:r>
      <w:proofErr w:type="spellStart"/>
      <w:r w:rsidRPr="008B0DB1">
        <w:rPr>
          <w:rFonts w:eastAsia="宋体"/>
          <w:lang w:val="en-US" w:eastAsia="zh-CN"/>
        </w:rPr>
        <w:t>inc.</w:t>
      </w:r>
      <w:proofErr w:type="spellEnd"/>
      <w:r w:rsidRPr="008B0DB1">
        <w:rPr>
          <w:rFonts w:eastAsia="宋体"/>
          <w:lang w:val="en-US" w:eastAsia="zh-CN"/>
        </w:rPr>
        <w:t>)</w:t>
      </w:r>
    </w:p>
    <w:sectPr w:rsidR="00F1393E" w:rsidRPr="008B0D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4F588" w14:textId="77777777" w:rsidR="00591CA0" w:rsidRDefault="00591CA0">
      <w:pPr>
        <w:spacing w:before="120" w:after="120"/>
      </w:pPr>
      <w:r>
        <w:separator/>
      </w:r>
    </w:p>
  </w:endnote>
  <w:endnote w:type="continuationSeparator" w:id="0">
    <w:p w14:paraId="369F3502" w14:textId="77777777" w:rsidR="00591CA0" w:rsidRDefault="00591CA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768AC" w14:textId="77777777" w:rsidR="00591CA0" w:rsidRDefault="00591CA0">
      <w:pPr>
        <w:spacing w:before="120" w:after="120"/>
      </w:pPr>
      <w:r>
        <w:separator/>
      </w:r>
    </w:p>
  </w:footnote>
  <w:footnote w:type="continuationSeparator" w:id="0">
    <w:p w14:paraId="25AFE486" w14:textId="77777777" w:rsidR="00591CA0" w:rsidRDefault="00591CA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F66960"/>
    <w:multiLevelType w:val="hybridMultilevel"/>
    <w:tmpl w:val="27B8420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C4A9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9390740"/>
    <w:multiLevelType w:val="hybridMultilevel"/>
    <w:tmpl w:val="C30C5150"/>
    <w:lvl w:ilvl="0" w:tplc="5EBEFD6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B73482"/>
    <w:multiLevelType w:val="multilevel"/>
    <w:tmpl w:val="8CE4B03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3"/>
  </w:num>
  <w:num w:numId="3">
    <w:abstractNumId w:val="16"/>
  </w:num>
  <w:num w:numId="4">
    <w:abstractNumId w:val="3"/>
  </w:num>
  <w:num w:numId="5">
    <w:abstractNumId w:val="6"/>
  </w:num>
  <w:num w:numId="6">
    <w:abstractNumId w:val="12"/>
  </w:num>
  <w:num w:numId="7">
    <w:abstractNumId w:val="9"/>
  </w:num>
  <w:num w:numId="8">
    <w:abstractNumId w:val="17"/>
    <w:lvlOverride w:ilvl="0">
      <w:startOverride w:val="1"/>
    </w:lvlOverride>
  </w:num>
  <w:num w:numId="9">
    <w:abstractNumId w:val="11"/>
  </w:num>
  <w:num w:numId="10">
    <w:abstractNumId w:val="15"/>
  </w:num>
  <w:num w:numId="11">
    <w:abstractNumId w:val="14"/>
  </w:num>
  <w:num w:numId="12">
    <w:abstractNumId w:val="0"/>
  </w:num>
  <w:num w:numId="13">
    <w:abstractNumId w:val="8"/>
  </w:num>
  <w:num w:numId="14">
    <w:abstractNumId w:val="5"/>
  </w:num>
  <w:num w:numId="15">
    <w:abstractNumId w:val="10"/>
  </w:num>
  <w:num w:numId="16">
    <w:abstractNumId w:val="4"/>
  </w:num>
  <w:num w:numId="17">
    <w:abstractNumId w:val="2"/>
  </w:num>
  <w:num w:numId="18">
    <w:abstractNumId w:val="1"/>
  </w:num>
  <w:num w:numId="1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07"/>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B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2E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A65"/>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22C"/>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2B62"/>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86"/>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5EE2"/>
    <w:rsid w:val="00116046"/>
    <w:rsid w:val="001163EE"/>
    <w:rsid w:val="00116445"/>
    <w:rsid w:val="00116AC4"/>
    <w:rsid w:val="00116F74"/>
    <w:rsid w:val="001176B7"/>
    <w:rsid w:val="00117855"/>
    <w:rsid w:val="001179EE"/>
    <w:rsid w:val="00117A06"/>
    <w:rsid w:val="00117FE8"/>
    <w:rsid w:val="0012027C"/>
    <w:rsid w:val="00120596"/>
    <w:rsid w:val="0012062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2767"/>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23"/>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6B"/>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961"/>
    <w:rsid w:val="00203CE4"/>
    <w:rsid w:val="00203CE6"/>
    <w:rsid w:val="00203CEE"/>
    <w:rsid w:val="00203FA4"/>
    <w:rsid w:val="00204059"/>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74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2F4A"/>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5E5"/>
    <w:rsid w:val="003211A2"/>
    <w:rsid w:val="003212BC"/>
    <w:rsid w:val="0032168C"/>
    <w:rsid w:val="00321728"/>
    <w:rsid w:val="00321967"/>
    <w:rsid w:val="00321D66"/>
    <w:rsid w:val="00321F97"/>
    <w:rsid w:val="003229D3"/>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2EA"/>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7CC"/>
    <w:rsid w:val="003608F8"/>
    <w:rsid w:val="00360A1A"/>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3931"/>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3CF"/>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4ED"/>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5F0"/>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4D8"/>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E2F"/>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A5F"/>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DB"/>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566"/>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1AD"/>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A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50"/>
    <w:rsid w:val="0059039E"/>
    <w:rsid w:val="00590E1D"/>
    <w:rsid w:val="00591486"/>
    <w:rsid w:val="00591653"/>
    <w:rsid w:val="00591707"/>
    <w:rsid w:val="005919A6"/>
    <w:rsid w:val="00591B05"/>
    <w:rsid w:val="00591B92"/>
    <w:rsid w:val="00591CA0"/>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7B5"/>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ED7"/>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138"/>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343"/>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564"/>
    <w:rsid w:val="006526FF"/>
    <w:rsid w:val="00652BC4"/>
    <w:rsid w:val="00652BD8"/>
    <w:rsid w:val="00652D75"/>
    <w:rsid w:val="00652FA4"/>
    <w:rsid w:val="0065323A"/>
    <w:rsid w:val="006533C2"/>
    <w:rsid w:val="00653E2B"/>
    <w:rsid w:val="00653F50"/>
    <w:rsid w:val="00654516"/>
    <w:rsid w:val="006547D3"/>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3E"/>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3D4"/>
    <w:rsid w:val="0068160A"/>
    <w:rsid w:val="00681853"/>
    <w:rsid w:val="00681B13"/>
    <w:rsid w:val="00681C38"/>
    <w:rsid w:val="00681D41"/>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08B"/>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94F"/>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6F7E8E"/>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96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52"/>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A9"/>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BB"/>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33"/>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DB1"/>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AA6"/>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C65"/>
    <w:rsid w:val="00966E76"/>
    <w:rsid w:val="00967265"/>
    <w:rsid w:val="0096773A"/>
    <w:rsid w:val="00967A57"/>
    <w:rsid w:val="00967BD1"/>
    <w:rsid w:val="00967D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2C00"/>
    <w:rsid w:val="00973219"/>
    <w:rsid w:val="0097338E"/>
    <w:rsid w:val="009733A9"/>
    <w:rsid w:val="0097353F"/>
    <w:rsid w:val="0097356C"/>
    <w:rsid w:val="00973A1F"/>
    <w:rsid w:val="00973BB5"/>
    <w:rsid w:val="00973D61"/>
    <w:rsid w:val="00973D6D"/>
    <w:rsid w:val="00974664"/>
    <w:rsid w:val="00974B5A"/>
    <w:rsid w:val="00975201"/>
    <w:rsid w:val="00975224"/>
    <w:rsid w:val="009759B5"/>
    <w:rsid w:val="00975FB6"/>
    <w:rsid w:val="00976005"/>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5B5"/>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4F"/>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5A2"/>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124"/>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0D8B"/>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3F8"/>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3DEA"/>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4D"/>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2C"/>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79F"/>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495"/>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1F01"/>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5F"/>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36"/>
    <w:rsid w:val="00BC7A46"/>
    <w:rsid w:val="00BC7C48"/>
    <w:rsid w:val="00BC7D02"/>
    <w:rsid w:val="00BC7D97"/>
    <w:rsid w:val="00BC7E7D"/>
    <w:rsid w:val="00BC7EA8"/>
    <w:rsid w:val="00BD0F88"/>
    <w:rsid w:val="00BD10E4"/>
    <w:rsid w:val="00BD113A"/>
    <w:rsid w:val="00BD114F"/>
    <w:rsid w:val="00BD1394"/>
    <w:rsid w:val="00BD15C5"/>
    <w:rsid w:val="00BD2159"/>
    <w:rsid w:val="00BD22F8"/>
    <w:rsid w:val="00BD23D4"/>
    <w:rsid w:val="00BD2697"/>
    <w:rsid w:val="00BD2A0D"/>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088"/>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550"/>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37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1FD"/>
    <w:rsid w:val="00C615C8"/>
    <w:rsid w:val="00C6188E"/>
    <w:rsid w:val="00C61D44"/>
    <w:rsid w:val="00C62221"/>
    <w:rsid w:val="00C62412"/>
    <w:rsid w:val="00C624FF"/>
    <w:rsid w:val="00C62830"/>
    <w:rsid w:val="00C62A04"/>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6FD"/>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222"/>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2E1"/>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2A1"/>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1F8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1FAA"/>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535"/>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A"/>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82"/>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8DC"/>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07"/>
    <w:rsid w:val="00E70933"/>
    <w:rsid w:val="00E70AF2"/>
    <w:rsid w:val="00E70BC5"/>
    <w:rsid w:val="00E70C8C"/>
    <w:rsid w:val="00E71077"/>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146"/>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0EF4"/>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4DD"/>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93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E1C"/>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8EE"/>
    <w:rsid w:val="00FA4A61"/>
    <w:rsid w:val="00FA4BD2"/>
    <w:rsid w:val="00FA4E92"/>
    <w:rsid w:val="00FA5019"/>
    <w:rsid w:val="00FA5057"/>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360A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9">
    <w:name w:val="SGS Table Basic 19"/>
    <w:basedOn w:val="a1"/>
    <w:next w:val="afa"/>
    <w:qFormat/>
    <w:rsid w:val="00577EA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C56F700-2AA3-4930-8B87-02B1923D3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51461</TotalTime>
  <Pages>3</Pages>
  <Words>1007</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497</cp:revision>
  <cp:lastPrinted>2009-04-22T06:01:00Z</cp:lastPrinted>
  <dcterms:created xsi:type="dcterms:W3CDTF">2023-05-06T02:02:00Z</dcterms:created>
  <dcterms:modified xsi:type="dcterms:W3CDTF">2025-11-07T13:34:00Z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