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bookmarkStart w:id="0" w:name="Title"/>
      <w:bookmarkEnd w:id="0"/>
      <w:r>
        <w:rPr>
          <w:rFonts w:ascii="Arial" w:hAnsi="Arial" w:eastAsia="宋体"/>
          <w:b/>
          <w:color w:val="auto"/>
          <w:sz w:val="24"/>
          <w:lang w:val="en-GB" w:eastAsia="zh-CN"/>
        </w:rPr>
        <w:t>3GPP TSG-RAN WG4 Meeting #117</w:t>
      </w:r>
      <w:r>
        <w:rPr>
          <w:rFonts w:ascii="Arial" w:hAnsi="Arial" w:eastAsia="宋体"/>
          <w:b/>
          <w:color w:val="auto"/>
          <w:sz w:val="24"/>
          <w:lang w:val="en-GB" w:eastAsia="zh-CN"/>
        </w:rPr>
        <w:tab/>
      </w:r>
      <w:r>
        <w:rPr>
          <w:rFonts w:hint="eastAsia" w:ascii="Arial" w:hAnsi="Arial"/>
          <w:b/>
          <w:color w:val="auto"/>
          <w:sz w:val="24"/>
          <w:lang w:val="en-US" w:eastAsia="zh-CN"/>
        </w:rPr>
        <w:t xml:space="preserve">                                   </w:t>
      </w:r>
      <w:r>
        <w:rPr>
          <w:rFonts w:hint="eastAsia" w:ascii="Arial" w:hAnsi="Arial" w:eastAsia="宋体"/>
          <w:b/>
          <w:color w:val="auto"/>
          <w:sz w:val="24"/>
          <w:lang w:val="en-GB" w:eastAsia="zh-CN"/>
        </w:rPr>
        <w:t>R4-2521145</w:t>
      </w:r>
      <w:bookmarkStart w:id="5" w:name="_GoBack"/>
      <w:bookmarkEnd w:id="5"/>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r>
        <w:rPr>
          <w:rFonts w:ascii="Arial" w:hAnsi="Arial" w:eastAsia="宋体"/>
          <w:b/>
          <w:color w:val="auto"/>
          <w:sz w:val="24"/>
          <w:lang w:val="en-GB" w:eastAsia="zh-CN"/>
        </w:rPr>
        <w:t>Dallas, USA, Nov. 17-21,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4.23.1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Conditional Intra-CU LTM</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6"/>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t>LTM as introduced in Rel-18 offers short interruption time but not with the same level of robustness as the conditional L3 mobility procedures. In Rel-19, enhancements should be specified so that the system can benefit from both the high robustness and short interruption.</w:t>
      </w:r>
      <w:r>
        <w:rPr>
          <w:rFonts w:hint="eastAsia"/>
          <w:lang w:val="en-US" w:eastAsia="zh-CN"/>
        </w:rPr>
        <w:t xml:space="preserve"> It</w:t>
      </w:r>
      <w:r>
        <w:rPr>
          <w:rFonts w:hint="default"/>
          <w:lang w:val="en-US" w:eastAsia="zh-CN"/>
        </w:rPr>
        <w:t>’</w:t>
      </w:r>
      <w:r>
        <w:rPr>
          <w:rFonts w:hint="eastAsia"/>
          <w:lang w:val="en-US" w:eastAsia="zh-CN"/>
        </w:rPr>
        <w:t>s beneficial to combine LTM and conditional L3 mobility procedures and RAN4 needs to define requirements based on RAN2</w:t>
      </w:r>
      <w:r>
        <w:rPr>
          <w:rFonts w:hint="default"/>
          <w:lang w:val="en-US" w:eastAsia="zh-CN"/>
        </w:rPr>
        <w:t>’</w:t>
      </w:r>
      <w:r>
        <w:rPr>
          <w:rFonts w:hint="eastAsia"/>
          <w:lang w:val="en-US" w:eastAsia="zh-CN"/>
        </w:rPr>
        <w:t xml:space="preserve">s design. From this objective [1], </w:t>
      </w:r>
      <w:r>
        <w:rPr>
          <w:bCs/>
        </w:rPr>
        <w:t>UE evaluated conditions</w:t>
      </w:r>
      <w:r>
        <w:rPr>
          <w:rFonts w:hint="eastAsia"/>
          <w:bCs/>
          <w:lang w:val="en-US" w:eastAsia="zh-CN"/>
        </w:rPr>
        <w:t xml:space="preserve"> will be specified by other groups to trigger LTM.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4" w:hRule="atLeast"/>
        </w:trPr>
        <w:tc>
          <w:tcPr>
            <w:tcW w:w="9629" w:type="dxa"/>
          </w:tcPr>
          <w:p>
            <w:pPr>
              <w:numPr>
                <w:ilvl w:val="0"/>
                <w:numId w:val="4"/>
              </w:numPr>
              <w:spacing w:after="0"/>
              <w:rPr>
                <w:bCs/>
              </w:rPr>
            </w:pPr>
            <w:r>
              <w:rPr>
                <w:bCs/>
              </w:rPr>
              <w:t>Specify support of conditional Intra-CU LTM [RAN2, RAN3, RAN1]</w:t>
            </w:r>
          </w:p>
          <w:p>
            <w:pPr>
              <w:numPr>
                <w:ilvl w:val="1"/>
                <w:numId w:val="4"/>
              </w:numPr>
              <w:spacing w:after="0"/>
              <w:rPr>
                <w:bCs/>
              </w:rPr>
            </w:pPr>
            <w:r>
              <w:rPr>
                <w:bCs/>
              </w:rPr>
              <w:t>Specify UE evaluated conditions for triggering LTM</w:t>
            </w:r>
          </w:p>
          <w:p>
            <w:pPr>
              <w:numPr>
                <w:ilvl w:val="1"/>
                <w:numId w:val="4"/>
              </w:numPr>
              <w:spacing w:after="0"/>
              <w:rPr>
                <w:bCs/>
              </w:rPr>
            </w:pPr>
            <w:r>
              <w:rPr>
                <w:bCs/>
              </w:rPr>
              <w:t>Aim to support conditional LTM including subsequent LTM</w:t>
            </w:r>
          </w:p>
          <w:p>
            <w:pPr>
              <w:numPr>
                <w:ilvl w:val="1"/>
                <w:numId w:val="4"/>
              </w:numPr>
              <w:spacing w:after="0"/>
              <w:rPr>
                <w:bCs/>
              </w:rPr>
            </w:pPr>
            <w:r>
              <w:rPr>
                <w:bCs/>
              </w:rPr>
              <w:t xml:space="preserve">Limit specifying the conditional LTM to the scenario where the UE is in non-DC </w:t>
            </w:r>
          </w:p>
          <w:p/>
          <w:p>
            <w:pPr>
              <w:numPr>
                <w:ilvl w:val="0"/>
                <w:numId w:val="4"/>
              </w:numPr>
              <w:spacing w:after="0"/>
              <w:rPr>
                <w:bCs/>
              </w:rPr>
            </w:pPr>
            <w:r>
              <w:rPr>
                <w:bCs/>
              </w:rPr>
              <w:t>Specify RRM requirements related to the above objectives as necessary [RAN4]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p>
    <w:p>
      <w:pPr>
        <w:pStyle w:val="56"/>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157" w:beforeLines="50"/>
        <w:rPr>
          <w:rFonts w:hint="eastAsia"/>
          <w:b w:val="0"/>
          <w:bCs w:val="0"/>
          <w:color w:val="auto"/>
          <w:sz w:val="21"/>
          <w:szCs w:val="21"/>
          <w:lang w:val="en-US" w:eastAsia="zh-CN"/>
        </w:rPr>
      </w:pPr>
      <w:r>
        <w:rPr>
          <w:rFonts w:hint="eastAsia"/>
          <w:bCs/>
          <w:lang w:val="en-US" w:eastAsia="zh-CN"/>
        </w:rPr>
        <w:t xml:space="preserve">RAN4 has defined CLTM cell switch delay requirement, both </w:t>
      </w:r>
      <w:r>
        <w:t>intra-frequency and inter-frequency</w:t>
      </w:r>
      <w:r>
        <w:rPr>
          <w:rFonts w:hint="eastAsia"/>
          <w:lang w:val="en-US" w:eastAsia="zh-CN"/>
        </w:rPr>
        <w:t xml:space="preserve"> have been considered. The relevant requirements are captured in clause 6.3.2 and it refers to the conditional handover of L3 in clause 6.1.4. </w:t>
      </w:r>
      <w:r>
        <w:rPr>
          <w:rFonts w:hint="eastAsia"/>
          <w:b w:val="0"/>
          <w:bCs w:val="0"/>
          <w:color w:val="auto"/>
          <w:sz w:val="21"/>
          <w:szCs w:val="21"/>
          <w:lang w:val="en-US" w:eastAsia="zh-CN"/>
        </w:rPr>
        <w:t>In the last meeting, some companies found that there is no clear scope for CLTM, and it would make confusion that whether we consider known cell or not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bidi w:val="0"/>
            </w:pPr>
            <w:bookmarkStart w:id="2" w:name="_Toc211359525"/>
            <w:r>
              <w:t>Issue 1-3-1: Whether to include unknown cell case on SSB triggered CLTM</w:t>
            </w:r>
            <w:bookmarkEnd w:id="2"/>
          </w:p>
          <w:p>
            <w:pPr>
              <w:rPr>
                <w:i/>
                <w:iCs/>
                <w:color w:val="4F81BD" w:themeColor="accent1"/>
                <w14:textFill>
                  <w14:solidFill>
                    <w14:schemeClr w14:val="accent1"/>
                  </w14:solidFill>
                </w14:textFill>
              </w:rPr>
            </w:pPr>
            <w:r>
              <w:rPr>
                <w:i/>
                <w:iCs/>
                <w:color w:val="4F81BD" w:themeColor="accent1"/>
                <w14:textFill>
                  <w14:solidFill>
                    <w14:schemeClr w14:val="accent1"/>
                  </w14:solidFill>
                </w14:textFill>
              </w:rPr>
              <w:t xml:space="preserve">Technical background: RAN4 previously agreed that specifications only cover the known cell case for CSI-RS L1 triggered CLTM. But for SSB L1 triggered CLTM, no agreement had been reached.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overflowPunct w:val="0"/>
                    <w:autoSpaceDE w:val="0"/>
                    <w:autoSpaceDN w:val="0"/>
                    <w:adjustRightInd w:val="0"/>
                    <w:snapToGrid w:val="0"/>
                    <w:spacing w:after="120"/>
                    <w:textAlignment w:val="baseline"/>
                    <w:rPr>
                      <w:rFonts w:eastAsia="宋体"/>
                      <w:b/>
                      <w:bCs/>
                      <w:i/>
                      <w:iCs/>
                      <w:color w:val="4F81BD" w:themeColor="accent1"/>
                      <w:sz w:val="21"/>
                      <w:szCs w:val="21"/>
                      <w:u w:val="single"/>
                      <w14:textFill>
                        <w14:solidFill>
                          <w14:schemeClr w14:val="accent1"/>
                        </w14:solidFill>
                      </w14:textFill>
                    </w:rPr>
                  </w:pPr>
                  <w:r>
                    <w:rPr>
                      <w:rFonts w:eastAsia="宋体"/>
                      <w:b/>
                      <w:bCs/>
                      <w:i/>
                      <w:iCs/>
                      <w:color w:val="4F81BD" w:themeColor="accent1"/>
                      <w:sz w:val="21"/>
                      <w:szCs w:val="21"/>
                      <w:u w:val="single"/>
                      <w14:textFill>
                        <w14:solidFill>
                          <w14:schemeClr w14:val="accent1"/>
                        </w14:solidFill>
                      </w14:textFill>
                    </w:rPr>
                    <w:t>Way forward in RAN4#115</w:t>
                  </w:r>
                </w:p>
                <w:p>
                  <w:pPr>
                    <w:overflowPunct w:val="0"/>
                    <w:autoSpaceDE w:val="0"/>
                    <w:autoSpaceDN w:val="0"/>
                    <w:adjustRightInd w:val="0"/>
                    <w:snapToGrid w:val="0"/>
                    <w:spacing w:after="120"/>
                    <w:textAlignment w:val="baseline"/>
                    <w:rPr>
                      <w:rFonts w:eastAsia="宋体"/>
                      <w:color w:val="4F81BD" w:themeColor="accent1"/>
                      <w:sz w:val="21"/>
                      <w:szCs w:val="21"/>
                      <w:u w:val="single"/>
                      <w14:textFill>
                        <w14:solidFill>
                          <w14:schemeClr w14:val="accent1"/>
                        </w14:solidFill>
                      </w14:textFill>
                    </w:rPr>
                  </w:pPr>
                  <w:r>
                    <w:rPr>
                      <w:rFonts w:eastAsia="宋体"/>
                      <w:color w:val="4F81BD" w:themeColor="accent1"/>
                      <w:sz w:val="21"/>
                      <w:szCs w:val="21"/>
                      <w:u w:val="single"/>
                      <w14:textFill>
                        <w14:solidFill>
                          <w14:schemeClr w14:val="accent1"/>
                        </w14:solidFill>
                      </w14:textFill>
                    </w:rPr>
                    <w:t>For CSI-RS based L1-RSRP measurement:</w:t>
                  </w:r>
                </w:p>
                <w:p>
                  <w:pPr>
                    <w:pStyle w:val="35"/>
                    <w:numPr>
                      <w:ilvl w:val="0"/>
                      <w:numId w:val="5"/>
                    </w:numPr>
                    <w:snapToGrid w:val="0"/>
                    <w:spacing w:after="120"/>
                    <w:ind w:left="420" w:hanging="420" w:hangingChars="200"/>
                    <w:rPr>
                      <w:rFonts w:eastAsia="宋体"/>
                      <w:color w:val="4F81BD" w:themeColor="accent1"/>
                      <w:sz w:val="21"/>
                      <w:szCs w:val="21"/>
                      <w14:textFill>
                        <w14:solidFill>
                          <w14:schemeClr w14:val="accent1"/>
                        </w14:solidFill>
                      </w14:textFill>
                    </w:rPr>
                  </w:pPr>
                  <w:r>
                    <w:rPr>
                      <w:rFonts w:eastAsia="宋体"/>
                      <w:color w:val="4F81BD" w:themeColor="accent1"/>
                      <w:sz w:val="21"/>
                      <w:szCs w:val="21"/>
                      <w14:textFill>
                        <w14:solidFill>
                          <w14:schemeClr w14:val="accent1"/>
                        </w14:solidFill>
                      </w14:textFill>
                    </w:rPr>
                    <w:t>For known cell, T</w:t>
                  </w:r>
                  <w:r>
                    <w:rPr>
                      <w:rFonts w:eastAsia="宋体"/>
                      <w:color w:val="4F81BD" w:themeColor="accent1"/>
                      <w:sz w:val="21"/>
                      <w:szCs w:val="21"/>
                      <w:vertAlign w:val="subscript"/>
                      <w14:textFill>
                        <w14:solidFill>
                          <w14:schemeClr w14:val="accent1"/>
                        </w14:solidFill>
                      </w14:textFill>
                    </w:rPr>
                    <w:t>measure</w:t>
                  </w:r>
                  <w:r>
                    <w:rPr>
                      <w:rFonts w:eastAsia="宋体"/>
                      <w:color w:val="4F81BD" w:themeColor="accent1"/>
                      <w:sz w:val="21"/>
                      <w:szCs w:val="21"/>
                      <w14:textFill>
                        <w14:solidFill>
                          <w14:schemeClr w14:val="accent1"/>
                        </w14:solidFill>
                      </w14:textFill>
                    </w:rPr>
                    <w:t xml:space="preserve"> shall include the time period used to acquire the SFN information (T</w:t>
                  </w:r>
                  <w:r>
                    <w:rPr>
                      <w:rFonts w:eastAsia="宋体"/>
                      <w:color w:val="4F81BD" w:themeColor="accent1"/>
                      <w:sz w:val="21"/>
                      <w:szCs w:val="21"/>
                      <w:vertAlign w:val="subscript"/>
                      <w14:textFill>
                        <w14:solidFill>
                          <w14:schemeClr w14:val="accent1"/>
                        </w14:solidFill>
                      </w14:textFill>
                    </w:rPr>
                    <w:t>CSI-RS_SFN_intra</w:t>
                  </w:r>
                  <w:r>
                    <w:rPr>
                      <w:rFonts w:eastAsia="宋体"/>
                      <w:color w:val="4F81BD" w:themeColor="accent1"/>
                      <w:sz w:val="21"/>
                      <w:szCs w:val="21"/>
                      <w14:textFill>
                        <w14:solidFill>
                          <w14:schemeClr w14:val="accent1"/>
                        </w14:solidFill>
                      </w14:textFill>
                    </w:rPr>
                    <w:t>) and CSI-RS based L1-RSRP measurement period.</w:t>
                  </w:r>
                </w:p>
                <w:p>
                  <w:pPr>
                    <w:pStyle w:val="35"/>
                    <w:numPr>
                      <w:ilvl w:val="0"/>
                      <w:numId w:val="6"/>
                    </w:numPr>
                    <w:snapToGrid w:val="0"/>
                    <w:spacing w:after="120"/>
                    <w:ind w:left="1128" w:leftChars="367" w:hanging="357" w:firstLineChars="0"/>
                    <w:rPr>
                      <w:rFonts w:eastAsia="宋体"/>
                      <w:color w:val="4F81BD" w:themeColor="accent1"/>
                      <w:sz w:val="21"/>
                      <w:szCs w:val="21"/>
                      <w14:textFill>
                        <w14:solidFill>
                          <w14:schemeClr w14:val="accent1"/>
                        </w14:solidFill>
                      </w14:textFill>
                    </w:rPr>
                  </w:pPr>
                  <w:r>
                    <w:rPr>
                      <w:rFonts w:eastAsia="宋体"/>
                      <w:color w:val="4F81BD" w:themeColor="accent1"/>
                      <w:sz w:val="21"/>
                      <w:szCs w:val="21"/>
                      <w14:textFill>
                        <w14:solidFill>
                          <w14:schemeClr w14:val="accent1"/>
                        </w14:solidFill>
                      </w14:textFill>
                    </w:rPr>
                    <w:t>Further discuss the conditions for T</w:t>
                  </w:r>
                  <w:r>
                    <w:rPr>
                      <w:rFonts w:eastAsia="宋体"/>
                      <w:color w:val="4F81BD" w:themeColor="accent1"/>
                      <w:sz w:val="21"/>
                      <w:szCs w:val="21"/>
                      <w:vertAlign w:val="subscript"/>
                      <w14:textFill>
                        <w14:solidFill>
                          <w14:schemeClr w14:val="accent1"/>
                        </w14:solidFill>
                      </w14:textFill>
                    </w:rPr>
                    <w:t>CSI-RS_SFN_intra</w:t>
                  </w:r>
                  <w:r>
                    <w:rPr>
                      <w:rFonts w:eastAsia="宋体"/>
                      <w:color w:val="4F81BD" w:themeColor="accent1"/>
                      <w:sz w:val="21"/>
                      <w:szCs w:val="21"/>
                      <w14:textFill>
                        <w14:solidFill>
                          <w14:schemeClr w14:val="accent1"/>
                        </w14:solidFill>
                      </w14:textFill>
                    </w:rPr>
                    <w:t xml:space="preserve"> = 0.</w:t>
                  </w:r>
                </w:p>
                <w:p>
                  <w:pPr>
                    <w:pStyle w:val="35"/>
                    <w:numPr>
                      <w:ilvl w:val="0"/>
                      <w:numId w:val="6"/>
                    </w:numPr>
                    <w:snapToGrid w:val="0"/>
                    <w:spacing w:after="120"/>
                    <w:ind w:left="771" w:leftChars="367" w:firstLine="420"/>
                    <w:rPr>
                      <w:b/>
                      <w:sz w:val="21"/>
                      <w:szCs w:val="21"/>
                    </w:rPr>
                  </w:pPr>
                  <w:r>
                    <w:rPr>
                      <w:rFonts w:eastAsia="宋体"/>
                      <w:color w:val="4F81BD" w:themeColor="accent1"/>
                      <w:sz w:val="21"/>
                      <w:szCs w:val="21"/>
                      <w:highlight w:val="yellow"/>
                      <w14:textFill>
                        <w14:solidFill>
                          <w14:schemeClr w14:val="accent1"/>
                        </w14:solidFill>
                      </w14:textFill>
                    </w:rPr>
                    <w:t>Further discuss whether to include unknown cell case. If included, add one more component of T</w:t>
                  </w:r>
                  <w:r>
                    <w:rPr>
                      <w:rFonts w:eastAsia="宋体"/>
                      <w:color w:val="4F81BD" w:themeColor="accent1"/>
                      <w:sz w:val="21"/>
                      <w:szCs w:val="21"/>
                      <w:highlight w:val="yellow"/>
                      <w:vertAlign w:val="subscript"/>
                      <w14:textFill>
                        <w14:solidFill>
                          <w14:schemeClr w14:val="accent1"/>
                        </w14:solidFill>
                      </w14:textFill>
                    </w:rPr>
                    <w:t>PSS/SSS.</w:t>
                  </w:r>
                </w:p>
                <w:p>
                  <w:pPr>
                    <w:overflowPunct w:val="0"/>
                    <w:autoSpaceDE w:val="0"/>
                    <w:autoSpaceDN w:val="0"/>
                    <w:adjustRightInd w:val="0"/>
                    <w:snapToGrid w:val="0"/>
                    <w:spacing w:after="120"/>
                    <w:textAlignment w:val="baseline"/>
                    <w:rPr>
                      <w:rFonts w:eastAsia="宋体"/>
                      <w:b/>
                      <w:bCs/>
                      <w:i/>
                      <w:iCs/>
                      <w:color w:val="4F81BD" w:themeColor="accent1"/>
                      <w:sz w:val="21"/>
                      <w:szCs w:val="21"/>
                      <w:u w:val="single"/>
                      <w14:textFill>
                        <w14:solidFill>
                          <w14:schemeClr w14:val="accent1"/>
                        </w14:solidFill>
                      </w14:textFill>
                    </w:rPr>
                  </w:pPr>
                </w:p>
                <w:p>
                  <w:pPr>
                    <w:overflowPunct w:val="0"/>
                    <w:autoSpaceDE w:val="0"/>
                    <w:autoSpaceDN w:val="0"/>
                    <w:adjustRightInd w:val="0"/>
                    <w:snapToGrid w:val="0"/>
                    <w:spacing w:after="120"/>
                    <w:textAlignment w:val="baseline"/>
                    <w:rPr>
                      <w:rFonts w:eastAsia="宋体"/>
                      <w:i/>
                      <w:iCs/>
                      <w:color w:val="4F81BD" w:themeColor="accent1"/>
                      <w:sz w:val="21"/>
                      <w:szCs w:val="21"/>
                      <w:u w:val="single"/>
                      <w14:textFill>
                        <w14:solidFill>
                          <w14:schemeClr w14:val="accent1"/>
                        </w14:solidFill>
                      </w14:textFill>
                    </w:rPr>
                  </w:pPr>
                  <w:r>
                    <w:rPr>
                      <w:rFonts w:eastAsia="宋体"/>
                      <w:i/>
                      <w:iCs/>
                      <w:color w:val="4F81BD" w:themeColor="accent1"/>
                      <w:sz w:val="21"/>
                      <w:szCs w:val="21"/>
                      <w:u w:val="single"/>
                      <w14:textFill>
                        <w14:solidFill>
                          <w14:schemeClr w14:val="accent1"/>
                        </w14:solidFill>
                      </w14:textFill>
                    </w:rPr>
                    <w:t>Agreement in RAN4#116</w:t>
                  </w:r>
                </w:p>
                <w:p>
                  <w:pPr>
                    <w:overflowPunct w:val="0"/>
                    <w:autoSpaceDE w:val="0"/>
                    <w:autoSpaceDN w:val="0"/>
                    <w:adjustRightInd w:val="0"/>
                    <w:snapToGrid w:val="0"/>
                    <w:spacing w:after="120"/>
                    <w:textAlignment w:val="baseline"/>
                    <w:rPr>
                      <w:rFonts w:eastAsia="Yu Mincho"/>
                      <w:color w:val="4F81BD" w:themeColor="accent1"/>
                      <w:sz w:val="21"/>
                      <w:szCs w:val="21"/>
                      <w14:textFill>
                        <w14:solidFill>
                          <w14:schemeClr w14:val="accent1"/>
                        </w14:solidFill>
                      </w14:textFill>
                    </w:rPr>
                  </w:pPr>
                  <w:r>
                    <w:rPr>
                      <w:rFonts w:eastAsia="Yu Mincho"/>
                      <w:color w:val="4F81BD" w:themeColor="accent1"/>
                      <w:sz w:val="21"/>
                      <w:szCs w:val="21"/>
                      <w:u w:val="single"/>
                      <w14:textFill>
                        <w14:solidFill>
                          <w14:schemeClr w14:val="accent1"/>
                        </w14:solidFill>
                      </w14:textFill>
                    </w:rPr>
                    <w:t>Issue 1-1-4: Whether to include unknown cell case</w:t>
                  </w:r>
                </w:p>
                <w:p>
                  <w:pPr>
                    <w:overflowPunct w:val="0"/>
                    <w:autoSpaceDE w:val="0"/>
                    <w:autoSpaceDN w:val="0"/>
                    <w:adjustRightInd w:val="0"/>
                    <w:snapToGrid w:val="0"/>
                    <w:spacing w:after="120"/>
                    <w:textAlignment w:val="baseline"/>
                    <w:rPr>
                      <w:rFonts w:eastAsia="Yu Mincho"/>
                      <w:color w:val="4F81BD" w:themeColor="accent1"/>
                      <w:sz w:val="21"/>
                      <w:szCs w:val="21"/>
                      <w14:textFill>
                        <w14:solidFill>
                          <w14:schemeClr w14:val="accent1"/>
                        </w14:solidFill>
                      </w14:textFill>
                    </w:rPr>
                  </w:pPr>
                  <w:r>
                    <w:rPr>
                      <w:rFonts w:eastAsia="Yu Mincho"/>
                      <w:color w:val="4F81BD" w:themeColor="accent1"/>
                      <w:sz w:val="21"/>
                      <w:szCs w:val="21"/>
                      <w14:textFill>
                        <w14:solidFill>
                          <w14:schemeClr w14:val="accent1"/>
                        </w14:solidFill>
                      </w14:textFill>
                    </w:rPr>
                    <w:t>&lt; Agreement &gt;</w:t>
                  </w:r>
                </w:p>
                <w:p>
                  <w:pPr>
                    <w:numPr>
                      <w:ilvl w:val="0"/>
                      <w:numId w:val="7"/>
                    </w:numPr>
                    <w:overflowPunct w:val="0"/>
                    <w:autoSpaceDE w:val="0"/>
                    <w:autoSpaceDN w:val="0"/>
                    <w:adjustRightInd w:val="0"/>
                    <w:snapToGrid w:val="0"/>
                    <w:spacing w:after="120"/>
                    <w:textAlignment w:val="baseline"/>
                    <w:rPr>
                      <w:rFonts w:eastAsia="Yu Mincho"/>
                      <w:b/>
                      <w:sz w:val="21"/>
                      <w:szCs w:val="21"/>
                    </w:rPr>
                  </w:pPr>
                  <w:r>
                    <w:rPr>
                      <w:rFonts w:eastAsia="Yu Mincho"/>
                      <w:color w:val="4F81BD" w:themeColor="accent1"/>
                      <w:sz w:val="21"/>
                      <w:szCs w:val="21"/>
                      <w14:textFill>
                        <w14:solidFill>
                          <w14:schemeClr w14:val="accent1"/>
                        </w14:solidFill>
                      </w14:textFill>
                    </w:rPr>
                    <w:t>Only cover the known cell case.</w:t>
                  </w:r>
                </w:p>
              </w:tc>
            </w:tr>
          </w:tbl>
          <w:p>
            <w:pPr>
              <w:rPr>
                <w:i/>
                <w:iCs/>
                <w:color w:val="4F81BD" w:themeColor="accent1"/>
                <w14:textFill>
                  <w14:solidFill>
                    <w14:schemeClr w14:val="accent1"/>
                  </w14:solidFill>
                </w14:textFill>
              </w:rPr>
            </w:pPr>
          </w:p>
          <w:p>
            <w:pPr>
              <w:rPr>
                <w:i/>
                <w:iCs/>
                <w:color w:val="4F81BD" w:themeColor="accent1"/>
                <w14:textFill>
                  <w14:solidFill>
                    <w14:schemeClr w14:val="accent1"/>
                  </w14:solidFill>
                </w14:textFill>
              </w:rPr>
            </w:pPr>
            <w:r>
              <w:rPr>
                <w:i/>
                <w:iCs/>
                <w:color w:val="4F81BD" w:themeColor="accent1"/>
                <w14:textFill>
                  <w14:solidFill>
                    <w14:schemeClr w14:val="accent1"/>
                  </w14:solidFill>
                </w14:textFill>
              </w:rPr>
              <w:t xml:space="preserve">Moderator comment: The following is included in the CR: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ind w:left="284" w:hanging="284"/>
                    <w:textAlignment w:val="baseline"/>
                    <w:rPr>
                      <w:rFonts w:eastAsia="Yu Mincho"/>
                      <w:color w:val="4F81BD" w:themeColor="accent1"/>
                      <w:lang w:eastAsia="en-GB"/>
                      <w14:textFill>
                        <w14:solidFill>
                          <w14:schemeClr w14:val="accent1"/>
                        </w14:solidFill>
                      </w14:textFill>
                    </w:rPr>
                  </w:pPr>
                  <w:r>
                    <w:rPr>
                      <w:rFonts w:eastAsia="Yu Mincho"/>
                      <w:color w:val="4F81BD" w:themeColor="accent1"/>
                      <w14:textFill>
                        <w14:solidFill>
                          <w14:schemeClr w14:val="accent1"/>
                        </w14:solidFill>
                      </w14:textFill>
                    </w:rPr>
                    <w:t xml:space="preserve">1&gt; If SSB based L1-RSRP measurement is used in the event, </w:t>
                  </w:r>
                  <w:r>
                    <w:rPr>
                      <w:rFonts w:eastAsia="Yu Mincho"/>
                      <w:bCs/>
                      <w:color w:val="4F81BD" w:themeColor="accent1"/>
                      <w14:textFill>
                        <w14:solidFill>
                          <w14:schemeClr w14:val="accent1"/>
                        </w14:solidFill>
                      </w14:textFill>
                    </w:rPr>
                    <w:t>T</w:t>
                  </w:r>
                  <w:r>
                    <w:rPr>
                      <w:rFonts w:eastAsia="Yu Mincho"/>
                      <w:bCs/>
                      <w:color w:val="4F81BD" w:themeColor="accent1"/>
                      <w:vertAlign w:val="subscript"/>
                      <w14:textFill>
                        <w14:solidFill>
                          <w14:schemeClr w14:val="accent1"/>
                        </w14:solidFill>
                      </w14:textFill>
                    </w:rPr>
                    <w:t>measure</w:t>
                  </w:r>
                  <w:r>
                    <w:rPr>
                      <w:rFonts w:eastAsia="Yu Mincho"/>
                      <w:color w:val="4F81BD" w:themeColor="accent1"/>
                      <w14:textFill>
                        <w14:solidFill>
                          <w14:schemeClr w14:val="accent1"/>
                        </w14:solidFill>
                      </w14:textFill>
                    </w:rPr>
                    <w:t xml:space="preserve"> shall be no larger than the maximum of L1-RSRP measurement periods of the serving cell and target cell.</w:t>
                  </w:r>
                </w:p>
                <w:p>
                  <w:pPr>
                    <w:overflowPunct w:val="0"/>
                    <w:autoSpaceDE w:val="0"/>
                    <w:autoSpaceDN w:val="0"/>
                    <w:adjustRightInd w:val="0"/>
                    <w:ind w:left="568" w:hanging="284"/>
                    <w:textAlignment w:val="baseline"/>
                    <w:rPr>
                      <w:rFonts w:eastAsia="Malgun Gothic"/>
                      <w:color w:val="4F81BD" w:themeColor="accent1"/>
                      <w14:textFill>
                        <w14:solidFill>
                          <w14:schemeClr w14:val="accent1"/>
                        </w14:solidFill>
                      </w14:textFill>
                    </w:rPr>
                  </w:pPr>
                  <w:r>
                    <w:rPr>
                      <w:rFonts w:eastAsia="Yu Mincho"/>
                      <w:color w:val="4F81BD" w:themeColor="accent1"/>
                      <w14:textFill>
                        <w14:solidFill>
                          <w14:schemeClr w14:val="accent1"/>
                        </w14:solidFill>
                      </w14:textFill>
                    </w:rPr>
                    <w:t>2&gt; serving cell measurement period T</w:t>
                  </w:r>
                  <w:r>
                    <w:rPr>
                      <w:rFonts w:eastAsia="Yu Mincho"/>
                      <w:color w:val="4F81BD" w:themeColor="accent1"/>
                      <w:vertAlign w:val="subscript"/>
                      <w14:textFill>
                        <w14:solidFill>
                          <w14:schemeClr w14:val="accent1"/>
                        </w14:solidFill>
                      </w14:textFill>
                    </w:rPr>
                    <w:t>L1-RSRP_Measurement_Period_SSB</w:t>
                  </w:r>
                  <w:r>
                    <w:rPr>
                      <w:rFonts w:eastAsia="Yu Mincho"/>
                      <w:color w:val="4F81BD" w:themeColor="accent1"/>
                      <w14:textFill>
                        <w14:solidFill>
                          <w14:schemeClr w14:val="accent1"/>
                        </w14:solidFill>
                      </w14:textFill>
                    </w:rPr>
                    <w:t xml:space="preserve"> is defined in clause 9.5.4.1 assuming T</w:t>
                  </w:r>
                  <w:r>
                    <w:rPr>
                      <w:rFonts w:eastAsia="Yu Mincho"/>
                      <w:color w:val="4F81BD" w:themeColor="accent1"/>
                      <w:vertAlign w:val="subscript"/>
                      <w14:textFill>
                        <w14:solidFill>
                          <w14:schemeClr w14:val="accent1"/>
                        </w14:solidFill>
                      </w14:textFill>
                    </w:rPr>
                    <w:t>Report</w:t>
                  </w:r>
                  <w:r>
                    <w:rPr>
                      <w:rFonts w:eastAsia="Yu Mincho"/>
                      <w:color w:val="4F81BD" w:themeColor="accent1"/>
                      <w14:textFill>
                        <w14:solidFill>
                          <w14:schemeClr w14:val="accent1"/>
                        </w14:solidFill>
                      </w14:textFill>
                    </w:rPr>
                    <w:t xml:space="preserve"> = 0, and</w:t>
                  </w:r>
                </w:p>
                <w:p>
                  <w:pPr>
                    <w:overflowPunct w:val="0"/>
                    <w:autoSpaceDE w:val="0"/>
                    <w:autoSpaceDN w:val="0"/>
                    <w:adjustRightInd w:val="0"/>
                    <w:ind w:left="568" w:hanging="284"/>
                    <w:textAlignment w:val="baseline"/>
                    <w:rPr>
                      <w:rFonts w:eastAsia="Malgun Gothic"/>
                      <w:color w:val="4F81BD" w:themeColor="accent1"/>
                      <w:lang w:eastAsia="en-GB"/>
                      <w14:textFill>
                        <w14:solidFill>
                          <w14:schemeClr w14:val="accent1"/>
                        </w14:solidFill>
                      </w14:textFill>
                    </w:rPr>
                  </w:pPr>
                  <w:r>
                    <w:rPr>
                      <w:rFonts w:eastAsia="Yu Mincho"/>
                      <w:color w:val="4F81BD" w:themeColor="accent1"/>
                      <w14:textFill>
                        <w14:solidFill>
                          <w14:schemeClr w14:val="accent1"/>
                        </w14:solidFill>
                      </w14:textFill>
                    </w:rPr>
                    <w:t>2&gt;</w:t>
                  </w:r>
                  <w:r>
                    <w:rPr>
                      <w:rFonts w:eastAsia="Malgun Gothic"/>
                      <w:color w:val="4F81BD" w:themeColor="accent1"/>
                      <w:lang w:eastAsia="en-GB"/>
                      <w14:textFill>
                        <w14:solidFill>
                          <w14:schemeClr w14:val="accent1"/>
                        </w14:solidFill>
                      </w14:textFill>
                    </w:rPr>
                    <w:t xml:space="preserve"> if the target cell is an int</w:t>
                  </w:r>
                  <w:r>
                    <w:rPr>
                      <w:rFonts w:eastAsia="Yu Mincho"/>
                      <w:color w:val="4F81BD" w:themeColor="accent1"/>
                      <w14:textFill>
                        <w14:solidFill>
                          <w14:schemeClr w14:val="accent1"/>
                        </w14:solidFill>
                      </w14:textFill>
                    </w:rPr>
                    <w:t>ra</w:t>
                  </w:r>
                  <w:r>
                    <w:rPr>
                      <w:rFonts w:eastAsia="Malgun Gothic"/>
                      <w:color w:val="4F81BD" w:themeColor="accent1"/>
                      <w:lang w:eastAsia="en-GB"/>
                      <w14:textFill>
                        <w14:solidFill>
                          <w14:schemeClr w14:val="accent1"/>
                        </w14:solidFill>
                      </w14:textFill>
                    </w:rPr>
                    <w:t>-frequency cell:</w:t>
                  </w:r>
                </w:p>
                <w:p>
                  <w:pPr>
                    <w:overflowPunct w:val="0"/>
                    <w:autoSpaceDE w:val="0"/>
                    <w:autoSpaceDN w:val="0"/>
                    <w:adjustRightInd w:val="0"/>
                    <w:ind w:left="851" w:hanging="284"/>
                    <w:textAlignment w:val="baseline"/>
                    <w:rPr>
                      <w:rFonts w:eastAsia="Yu Mincho"/>
                    </w:rPr>
                  </w:pPr>
                  <w:r>
                    <w:rPr>
                      <w:rFonts w:eastAsia="Yu Mincho"/>
                      <w:color w:val="4F81BD" w:themeColor="accent1"/>
                      <w14:textFill>
                        <w14:solidFill>
                          <w14:schemeClr w14:val="accent1"/>
                        </w14:solidFill>
                      </w14:textFill>
                    </w:rPr>
                    <w:t xml:space="preserve">3&gt; </w:t>
                  </w:r>
                  <w:bookmarkStart w:id="3" w:name="_Hlk210733562"/>
                  <w:r>
                    <w:rPr>
                      <w:rFonts w:eastAsia="Yu Mincho"/>
                      <w:color w:val="4F81BD" w:themeColor="accent1"/>
                      <w14:textFill>
                        <w14:solidFill>
                          <w14:schemeClr w14:val="accent1"/>
                        </w14:solidFill>
                      </w14:textFill>
                    </w:rPr>
                    <w:t>target cell measurement period is</w:t>
                  </w:r>
                  <w:r>
                    <w:rPr>
                      <w:rFonts w:eastAsia="Yu Mincho"/>
                      <w:color w:val="4F81BD" w:themeColor="accent1"/>
                      <w:lang w:eastAsia="en-GB"/>
                      <w14:textFill>
                        <w14:solidFill>
                          <w14:schemeClr w14:val="accent1"/>
                        </w14:solidFill>
                      </w14:textFill>
                    </w:rPr>
                    <w:t xml:space="preserve"> </w:t>
                  </w:r>
                  <w:r>
                    <w:rPr>
                      <w:rFonts w:eastAsia="Yu Mincho"/>
                      <w:color w:val="4F81BD" w:themeColor="accent1"/>
                      <w:highlight w:val="yellow"/>
                      <w:lang w:eastAsia="en-GB"/>
                      <w14:textFill>
                        <w14:solidFill>
                          <w14:schemeClr w14:val="accent1"/>
                        </w14:solidFill>
                      </w14:textFill>
                    </w:rPr>
                    <w:t>T</w:t>
                  </w:r>
                  <w:r>
                    <w:rPr>
                      <w:rFonts w:eastAsia="Yu Mincho"/>
                      <w:color w:val="4F81BD" w:themeColor="accent1"/>
                      <w:highlight w:val="yellow"/>
                      <w:vertAlign w:val="subscript"/>
                      <w:lang w:eastAsia="en-GB"/>
                      <w14:textFill>
                        <w14:solidFill>
                          <w14:schemeClr w14:val="accent1"/>
                        </w14:solidFill>
                      </w14:textFill>
                    </w:rPr>
                    <w:t>PSS/SSS_sync_intra</w:t>
                  </w:r>
                  <w:r>
                    <w:rPr>
                      <w:rFonts w:eastAsia="Yu Mincho"/>
                      <w:color w:val="4F81BD" w:themeColor="accent1"/>
                      <w:highlight w:val="yellow"/>
                      <w:lang w:eastAsia="en-GB"/>
                      <w14:textFill>
                        <w14:solidFill>
                          <w14:schemeClr w14:val="accent1"/>
                        </w14:solidFill>
                      </w14:textFill>
                    </w:rPr>
                    <w:t xml:space="preserve"> + T</w:t>
                  </w:r>
                  <w:r>
                    <w:rPr>
                      <w:rFonts w:eastAsia="Yu Mincho"/>
                      <w:color w:val="4F81BD" w:themeColor="accent1"/>
                      <w:highlight w:val="yellow"/>
                      <w:vertAlign w:val="subscript"/>
                      <w14:textFill>
                        <w14:solidFill>
                          <w14:schemeClr w14:val="accent1"/>
                        </w14:solidFill>
                      </w14:textFill>
                    </w:rPr>
                    <w:t>SSB_measurement_period_intra</w:t>
                  </w:r>
                  <w:r>
                    <w:rPr>
                      <w:rFonts w:eastAsia="Yu Mincho"/>
                      <w:color w:val="4F81BD" w:themeColor="accent1"/>
                      <w:vertAlign w:val="subscript"/>
                      <w14:textFill>
                        <w14:solidFill>
                          <w14:schemeClr w14:val="accent1"/>
                        </w14:solidFill>
                      </w14:textFill>
                    </w:rPr>
                    <w:t xml:space="preserve"> </w:t>
                  </w:r>
                  <w:r>
                    <w:rPr>
                      <w:rFonts w:eastAsia="Yu Mincho"/>
                      <w:color w:val="4F81BD" w:themeColor="accent1"/>
                      <w14:textFill>
                        <w14:solidFill>
                          <w14:schemeClr w14:val="accent1"/>
                        </w14:solidFill>
                      </w14:textFill>
                    </w:rPr>
                    <w:t xml:space="preserve">+ </w:t>
                  </w:r>
                  <w:r>
                    <w:rPr>
                      <w:rFonts w:eastAsia="Malgun Gothic"/>
                      <w:color w:val="4F81BD" w:themeColor="accent1"/>
                      <w:lang w:eastAsia="en-GB"/>
                      <w14:textFill>
                        <w14:solidFill>
                          <w14:schemeClr w14:val="accent1"/>
                        </w14:solidFill>
                      </w14:textFill>
                    </w:rPr>
                    <w:t>T</w:t>
                  </w:r>
                  <w:r>
                    <w:rPr>
                      <w:rFonts w:eastAsia="Malgun Gothic"/>
                      <w:color w:val="4F81BD" w:themeColor="accent1"/>
                      <w:vertAlign w:val="subscript"/>
                      <w:lang w:eastAsia="en-GB"/>
                      <w14:textFill>
                        <w14:solidFill>
                          <w14:schemeClr w14:val="accent1"/>
                        </w14:solidFill>
                      </w14:textFill>
                    </w:rPr>
                    <w:t>L1-RSRP_Measurement_Period_SSB_int</w:t>
                  </w:r>
                  <w:r>
                    <w:rPr>
                      <w:rFonts w:eastAsia="Yu Mincho"/>
                      <w:color w:val="4F81BD" w:themeColor="accent1"/>
                      <w:vertAlign w:val="subscript"/>
                      <w14:textFill>
                        <w14:solidFill>
                          <w14:schemeClr w14:val="accent1"/>
                        </w14:solidFill>
                      </w14:textFill>
                    </w:rPr>
                    <w:t>ra</w:t>
                  </w:r>
                  <w:r>
                    <w:rPr>
                      <w:rFonts w:eastAsia="Yu Mincho"/>
                      <w:color w:val="4F81BD" w:themeColor="accent1"/>
                      <w14:textFill>
                        <w14:solidFill>
                          <w14:schemeClr w14:val="accent1"/>
                        </w14:solidFill>
                      </w14:textFill>
                    </w:rPr>
                    <w:t xml:space="preserve"> </w:t>
                  </w:r>
                  <w:bookmarkEnd w:id="3"/>
                  <w:r>
                    <w:rPr>
                      <w:rFonts w:eastAsia="Yu Mincho"/>
                      <w:color w:val="4F81BD" w:themeColor="accent1"/>
                      <w14:textFill>
                        <w14:solidFill>
                          <w14:schemeClr w14:val="accent1"/>
                        </w14:solidFill>
                      </w14:textFill>
                    </w:rPr>
                    <w:t xml:space="preserve">as </w:t>
                  </w:r>
                  <w:r>
                    <w:rPr>
                      <w:rFonts w:eastAsia="Malgun Gothic"/>
                      <w:color w:val="4F81BD" w:themeColor="accent1"/>
                      <w:lang w:eastAsia="en-GB"/>
                      <w14:textFill>
                        <w14:solidFill>
                          <w14:schemeClr w14:val="accent1"/>
                        </w14:solidFill>
                      </w14:textFill>
                    </w:rPr>
                    <w:t>defined in</w:t>
                  </w:r>
                  <w:r>
                    <w:rPr>
                      <w:rFonts w:eastAsia="Yu Mincho"/>
                      <w:color w:val="4F81BD" w:themeColor="accent1"/>
                      <w14:textFill>
                        <w14:solidFill>
                          <w14:schemeClr w14:val="accent1"/>
                        </w14:solidFill>
                      </w14:textFill>
                    </w:rPr>
                    <w:t xml:space="preserve"> clause 9.2.5.1 and</w:t>
                  </w:r>
                  <w:r>
                    <w:rPr>
                      <w:rFonts w:eastAsia="Malgun Gothic"/>
                      <w:color w:val="4F81BD" w:themeColor="accent1"/>
                      <w:lang w:eastAsia="en-GB"/>
                      <w14:textFill>
                        <w14:solidFill>
                          <w14:schemeClr w14:val="accent1"/>
                        </w14:solidFill>
                      </w14:textFill>
                    </w:rPr>
                    <w:t xml:space="preserve"> clause 9.1</w:t>
                  </w:r>
                  <w:r>
                    <w:rPr>
                      <w:rFonts w:eastAsia="Yu Mincho"/>
                      <w:color w:val="4F81BD" w:themeColor="accent1"/>
                      <w14:textFill>
                        <w14:solidFill>
                          <w14:schemeClr w14:val="accent1"/>
                        </w14:solidFill>
                      </w14:textFill>
                    </w:rPr>
                    <w:t>4</w:t>
                  </w:r>
                  <w:r>
                    <w:rPr>
                      <w:rFonts w:eastAsia="Malgun Gothic"/>
                      <w:color w:val="4F81BD" w:themeColor="accent1"/>
                      <w:lang w:eastAsia="en-GB"/>
                      <w14:textFill>
                        <w14:solidFill>
                          <w14:schemeClr w14:val="accent1"/>
                        </w14:solidFill>
                      </w14:textFill>
                    </w:rPr>
                    <w:t>.5</w:t>
                  </w:r>
                  <w:r>
                    <w:rPr>
                      <w:rFonts w:eastAsia="Yu Mincho"/>
                      <w:color w:val="4F81BD" w:themeColor="accent1"/>
                      <w14:textFill>
                        <w14:solidFill>
                          <w14:schemeClr w14:val="accent1"/>
                        </w14:solidFill>
                      </w14:textFill>
                    </w:rPr>
                    <w:t xml:space="preserve">.1 </w:t>
                  </w:r>
                  <w:r>
                    <w:rPr>
                      <w:rFonts w:eastAsia="Malgun Gothic"/>
                      <w:color w:val="4F81BD" w:themeColor="accent1"/>
                      <w:lang w:eastAsia="en-GB"/>
                      <w14:textFill>
                        <w14:solidFill>
                          <w14:schemeClr w14:val="accent1"/>
                        </w14:solidFill>
                      </w14:textFill>
                    </w:rPr>
                    <w:t>assuming T</w:t>
                  </w:r>
                  <w:r>
                    <w:rPr>
                      <w:rFonts w:eastAsia="Malgun Gothic"/>
                      <w:color w:val="4F81BD" w:themeColor="accent1"/>
                      <w:vertAlign w:val="subscript"/>
                      <w:lang w:eastAsia="en-GB"/>
                      <w14:textFill>
                        <w14:solidFill>
                          <w14:schemeClr w14:val="accent1"/>
                        </w14:solidFill>
                      </w14:textFill>
                    </w:rPr>
                    <w:t>Report</w:t>
                  </w:r>
                  <w:r>
                    <w:rPr>
                      <w:rFonts w:eastAsia="Malgun Gothic"/>
                      <w:color w:val="4F81BD" w:themeColor="accent1"/>
                      <w:lang w:eastAsia="en-GB"/>
                      <w14:textFill>
                        <w14:solidFill>
                          <w14:schemeClr w14:val="accent1"/>
                        </w14:solidFill>
                      </w14:textFill>
                    </w:rPr>
                    <w:t xml:space="preserve"> = 0, if </w:t>
                  </w:r>
                  <w:r>
                    <w:rPr>
                      <w:rFonts w:eastAsia="Malgun Gothic"/>
                      <w:i/>
                      <w:iCs/>
                      <w:color w:val="4F81BD" w:themeColor="accent1"/>
                      <w:lang w:eastAsia="en-GB"/>
                      <w14:textFill>
                        <w14:solidFill>
                          <w14:schemeClr w14:val="accent1"/>
                        </w14:solidFill>
                      </w14:textFill>
                    </w:rPr>
                    <w:t>deriveSSB-IndexFromCell</w:t>
                  </w:r>
                  <w:r>
                    <w:rPr>
                      <w:rFonts w:eastAsia="Malgun Gothic"/>
                      <w:color w:val="4F81BD" w:themeColor="accent1"/>
                      <w:lang w:eastAsia="en-GB"/>
                      <w14:textFill>
                        <w14:solidFill>
                          <w14:schemeClr w14:val="accent1"/>
                        </w14:solidFill>
                      </w14:textFill>
                    </w:rPr>
                    <w:t xml:space="preserve"> is enabled or UE has reported SSB index in L3 measurement report of the same cell, or </w:t>
                  </w:r>
                </w:p>
              </w:tc>
            </w:tr>
          </w:tbl>
          <w:p>
            <w:pPr>
              <w:rPr>
                <w:i/>
                <w:iCs/>
                <w:color w:val="4F81BD" w:themeColor="accent1"/>
                <w14:textFill>
                  <w14:solidFill>
                    <w14:schemeClr w14:val="accent1"/>
                  </w14:solidFill>
                </w14:textFill>
              </w:rPr>
            </w:pPr>
          </w:p>
          <w:p>
            <w:pPr>
              <w:rPr>
                <w:color w:val="4F81BD" w:themeColor="accent1"/>
                <w14:textFill>
                  <w14:solidFill>
                    <w14:schemeClr w14:val="accent1"/>
                  </w14:solidFill>
                </w14:textFill>
              </w:rPr>
            </w:pPr>
            <w:r>
              <w:rPr>
                <w:color w:val="4F81BD" w:themeColor="accent1"/>
                <w14:textFill>
                  <w14:solidFill>
                    <w14:schemeClr w14:val="accent1"/>
                  </w14:solidFill>
                </w14:textFill>
              </w:rPr>
              <w:t xml:space="preserve">Proposals: </w:t>
            </w:r>
          </w:p>
          <w:p>
            <w:pPr>
              <w:pStyle w:val="35"/>
              <w:numPr>
                <w:ilvl w:val="0"/>
                <w:numId w:val="8"/>
              </w:numPr>
              <w:ind w:firstLineChars="0"/>
              <w:rPr>
                <w:rFonts w:asciiTheme="minorHAnsi" w:hAnsiTheme="minorHAnsi" w:cstheme="minorHAnsi"/>
              </w:rPr>
            </w:pPr>
            <w:r>
              <w:rPr>
                <w:rFonts w:eastAsia="Times New Roman" w:asciiTheme="minorHAnsi" w:hAnsiTheme="minorHAnsi" w:cstheme="minorHAnsi"/>
              </w:rPr>
              <w:t>Proposal 1 (CTC): Discuss whether to include unknown cell case on SSB triggered CLTM, i.e., whether T</w:t>
            </w:r>
            <w:r>
              <w:rPr>
                <w:rFonts w:eastAsia="Times New Roman" w:asciiTheme="minorHAnsi" w:hAnsiTheme="minorHAnsi" w:cstheme="minorHAnsi"/>
                <w:vertAlign w:val="subscript"/>
              </w:rPr>
              <w:t>PSS/SSS_sync_intra</w:t>
            </w:r>
            <w:r>
              <w:rPr>
                <w:rFonts w:eastAsia="Times New Roman" w:asciiTheme="minorHAnsi" w:hAnsiTheme="minorHAnsi" w:cstheme="minorHAnsi"/>
              </w:rPr>
              <w:t xml:space="preserve"> + T</w:t>
            </w:r>
            <w:r>
              <w:rPr>
                <w:rFonts w:eastAsia="Times New Roman" w:asciiTheme="minorHAnsi" w:hAnsiTheme="minorHAnsi" w:cstheme="minorHAnsi"/>
                <w:vertAlign w:val="subscript"/>
              </w:rPr>
              <w:t>SSB_measurement_period_intra</w:t>
            </w:r>
            <w:r>
              <w:rPr>
                <w:rFonts w:eastAsia="Times New Roman" w:asciiTheme="minorHAnsi" w:hAnsiTheme="minorHAnsi" w:cstheme="minorHAnsi"/>
              </w:rPr>
              <w:t xml:space="preserve"> are needed. If so, the conditions that T</w:t>
            </w:r>
            <w:r>
              <w:rPr>
                <w:rFonts w:eastAsia="Times New Roman" w:asciiTheme="minorHAnsi" w:hAnsiTheme="minorHAnsi" w:cstheme="minorHAnsi"/>
                <w:vertAlign w:val="subscript"/>
              </w:rPr>
              <w:t>SSB_time_index_inter</w:t>
            </w:r>
            <w:r>
              <w:rPr>
                <w:rFonts w:eastAsia="Times New Roman" w:asciiTheme="minorHAnsi" w:hAnsiTheme="minorHAnsi" w:cstheme="minorHAnsi"/>
              </w:rPr>
              <w:t xml:space="preserve"> = 0 maybe need to be updated.</w:t>
            </w:r>
          </w:p>
          <w:p>
            <w:pPr>
              <w:pStyle w:val="97"/>
              <w:numPr>
                <w:ilvl w:val="0"/>
                <w:numId w:val="8"/>
              </w:numPr>
              <w:tabs>
                <w:tab w:val="left" w:pos="720"/>
              </w:tabs>
              <w:rPr>
                <w:rFonts w:eastAsia="Times New Roman" w:asciiTheme="minorHAnsi" w:hAnsiTheme="minorHAnsi" w:cstheme="minorHAnsi"/>
                <w:b w:val="0"/>
                <w:szCs w:val="20"/>
              </w:rPr>
            </w:pPr>
            <w:bookmarkStart w:id="4" w:name="_Toc210406187"/>
            <w:r>
              <w:rPr>
                <w:rFonts w:eastAsia="Times New Roman" w:asciiTheme="minorHAnsi" w:hAnsiTheme="minorHAnsi" w:cstheme="minorHAnsi"/>
                <w:b w:val="0"/>
                <w:iCs w:val="0"/>
                <w:szCs w:val="20"/>
              </w:rPr>
              <w:t>Proposal 2 (Nokia): RAN4 to distinguish between known and unknown target cell cases in the CLTM measurement time requirements (section 6.3.2.2.1) when an SSB-based L1-RSRP measurement is used in the event.</w:t>
            </w:r>
            <w:bookmarkEnd w:id="4"/>
          </w:p>
          <w:p>
            <w:pPr>
              <w:rPr>
                <w:color w:val="4F81BD" w:themeColor="accent1"/>
                <w14:textFill>
                  <w14:solidFill>
                    <w14:schemeClr w14:val="accent1"/>
                  </w14:solidFill>
                </w14:textFill>
              </w:rPr>
            </w:pPr>
            <w:r>
              <w:rPr>
                <w:color w:val="4F81BD" w:themeColor="accent1"/>
                <w14:textFill>
                  <w14:solidFill>
                    <w14:schemeClr w14:val="accent1"/>
                  </w14:solidFill>
                </w14:textFill>
              </w:rPr>
              <w:t>Recommended WF:</w:t>
            </w:r>
          </w:p>
          <w:p>
            <w:pPr>
              <w:rPr>
                <w:color w:val="4F81BD" w:themeColor="accent1"/>
                <w14:textFill>
                  <w14:solidFill>
                    <w14:schemeClr w14:val="accent1"/>
                  </w14:solidFill>
                </w14:textFill>
              </w:rPr>
            </w:pPr>
            <w:r>
              <w:rPr>
                <w:color w:val="4F81BD" w:themeColor="accent1"/>
                <w14:textFill>
                  <w14:solidFill>
                    <w14:schemeClr w14:val="accent1"/>
                  </w14:solidFill>
                </w14:textFill>
              </w:rPr>
              <w:t xml:space="preserve">Discuss the following: </w:t>
            </w:r>
          </w:p>
          <w:p>
            <w:pPr>
              <w:pStyle w:val="35"/>
              <w:numPr>
                <w:ilvl w:val="0"/>
                <w:numId w:val="8"/>
              </w:numPr>
              <w:ind w:firstLineChars="0"/>
              <w:rPr>
                <w:color w:val="4F81BD" w:themeColor="accent1"/>
                <w14:textFill>
                  <w14:solidFill>
                    <w14:schemeClr w14:val="accent1"/>
                  </w14:solidFill>
                </w14:textFill>
              </w:rPr>
            </w:pPr>
            <w:r>
              <w:rPr>
                <w:color w:val="4F81BD" w:themeColor="accent1"/>
                <w14:textFill>
                  <w14:solidFill>
                    <w14:schemeClr w14:val="accent1"/>
                  </w14:solidFill>
                </w14:textFill>
              </w:rPr>
              <w:t xml:space="preserve">For SSB based L1-RSRP measurement used with CLTM. Discuss and confirm which scenario is supported: </w:t>
            </w:r>
          </w:p>
          <w:p>
            <w:pPr>
              <w:pStyle w:val="35"/>
              <w:numPr>
                <w:ilvl w:val="1"/>
                <w:numId w:val="8"/>
              </w:numPr>
              <w:ind w:firstLineChars="0"/>
              <w:rPr>
                <w:color w:val="4F81BD" w:themeColor="accent1"/>
                <w14:textFill>
                  <w14:solidFill>
                    <w14:schemeClr w14:val="accent1"/>
                  </w14:solidFill>
                </w14:textFill>
              </w:rPr>
            </w:pPr>
            <w:r>
              <w:rPr>
                <w:color w:val="4F81BD" w:themeColor="accent1"/>
                <w14:textFill>
                  <w14:solidFill>
                    <w14:schemeClr w14:val="accent1"/>
                  </w14:solidFill>
                </w14:textFill>
              </w:rPr>
              <w:t>Option 1: Support only known case (specification change needed)</w:t>
            </w:r>
          </w:p>
          <w:p>
            <w:pPr>
              <w:pStyle w:val="35"/>
              <w:numPr>
                <w:ilvl w:val="1"/>
                <w:numId w:val="8"/>
              </w:numPr>
              <w:ind w:firstLineChars="0"/>
              <w:rPr>
                <w:color w:val="4F81BD" w:themeColor="accent1"/>
                <w14:textFill>
                  <w14:solidFill>
                    <w14:schemeClr w14:val="accent1"/>
                  </w14:solidFill>
                </w14:textFill>
              </w:rPr>
            </w:pPr>
            <w:r>
              <w:rPr>
                <w:color w:val="4F81BD" w:themeColor="accent1"/>
                <w14:textFill>
                  <w14:solidFill>
                    <w14:schemeClr w14:val="accent1"/>
                  </w14:solidFill>
                </w14:textFill>
              </w:rPr>
              <w:t>Option 2: Support both unknown and known case (specification change needed)</w:t>
            </w:r>
          </w:p>
          <w:p>
            <w:pPr>
              <w:pStyle w:val="35"/>
              <w:numPr>
                <w:ilvl w:val="1"/>
                <w:numId w:val="8"/>
              </w:numPr>
              <w:ind w:firstLineChars="0"/>
              <w:rPr>
                <w:color w:val="4F81BD" w:themeColor="accent1"/>
                <w14:textFill>
                  <w14:solidFill>
                    <w14:schemeClr w14:val="accent1"/>
                  </w14:solidFill>
                </w14:textFill>
              </w:rPr>
            </w:pPr>
            <w:r>
              <w:rPr>
                <w:color w:val="4F81BD" w:themeColor="accent1"/>
                <w14:textFill>
                  <w14:solidFill>
                    <w14:schemeClr w14:val="accent1"/>
                  </w14:solidFill>
                </w14:textFill>
              </w:rPr>
              <w:t xml:space="preserve">Option 3: Support only unknown case (no specification change). </w:t>
            </w:r>
          </w:p>
          <w:p>
            <w:pPr>
              <w:pStyle w:val="95"/>
              <w:ind w:left="0" w:firstLine="0"/>
            </w:pPr>
          </w:p>
        </w:tc>
      </w:tr>
    </w:tbl>
    <w:p>
      <w:pPr>
        <w:spacing w:before="157" w:beforeLines="50"/>
        <w:rPr>
          <w:rFonts w:hint="eastAsia"/>
          <w:b w:val="0"/>
          <w:bCs w:val="0"/>
          <w:color w:val="auto"/>
          <w:sz w:val="21"/>
          <w:szCs w:val="21"/>
          <w:lang w:val="en-US" w:eastAsia="zh-CN"/>
        </w:rPr>
      </w:pPr>
      <w:r>
        <w:rPr>
          <w:rFonts w:hint="eastAsia"/>
          <w:b w:val="0"/>
          <w:bCs w:val="0"/>
          <w:color w:val="auto"/>
          <w:sz w:val="21"/>
          <w:szCs w:val="21"/>
          <w:lang w:val="en-US" w:eastAsia="zh-CN"/>
        </w:rPr>
        <w:t>In pervious meeting, RAN4 has reached agreement that CHO requirements framework can be used as baseline for Conditional LTM. In clause 6.1.4, the definiation of Tmeasure is duplicated blew: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6"/>
            </w:pPr>
            <w:r>
              <w:t>6.1.4.2.2</w:t>
            </w:r>
            <w:r>
              <w:tab/>
            </w:r>
            <w:r>
              <w:t>Measurement time</w:t>
            </w:r>
          </w:p>
          <w:p>
            <w:r>
              <w:rPr>
                <w:rFonts w:cs="v4.2.0"/>
                <w:lang w:eastAsia="en-GB"/>
              </w:rPr>
              <w:t xml:space="preserve">The measurement time </w:t>
            </w:r>
            <w:r>
              <w:rPr>
                <w:lang w:eastAsia="en-GB"/>
              </w:rPr>
              <w:t xml:space="preserve">delay is defined from the end of </w:t>
            </w:r>
            <w:r>
              <w:rPr>
                <w:iCs/>
                <w:lang w:eastAsia="en-GB"/>
              </w:rPr>
              <w:t>T</w:t>
            </w:r>
            <w:r>
              <w:rPr>
                <w:iCs/>
                <w:vertAlign w:val="subscript"/>
                <w:lang w:eastAsia="en-GB"/>
              </w:rPr>
              <w:t>Event_DU</w:t>
            </w:r>
            <w:r>
              <w:rPr>
                <w:lang w:eastAsia="en-GB"/>
              </w:rPr>
              <w:t xml:space="preserve"> until UE </w:t>
            </w:r>
            <w:r>
              <w:rPr>
                <w:rFonts w:eastAsia="宋体"/>
              </w:rPr>
              <w:t>starts</w:t>
            </w:r>
            <w:r>
              <w:rPr>
                <w:lang w:eastAsia="en-GB"/>
              </w:rPr>
              <w:t xml:space="preserve"> handover execution preparation </w:t>
            </w:r>
            <w:r>
              <w:rPr>
                <w:rFonts w:eastAsia="宋体"/>
              </w:rPr>
              <w:t>(T</w:t>
            </w:r>
            <w:r>
              <w:rPr>
                <w:rFonts w:eastAsia="宋体"/>
                <w:vertAlign w:val="subscript"/>
              </w:rPr>
              <w:t>CHO_execution</w:t>
            </w:r>
            <w:r>
              <w:rPr>
                <w:rFonts w:eastAsia="宋体"/>
                <w:lang w:eastAsia="zh-CN"/>
              </w:rPr>
              <w:t xml:space="preserve">) </w:t>
            </w:r>
            <w:r>
              <w:rPr>
                <w:lang w:eastAsia="en-GB"/>
              </w:rPr>
              <w:t>to a target cell.</w:t>
            </w:r>
          </w:p>
          <w:p>
            <w:r>
              <w:t>For conditional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 xml:space="preserve">defined in clause 9.2.5.1 or clause 9.2.6.2. </w:t>
            </w:r>
          </w:p>
          <w:p>
            <w:r>
              <w:t>For conditional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9.3.4 or clause 9.3.9.</w:t>
            </w:r>
          </w:p>
          <w:p>
            <w:pPr>
              <w:spacing w:before="157" w:beforeLines="50"/>
              <w:rPr>
                <w:rFonts w:hint="eastAsia"/>
                <w:b w:val="0"/>
                <w:bCs w:val="0"/>
                <w:color w:val="auto"/>
                <w:sz w:val="21"/>
                <w:szCs w:val="21"/>
                <w:vertAlign w:val="baseline"/>
                <w:lang w:val="en-US" w:eastAsia="zh-CN"/>
              </w:rPr>
            </w:pPr>
          </w:p>
        </w:tc>
      </w:tr>
    </w:tbl>
    <w:p>
      <w:pPr>
        <w:spacing w:before="157" w:beforeLines="50"/>
        <w:rPr>
          <w:rFonts w:hint="default"/>
          <w:b w:val="0"/>
          <w:bCs w:val="0"/>
          <w:color w:val="auto"/>
          <w:sz w:val="21"/>
          <w:szCs w:val="21"/>
          <w:lang w:val="en-US" w:eastAsia="zh-CN"/>
        </w:rPr>
      </w:pPr>
      <w:r>
        <w:rPr>
          <w:rFonts w:hint="eastAsia"/>
          <w:b w:val="0"/>
          <w:bCs w:val="0"/>
          <w:color w:val="auto"/>
          <w:sz w:val="21"/>
          <w:szCs w:val="21"/>
          <w:lang w:val="en-US" w:eastAsia="zh-CN"/>
        </w:rPr>
        <w:t>For this part, the scope of CHO is also missing. There are two interpretation here. The first is only unknown cell considered for CHO, and the other understanding is that both unknown and known cells are consiered and this requirements are defined based on the worst case. Before we discuss whether the modification in specification is needed or not, we should align the inderstanding here. From our understanding, the requirement for CHO is not distinguished by know case and unknown case, and it can be applied for both cases.</w:t>
      </w:r>
    </w:p>
    <w:p>
      <w:pPr>
        <w:spacing w:before="157" w:beforeLines="50"/>
        <w:rPr>
          <w:rFonts w:hint="default"/>
          <w:b w:val="0"/>
          <w:bCs w:val="0"/>
          <w:color w:val="auto"/>
          <w:sz w:val="21"/>
          <w:szCs w:val="21"/>
          <w:lang w:val="en-US" w:eastAsia="zh-CN"/>
        </w:rPr>
      </w:pPr>
      <w:r>
        <w:rPr>
          <w:rFonts w:hint="eastAsia"/>
          <w:b/>
          <w:bCs/>
          <w:color w:val="auto"/>
          <w:sz w:val="21"/>
          <w:szCs w:val="21"/>
          <w:lang w:val="en-US" w:eastAsia="zh-CN"/>
        </w:rPr>
        <w:t>Observation 1: For the definiation of Tmeasure in CHO, both known cell and unknown cell are considered, and the requirements defined based on the worst case.</w:t>
      </w:r>
    </w:p>
    <w:p>
      <w:pPr>
        <w:spacing w:before="157" w:beforeLines="50"/>
        <w:rPr>
          <w:rFonts w:hint="default"/>
          <w:b w:val="0"/>
          <w:bCs w:val="0"/>
          <w:lang w:val="en-US" w:eastAsia="zh-CN"/>
        </w:rPr>
      </w:pPr>
      <w:r>
        <w:rPr>
          <w:rFonts w:hint="eastAsia"/>
          <w:b w:val="0"/>
          <w:bCs w:val="0"/>
          <w:lang w:val="en-US" w:eastAsia="zh-CN"/>
        </w:rPr>
        <w:t>For CLTM, we should confirm which scenario is supported based on the WF. For CSI-RS based measurement used with CLTM, only known case is considered due to complexity of the measurements. However, for SSB based measurement used with CLTM, which is more simpler, needs to consider unknown cell for covering more scenarios to ensure the completeness of requirements. Meanwhile, we already support unknown cells according to existing specification, and there are no any strong concerns about excluding this part.</w:t>
      </w:r>
    </w:p>
    <w:p>
      <w:pPr>
        <w:spacing w:before="157" w:beforeLines="50"/>
        <w:rPr>
          <w:rFonts w:hint="eastAsia"/>
          <w:b w:val="0"/>
          <w:bCs w:val="0"/>
          <w:lang w:val="en-US" w:eastAsia="zh-CN"/>
        </w:rPr>
      </w:pPr>
      <w:r>
        <w:rPr>
          <w:rFonts w:hint="eastAsia"/>
          <w:b/>
          <w:bCs/>
          <w:lang w:val="en-US" w:eastAsia="zh-CN"/>
        </w:rPr>
        <w:t>Proposal 1</w:t>
      </w:r>
      <w:r>
        <w:rPr>
          <w:rFonts w:hint="eastAsia"/>
          <w:b/>
          <w:bCs/>
          <w:color w:val="auto"/>
          <w:lang w:val="en-US" w:eastAsia="zh-CN"/>
        </w:rPr>
        <w:t xml:space="preserve">: </w:t>
      </w:r>
      <w:r>
        <w:rPr>
          <w:b/>
          <w:bCs/>
          <w:color w:val="auto"/>
        </w:rPr>
        <w:t>For SSB based L1-RSRP measurement used with CLTM</w:t>
      </w:r>
      <w:r>
        <w:rPr>
          <w:rFonts w:hint="eastAsia"/>
          <w:b/>
          <w:bCs/>
          <w:color w:val="auto"/>
          <w:lang w:val="en-US" w:eastAsia="zh-CN"/>
        </w:rPr>
        <w:t>, s</w:t>
      </w:r>
      <w:r>
        <w:rPr>
          <w:b/>
          <w:bCs/>
          <w:color w:val="auto"/>
        </w:rPr>
        <w:t>upport both unknown and known case</w:t>
      </w:r>
      <w:r>
        <w:rPr>
          <w:rFonts w:hint="eastAsia"/>
          <w:b/>
          <w:bCs/>
          <w:color w:val="auto"/>
          <w:lang w:val="en-US" w:eastAsia="zh-CN"/>
        </w:rPr>
        <w:t>. And further discuss whether it is necessary to change existing specification.</w:t>
      </w:r>
    </w:p>
    <w:p>
      <w:pPr>
        <w:pStyle w:val="56"/>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conditional LTM.</w:t>
      </w:r>
    </w:p>
    <w:p>
      <w:pPr>
        <w:spacing w:before="157" w:beforeLines="50"/>
        <w:rPr>
          <w:rFonts w:hint="default"/>
          <w:b w:val="0"/>
          <w:bCs w:val="0"/>
          <w:color w:val="auto"/>
          <w:sz w:val="21"/>
          <w:szCs w:val="21"/>
          <w:lang w:val="en-US" w:eastAsia="zh-CN"/>
        </w:rPr>
      </w:pPr>
      <w:r>
        <w:rPr>
          <w:rFonts w:hint="eastAsia"/>
          <w:b/>
          <w:bCs/>
          <w:color w:val="auto"/>
          <w:sz w:val="21"/>
          <w:szCs w:val="21"/>
          <w:lang w:val="en-US" w:eastAsia="zh-CN"/>
        </w:rPr>
        <w:t>Observation 1: For the definiation of Tmeasure in CHO, both known cell and unknown cell are considered, and the requirements defined based on the worst case.</w:t>
      </w:r>
    </w:p>
    <w:p>
      <w:pPr>
        <w:spacing w:before="157" w:beforeLines="50"/>
        <w:rPr>
          <w:rFonts w:hint="eastAsia"/>
          <w:b w:val="0"/>
          <w:bCs w:val="0"/>
          <w:lang w:val="en-US" w:eastAsia="zh-CN"/>
        </w:rPr>
      </w:pPr>
      <w:r>
        <w:rPr>
          <w:rFonts w:hint="eastAsia"/>
          <w:b/>
          <w:bCs/>
          <w:lang w:val="en-US" w:eastAsia="zh-CN"/>
        </w:rPr>
        <w:t xml:space="preserve">Proposal </w:t>
      </w:r>
      <w:r>
        <w:rPr>
          <w:rFonts w:hint="eastAsia"/>
          <w:b/>
          <w:bCs/>
          <w:color w:val="auto"/>
          <w:lang w:val="en-US" w:eastAsia="zh-CN"/>
        </w:rPr>
        <w:t xml:space="preserve">1: </w:t>
      </w:r>
      <w:r>
        <w:rPr>
          <w:b/>
          <w:bCs/>
          <w:color w:val="auto"/>
        </w:rPr>
        <w:t>For SSB based L1-RSRP measurement used with CLTM</w:t>
      </w:r>
      <w:r>
        <w:rPr>
          <w:rFonts w:hint="eastAsia"/>
          <w:b/>
          <w:bCs/>
          <w:color w:val="auto"/>
          <w:lang w:val="en-US" w:eastAsia="zh-CN"/>
        </w:rPr>
        <w:t>, s</w:t>
      </w:r>
      <w:r>
        <w:rPr>
          <w:b/>
          <w:bCs/>
          <w:color w:val="auto"/>
        </w:rPr>
        <w:t>upport both unknown and known case</w:t>
      </w:r>
      <w:r>
        <w:rPr>
          <w:rFonts w:hint="eastAsia"/>
          <w:b/>
          <w:bCs/>
          <w:color w:val="auto"/>
          <w:lang w:val="en-US" w:eastAsia="zh-CN"/>
        </w:rPr>
        <w:t>. And further discuss whether it is necessary to change existing specification.</w:t>
      </w:r>
    </w:p>
    <w:p>
      <w:pPr>
        <w:pStyle w:val="56"/>
        <w:tabs>
          <w:tab w:val="left" w:pos="567"/>
          <w:tab w:val="clear" w:pos="1985"/>
        </w:tabs>
        <w:adjustRightInd w:val="0"/>
        <w:spacing w:before="0" w:beforeLines="0" w:after="0" w:afterLines="0"/>
        <w:ind w:left="510" w:hanging="510"/>
      </w:pPr>
      <w:r>
        <w:t>References</w:t>
      </w:r>
    </w:p>
    <w:p>
      <w:pPr>
        <w:pStyle w:val="54"/>
        <w:widowControl/>
        <w:numPr>
          <w:ilvl w:val="0"/>
          <w:numId w:val="9"/>
        </w:numPr>
        <w:spacing w:before="0" w:beforeLines="0" w:afterLines="0"/>
        <w:jc w:val="left"/>
        <w:rPr>
          <w:rFonts w:hint="default"/>
          <w:sz w:val="21"/>
          <w:szCs w:val="21"/>
          <w:lang w:val="en-US" w:eastAsia="zh-CN"/>
        </w:rPr>
      </w:pPr>
      <w:r>
        <w:rPr>
          <w:rFonts w:hint="default"/>
          <w:sz w:val="21"/>
          <w:szCs w:val="21"/>
          <w:lang w:val="en-US" w:eastAsia="zh-CN"/>
        </w:rPr>
        <w:t>RP-2</w:t>
      </w:r>
      <w:r>
        <w:rPr>
          <w:rFonts w:hint="eastAsia"/>
          <w:sz w:val="21"/>
          <w:szCs w:val="21"/>
          <w:lang w:val="en-US" w:eastAsia="zh-CN"/>
        </w:rPr>
        <w:t>50339</w:t>
      </w:r>
      <w:r>
        <w:rPr>
          <w:rFonts w:hint="default"/>
          <w:sz w:val="21"/>
          <w:szCs w:val="21"/>
          <w:lang w:val="en-US" w:eastAsia="zh-CN"/>
        </w:rPr>
        <w:t>, Revised Work Item: NR mobility enhancements Phase 4, Apple Inc, China Telecom</w:t>
      </w:r>
    </w:p>
    <w:p>
      <w:pPr>
        <w:pStyle w:val="54"/>
        <w:widowControl/>
        <w:numPr>
          <w:ilvl w:val="0"/>
          <w:numId w:val="9"/>
        </w:numPr>
        <w:spacing w:before="0" w:beforeLines="0" w:afterLines="0"/>
        <w:jc w:val="left"/>
        <w:rPr>
          <w:rFonts w:hint="default"/>
          <w:sz w:val="21"/>
          <w:szCs w:val="21"/>
          <w:lang w:val="en-US" w:eastAsia="zh-CN"/>
        </w:rPr>
      </w:pPr>
      <w:r>
        <w:rPr>
          <w:rFonts w:hint="eastAsia"/>
          <w:sz w:val="21"/>
          <w:szCs w:val="21"/>
          <w:lang w:val="en-US" w:eastAsia="zh-CN"/>
        </w:rPr>
        <w:fldChar w:fldCharType="begin"/>
      </w:r>
      <w:r>
        <w:rPr>
          <w:rFonts w:hint="eastAsia"/>
          <w:sz w:val="21"/>
          <w:szCs w:val="21"/>
          <w:lang w:val="en-US" w:eastAsia="zh-CN"/>
        </w:rPr>
        <w:instrText xml:space="preserve"> HYPERLINK "ftp://10.10.10.10/ftp/tsg_ran/WG4_Radio/TSGR4_116bis/Inbox/R4-2514816.zip" </w:instrText>
      </w:r>
      <w:r>
        <w:rPr>
          <w:rFonts w:hint="eastAsia"/>
          <w:sz w:val="21"/>
          <w:szCs w:val="21"/>
          <w:lang w:val="en-US" w:eastAsia="zh-CN"/>
        </w:rPr>
        <w:fldChar w:fldCharType="separate"/>
      </w:r>
      <w:r>
        <w:rPr>
          <w:rFonts w:hint="eastAsia"/>
          <w:sz w:val="21"/>
          <w:szCs w:val="21"/>
          <w:lang w:val="en-US" w:eastAsia="zh-CN"/>
        </w:rPr>
        <w:t>R4-2514816</w:t>
      </w:r>
      <w:r>
        <w:rPr>
          <w:rFonts w:hint="eastAsia"/>
          <w:sz w:val="21"/>
          <w:szCs w:val="21"/>
          <w:lang w:val="en-US" w:eastAsia="zh-CN"/>
        </w:rPr>
        <w:fldChar w:fldCharType="end"/>
      </w:r>
      <w:r>
        <w:rPr>
          <w:rFonts w:hint="eastAsia"/>
          <w:sz w:val="21"/>
          <w:szCs w:val="21"/>
          <w:lang w:val="en-US" w:eastAsia="zh-CN"/>
        </w:rPr>
        <w:t xml:space="preserve">, WF on NR_Mob_Ph4_RRM_Part2, </w:t>
      </w:r>
      <w:r>
        <w:rPr>
          <w:rFonts w:hint="default"/>
          <w:sz w:val="21"/>
          <w:szCs w:val="21"/>
          <w:lang w:val="en-US" w:eastAsia="zh-CN"/>
        </w:rPr>
        <w:t>China Telecom</w:t>
      </w:r>
    </w:p>
    <w:p>
      <w:pPr>
        <w:pStyle w:val="20"/>
        <w:shd w:val="clear" w:color="auto" w:fill="FFFFFF"/>
        <w:spacing w:before="0" w:beforeLines="0" w:beforeAutospacing="0" w:after="0" w:afterLines="0" w:afterAutospacing="0" w:line="300" w:lineRule="atLeast"/>
        <w:rPr>
          <w:rStyle w:val="28"/>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Semilight"/>
    <w:panose1 w:val="020204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8285B97"/>
    <w:multiLevelType w:val="multilevel"/>
    <w:tmpl w:val="18285B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23EB33EF"/>
    <w:multiLevelType w:val="multilevel"/>
    <w:tmpl w:val="23EB33EF"/>
    <w:lvl w:ilvl="0" w:tentative="0">
      <w:start w:val="3"/>
      <w:numFmt w:val="bullet"/>
      <w:lvlText w:val="-"/>
      <w:lvlJc w:val="left"/>
      <w:pPr>
        <w:ind w:left="644" w:hanging="360"/>
      </w:pPr>
      <w:rPr>
        <w:rFonts w:hint="default" w:ascii="Times New Roman" w:hAnsi="Times New Roman" w:eastAsia="MS Mincho" w:cs="Times New Roman"/>
      </w:rPr>
    </w:lvl>
    <w:lvl w:ilvl="1" w:tentative="0">
      <w:start w:val="3"/>
      <w:numFmt w:val="bullet"/>
      <w:lvlText w:val="-"/>
      <w:lvlJc w:val="left"/>
      <w:pPr>
        <w:ind w:left="1076" w:hanging="432"/>
      </w:pPr>
      <w:rPr>
        <w:rFonts w:hint="default" w:ascii="Times New Roman" w:hAnsi="Times New Roman" w:eastAsia="MS Mincho" w:cs="Times New Roman"/>
      </w:rPr>
    </w:lvl>
    <w:lvl w:ilvl="2" w:tentative="0">
      <w:start w:val="3"/>
      <w:numFmt w:val="bullet"/>
      <w:lvlText w:val="-"/>
      <w:lvlJc w:val="left"/>
      <w:pPr>
        <w:ind w:left="1508" w:hanging="504"/>
      </w:pPr>
      <w:rPr>
        <w:rFonts w:hint="default" w:ascii="Times New Roman" w:hAnsi="Times New Roman" w:eastAsia="MS Mincho" w:cs="Times New Roman"/>
      </w:rPr>
    </w:lvl>
    <w:lvl w:ilvl="3" w:tentative="0">
      <w:start w:val="3"/>
      <w:numFmt w:val="bullet"/>
      <w:lvlText w:val="-"/>
      <w:lvlJc w:val="left"/>
      <w:pPr>
        <w:ind w:left="2012" w:hanging="648"/>
      </w:pPr>
      <w:rPr>
        <w:rFonts w:hint="default" w:ascii="Times New Roman" w:hAnsi="Times New Roman" w:eastAsia="MS Mincho" w:cs="Times New Roman"/>
      </w:rPr>
    </w:lvl>
    <w:lvl w:ilvl="4" w:tentative="0">
      <w:start w:val="1"/>
      <w:numFmt w:val="decimal"/>
      <w:lvlText w:val="%1.%2.%3.%4.%5."/>
      <w:lvlJc w:val="left"/>
      <w:pPr>
        <w:ind w:left="2516" w:hanging="792"/>
      </w:pPr>
    </w:lvl>
    <w:lvl w:ilvl="5" w:tentative="0">
      <w:start w:val="1"/>
      <w:numFmt w:val="decimal"/>
      <w:lvlText w:val="%1.%2.%3.%4.%5.%6."/>
      <w:lvlJc w:val="left"/>
      <w:pPr>
        <w:ind w:left="3020" w:hanging="936"/>
      </w:pPr>
    </w:lvl>
    <w:lvl w:ilvl="6" w:tentative="0">
      <w:start w:val="1"/>
      <w:numFmt w:val="decimal"/>
      <w:lvlText w:val="%1.%2.%3.%4.%5.%6.%7."/>
      <w:lvlJc w:val="left"/>
      <w:pPr>
        <w:ind w:left="3524" w:hanging="1080"/>
      </w:pPr>
    </w:lvl>
    <w:lvl w:ilvl="7" w:tentative="0">
      <w:start w:val="1"/>
      <w:numFmt w:val="decimal"/>
      <w:lvlText w:val="%1.%2.%3.%4.%5.%6.%7.%8."/>
      <w:lvlJc w:val="left"/>
      <w:pPr>
        <w:ind w:left="4028" w:hanging="1224"/>
      </w:pPr>
    </w:lvl>
    <w:lvl w:ilvl="8" w:tentative="0">
      <w:start w:val="1"/>
      <w:numFmt w:val="decimal"/>
      <w:lvlText w:val="%1.%2.%3.%4.%5.%6.%7.%8.%9."/>
      <w:lvlJc w:val="left"/>
      <w:pPr>
        <w:ind w:left="4604" w:hanging="1440"/>
      </w:pPr>
    </w:lvl>
  </w:abstractNum>
  <w:abstractNum w:abstractNumId="4">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5A0536B"/>
    <w:multiLevelType w:val="multilevel"/>
    <w:tmpl w:val="75A0536B"/>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7"/>
  </w:num>
  <w:num w:numId="3">
    <w:abstractNumId w:val="4"/>
  </w:num>
  <w:num w:numId="4">
    <w:abstractNumId w:val="1"/>
  </w:num>
  <w:num w:numId="5">
    <w:abstractNumId w:val="8"/>
  </w:num>
  <w:num w:numId="6">
    <w:abstractNumId w:val="5"/>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15CF4"/>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404DF"/>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25472"/>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39154F"/>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D37B1"/>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0A62"/>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039D"/>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BA0D62"/>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4DC"/>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4F34AFD"/>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7544A"/>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67BB7"/>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C490C"/>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7143C"/>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478D1"/>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25F85"/>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54F47"/>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BE7FDF"/>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57EE8"/>
    <w:rsid w:val="5A265096"/>
    <w:rsid w:val="5A2943A6"/>
    <w:rsid w:val="5A2A1B2C"/>
    <w:rsid w:val="5A2A6592"/>
    <w:rsid w:val="5A2D0557"/>
    <w:rsid w:val="5A340B09"/>
    <w:rsid w:val="5A3F3527"/>
    <w:rsid w:val="5A440B9D"/>
    <w:rsid w:val="5A5020B9"/>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2B20A4"/>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C023A3"/>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7712D"/>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8F2AAB"/>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6F68EF"/>
    <w:rsid w:val="73724F6D"/>
    <w:rsid w:val="73893467"/>
    <w:rsid w:val="738A36E1"/>
    <w:rsid w:val="73912A81"/>
    <w:rsid w:val="73970334"/>
    <w:rsid w:val="739B1EFF"/>
    <w:rsid w:val="73A16D22"/>
    <w:rsid w:val="73B1400F"/>
    <w:rsid w:val="73B7366A"/>
    <w:rsid w:val="73B766C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A60180"/>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115E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1"/>
    <w:next w:val="1"/>
    <w:link w:val="6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2"/>
    <w:qFormat/>
    <w:uiPriority w:val="0"/>
    <w:pPr>
      <w:widowControl/>
      <w:spacing w:before="152" w:after="160"/>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2"/>
    <w:unhideWhenUsed/>
    <w:qFormat/>
    <w:uiPriority w:val="99"/>
    <w:rPr>
      <w:sz w:val="18"/>
      <w:szCs w:val="18"/>
    </w:rPr>
  </w:style>
  <w:style w:type="paragraph" w:styleId="18">
    <w:name w:val="footer"/>
    <w:basedOn w:val="1"/>
    <w:link w:val="83"/>
    <w:unhideWhenUsed/>
    <w:qFormat/>
    <w:uiPriority w:val="99"/>
    <w:pPr>
      <w:tabs>
        <w:tab w:val="center" w:pos="4153"/>
        <w:tab w:val="right" w:pos="8306"/>
      </w:tabs>
      <w:jc w:val="left"/>
    </w:pPr>
  </w:style>
  <w:style w:type="paragraph" w:styleId="19">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2">
    <w:name w:val="annotation subject"/>
    <w:basedOn w:val="13"/>
    <w:next w:val="13"/>
    <w:link w:val="84"/>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page number"/>
    <w:basedOn w:val="25"/>
    <w:semiHidden/>
    <w:qFormat/>
    <w:uiPriority w:val="0"/>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character" w:customStyle="1" w:styleId="32">
    <w:name w:val="批注框文本 Char"/>
    <w:link w:val="17"/>
    <w:semiHidden/>
    <w:qFormat/>
    <w:uiPriority w:val="99"/>
    <w:rPr>
      <w:kern w:val="2"/>
      <w:sz w:val="18"/>
      <w:szCs w:val="18"/>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8"/>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6"/>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5"/>
    <w:qFormat/>
    <w:uiPriority w:val="0"/>
  </w:style>
  <w:style w:type="character" w:customStyle="1" w:styleId="64">
    <w:name w:val="c-icon"/>
    <w:basedOn w:val="25"/>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Char"/>
    <w:link w:val="7"/>
    <w:qFormat/>
    <w:uiPriority w:val="0"/>
    <w:rPr>
      <w:rFonts w:ascii="Arial" w:hAnsi="Arial" w:eastAsia="宋体"/>
      <w:lang w:val="en-GB" w:eastAsia="en-US"/>
    </w:rPr>
  </w:style>
  <w:style w:type="character" w:customStyle="1" w:styleId="67">
    <w:name w:val="c-icon14"/>
    <w:basedOn w:val="25"/>
    <w:qFormat/>
    <w:uiPriority w:val="0"/>
  </w:style>
  <w:style w:type="character" w:customStyle="1" w:styleId="68">
    <w:name w:val="标题 8 Char"/>
    <w:link w:val="9"/>
    <w:qFormat/>
    <w:uiPriority w:val="0"/>
    <w:rPr>
      <w:rFonts w:ascii="Arial" w:hAnsi="Arial" w:eastAsia="宋体"/>
      <w:sz w:val="36"/>
      <w:lang w:val="en-GB" w:eastAsia="en-US"/>
    </w:rPr>
  </w:style>
  <w:style w:type="character" w:customStyle="1" w:styleId="69">
    <w:name w:val="op_dict_text2"/>
    <w:basedOn w:val="25"/>
    <w:qFormat/>
    <w:uiPriority w:val="0"/>
  </w:style>
  <w:style w:type="character" w:customStyle="1" w:styleId="70">
    <w:name w:val="标题 9 Char"/>
    <w:link w:val="10"/>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Char"/>
    <w:link w:val="11"/>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5"/>
    <w:link w:val="37"/>
    <w:qFormat/>
    <w:uiPriority w:val="0"/>
    <w:rPr>
      <w:rFonts w:ascii="Arial" w:hAnsi="Arial" w:eastAsia="Times New Roman" w:cs="Times New Roman"/>
      <w:kern w:val="0"/>
      <w:sz w:val="18"/>
      <w:szCs w:val="20"/>
      <w:lang w:val="en-GB" w:eastAsia="ja-JP"/>
    </w:rPr>
  </w:style>
  <w:style w:type="character" w:customStyle="1" w:styleId="77">
    <w:name w:val="标题 4 Char"/>
    <w:link w:val="5"/>
    <w:qFormat/>
    <w:uiPriority w:val="0"/>
    <w:rPr>
      <w:rFonts w:ascii="Arial" w:hAnsi="Arial" w:eastAsia="宋体"/>
      <w:sz w:val="24"/>
      <w:lang w:val="en-GB" w:eastAsia="en-US"/>
    </w:rPr>
  </w:style>
  <w:style w:type="character" w:customStyle="1" w:styleId="78">
    <w:name w:val="char char char Char"/>
    <w:link w:val="40"/>
    <w:qFormat/>
    <w:uiPriority w:val="0"/>
    <w:rPr>
      <w:rFonts w:ascii="Arial" w:hAnsi="Arial" w:eastAsia="宋体" w:cs="Times New Roman"/>
      <w:kern w:val="0"/>
      <w:sz w:val="24"/>
      <w:szCs w:val="28"/>
    </w:rPr>
  </w:style>
  <w:style w:type="character" w:customStyle="1" w:styleId="79">
    <w:name w:val="页眉 Char"/>
    <w:link w:val="19"/>
    <w:qFormat/>
    <w:uiPriority w:val="99"/>
    <w:rPr>
      <w:sz w:val="18"/>
      <w:szCs w:val="18"/>
    </w:rPr>
  </w:style>
  <w:style w:type="character" w:customStyle="1" w:styleId="80">
    <w:name w:val="文档结构图 Char"/>
    <w:link w:val="12"/>
    <w:semiHidden/>
    <w:qFormat/>
    <w:uiPriority w:val="99"/>
    <w:rPr>
      <w:rFonts w:ascii="宋体" w:eastAsia="宋体"/>
      <w:sz w:val="18"/>
      <w:szCs w:val="18"/>
    </w:rPr>
  </w:style>
  <w:style w:type="character" w:customStyle="1" w:styleId="81">
    <w:name w:val="标题 7 Char"/>
    <w:link w:val="8"/>
    <w:qFormat/>
    <w:uiPriority w:val="0"/>
    <w:rPr>
      <w:rFonts w:ascii="Arial" w:hAnsi="Arial" w:eastAsia="宋体"/>
      <w:lang w:val="en-GB" w:eastAsia="en-US"/>
    </w:rPr>
  </w:style>
  <w:style w:type="character" w:customStyle="1" w:styleId="82">
    <w:name w:val="标题 1 Char"/>
    <w:link w:val="2"/>
    <w:qFormat/>
    <w:uiPriority w:val="9"/>
    <w:rPr>
      <w:rFonts w:ascii="Cambria" w:hAnsi="Cambria" w:eastAsia="宋体" w:cs="Times New Roman"/>
      <w:b/>
      <w:bCs/>
      <w:kern w:val="32"/>
      <w:sz w:val="32"/>
      <w:szCs w:val="32"/>
      <w:lang w:val="en-US"/>
    </w:rPr>
  </w:style>
  <w:style w:type="character" w:customStyle="1" w:styleId="83">
    <w:name w:val="页脚 Char"/>
    <w:link w:val="18"/>
    <w:qFormat/>
    <w:uiPriority w:val="99"/>
    <w:rPr>
      <w:sz w:val="18"/>
      <w:szCs w:val="18"/>
    </w:rPr>
  </w:style>
  <w:style w:type="character" w:customStyle="1" w:styleId="84">
    <w:name w:val="批注主题 Char"/>
    <w:link w:val="22"/>
    <w:semiHidden/>
    <w:qFormat/>
    <w:uiPriority w:val="99"/>
    <w:rPr>
      <w:b/>
      <w:bCs/>
      <w:kern w:val="2"/>
      <w:lang w:eastAsia="zh-CN"/>
    </w:rPr>
  </w:style>
  <w:style w:type="character" w:customStyle="1" w:styleId="85">
    <w:name w:val="msoins"/>
    <w:basedOn w:val="25"/>
    <w:qFormat/>
    <w:uiPriority w:val="0"/>
  </w:style>
  <w:style w:type="character" w:customStyle="1" w:styleId="86">
    <w:name w:val="标题 2 Char"/>
    <w:link w:val="3"/>
    <w:qFormat/>
    <w:uiPriority w:val="0"/>
    <w:rPr>
      <w:rFonts w:ascii="Arial" w:hAnsi="Arial"/>
      <w:sz w:val="32"/>
      <w:lang w:eastAsia="en-US"/>
    </w:rPr>
  </w:style>
  <w:style w:type="character" w:customStyle="1" w:styleId="87">
    <w:name w:val="标题 5 Char"/>
    <w:link w:val="6"/>
    <w:qFormat/>
    <w:uiPriority w:val="0"/>
    <w:rPr>
      <w:rFonts w:ascii="Arial" w:hAnsi="Arial" w:eastAsia="宋体"/>
      <w:sz w:val="22"/>
      <w:lang w:val="en-GB" w:eastAsia="en-US"/>
    </w:rPr>
  </w:style>
  <w:style w:type="character" w:customStyle="1" w:styleId="88">
    <w:name w:val="标题 3 Char"/>
    <w:link w:val="4"/>
    <w:qFormat/>
    <w:uiPriority w:val="0"/>
    <w:rPr>
      <w:rFonts w:ascii="Arial" w:hAnsi="Arial"/>
      <w:sz w:val="28"/>
      <w:lang w:eastAsia="en-US"/>
    </w:rPr>
  </w:style>
  <w:style w:type="character" w:customStyle="1" w:styleId="89">
    <w:name w:val="批注文字 Char"/>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5"/>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Agreement"/>
    <w:basedOn w:val="1"/>
    <w:next w:val="95"/>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5">
    <w:name w:val="Doc-text2"/>
    <w:basedOn w:val="1"/>
    <w:qFormat/>
    <w:uiPriority w:val="0"/>
    <w:pPr>
      <w:tabs>
        <w:tab w:val="left" w:pos="1622"/>
      </w:tabs>
      <w:ind w:left="1622" w:hanging="363"/>
    </w:pPr>
    <w:rPr>
      <w:rFonts w:ascii="Arial" w:hAnsi="Arial" w:eastAsia="MS Mincho"/>
      <w:sz w:val="20"/>
      <w:lang w:eastAsia="en-GB"/>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7">
    <w:name w:val="RAN4 proposal"/>
    <w:basedOn w:val="11"/>
    <w:next w:val="1"/>
    <w:qFormat/>
    <w:uiPriority w:val="0"/>
    <w:pPr>
      <w:numPr>
        <w:ilvl w:val="0"/>
        <w:numId w:val="3"/>
      </w:numPr>
      <w:jc w:val="left"/>
    </w:pPr>
    <w:rPr>
      <w:rFonts w:ascii="Times New Roman" w:hAnsi="Times New Roman"/>
      <w:sz w:val="20"/>
    </w:rPr>
  </w:style>
  <w:style w:type="character" w:customStyle="1" w:styleId="98">
    <w:name w:val="ui-provider"/>
    <w:basedOn w:val="25"/>
    <w:qFormat/>
    <w:uiPriority w:val="0"/>
  </w:style>
  <w:style w:type="paragraph" w:customStyle="1" w:styleId="9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0">
    <w:name w:val="B2"/>
    <w:basedOn w:val="15"/>
    <w:qFormat/>
    <w:uiPriority w:val="0"/>
  </w:style>
  <w:style w:type="paragraph" w:customStyle="1" w:styleId="101">
    <w:name w:val="issue"/>
    <w:basedOn w:val="5"/>
    <w:qFormat/>
    <w:uiPriority w:val="0"/>
    <w:pPr>
      <w:numPr>
        <w:ilvl w:val="0"/>
        <w:numId w:val="0"/>
      </w:numPr>
      <w:spacing w:before="0" w:after="120"/>
    </w:pPr>
    <w:rPr>
      <w:rFonts w:ascii="Times New Roman" w:hAnsi="Times New Roman" w:eastAsia="Times New Roman"/>
      <w:color w:val="000000" w:themeColor="text1"/>
      <w:sz w:val="20"/>
      <w:szCs w:val="20"/>
      <w:u w:val="single"/>
      <w:lang w:val="en-US" w:eastAsia="ko-KR"/>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5</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2025-11-07T08:56:09Z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DE346D2CD90F411EA3C61BFBE7A634B1</vt:lpwstr>
  </property>
</Properties>
</file>