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2232F19F"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95446A">
        <w:rPr>
          <w:b/>
          <w:sz w:val="22"/>
          <w:szCs w:val="22"/>
        </w:rPr>
        <w:t>7</w:t>
      </w:r>
      <w:r w:rsidRPr="005E2EE1">
        <w:rPr>
          <w:b/>
          <w:sz w:val="22"/>
          <w:szCs w:val="22"/>
        </w:rPr>
        <w:tab/>
      </w:r>
      <w:r w:rsidR="00632E45" w:rsidRPr="00632E45">
        <w:rPr>
          <w:b/>
          <w:sz w:val="22"/>
          <w:szCs w:val="22"/>
        </w:rPr>
        <w:t>R4-2521097</w:t>
      </w:r>
    </w:p>
    <w:p w14:paraId="0FD8F57E" w14:textId="77777777" w:rsidR="0095446A" w:rsidRDefault="0095446A" w:rsidP="009C0034">
      <w:pPr>
        <w:tabs>
          <w:tab w:val="left" w:pos="1985"/>
        </w:tabs>
        <w:spacing w:before="120"/>
        <w:rPr>
          <w:rFonts w:ascii="Arial" w:hAnsi="Arial" w:cs="Arial"/>
          <w:b/>
          <w:sz w:val="22"/>
          <w:szCs w:val="22"/>
        </w:rPr>
      </w:pPr>
      <w:r w:rsidRPr="0095446A">
        <w:rPr>
          <w:rFonts w:ascii="Arial" w:hAnsi="Arial" w:cs="Arial"/>
          <w:b/>
          <w:sz w:val="22"/>
          <w:szCs w:val="22"/>
        </w:rPr>
        <w:t>Dallas, USA, Nov. 17-21, 2025</w:t>
      </w:r>
    </w:p>
    <w:p w14:paraId="4FFB6861" w14:textId="1CE81E23"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886646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622367" w:rsidRPr="00622367">
        <w:rPr>
          <w:rFonts w:ascii="Arial" w:hAnsi="Arial" w:cs="Arial"/>
          <w:sz w:val="22"/>
          <w:szCs w:val="22"/>
        </w:rPr>
        <w:t xml:space="preserve">Discussion on RRM performance for Rel-19 MIMO </w:t>
      </w:r>
    </w:p>
    <w:p w14:paraId="034212AB" w14:textId="3F7D66ED"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567FEA">
        <w:rPr>
          <w:rFonts w:ascii="Arial" w:hAnsi="Arial" w:cs="Arial"/>
          <w:sz w:val="22"/>
          <w:szCs w:val="22"/>
          <w:lang w:val="en-US"/>
        </w:rPr>
        <w:t>6.1</w:t>
      </w:r>
      <w:r w:rsidR="00622367">
        <w:rPr>
          <w:rFonts w:ascii="Arial" w:hAnsi="Arial" w:cs="Arial"/>
          <w:sz w:val="22"/>
          <w:szCs w:val="22"/>
          <w:lang w:val="en-US"/>
        </w:rPr>
        <w:t>2</w:t>
      </w:r>
      <w:r w:rsidR="00567FEA">
        <w:rPr>
          <w:rFonts w:ascii="Arial" w:hAnsi="Arial" w:cs="Arial"/>
          <w:sz w:val="22"/>
          <w:szCs w:val="22"/>
          <w:lang w:val="en-US"/>
        </w:rPr>
        <w:t>.2.</w:t>
      </w:r>
      <w:r w:rsidR="0095446A">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30565DBC" w:rsidR="00B57130" w:rsidRPr="009343C4" w:rsidRDefault="00FE624D" w:rsidP="009343C4">
      <w:pPr>
        <w:rPr>
          <w:rFonts w:eastAsiaTheme="minorEastAsia"/>
        </w:rPr>
      </w:pPr>
      <w:r>
        <w:rPr>
          <w:rFonts w:eastAsiaTheme="minorEastAsia"/>
        </w:rPr>
        <w:t>The performance requirements of Rel-19 MIMO UEIEBM were initially discussed in last meeting [1].</w:t>
      </w:r>
      <w:r w:rsidR="009343C4">
        <w:rPr>
          <w:rFonts w:eastAsiaTheme="minorEastAsia"/>
        </w:rPr>
        <w:t xml:space="preserve"> I</w:t>
      </w:r>
      <w:r w:rsidR="009343C4">
        <w:rPr>
          <w:rFonts w:eastAsiaTheme="minorEastAsia" w:hint="eastAsia"/>
        </w:rPr>
        <w:t>n</w:t>
      </w:r>
      <w:r w:rsidR="009343C4">
        <w:rPr>
          <w:rFonts w:eastAsiaTheme="minorEastAsia"/>
        </w:rPr>
        <w:t xml:space="preserve"> this contribution, we provide our </w:t>
      </w:r>
      <w:r>
        <w:rPr>
          <w:rFonts w:eastAsiaTheme="minorEastAsia"/>
        </w:rPr>
        <w:t xml:space="preserve">views on </w:t>
      </w:r>
      <w:r w:rsidR="00904426">
        <w:rPr>
          <w:rFonts w:eastAsiaTheme="minorEastAsia"/>
        </w:rPr>
        <w:t>performance part for CJTC and asymmetric TRPs</w:t>
      </w:r>
      <w:r>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29EABCAA" w14:textId="3EA47F23" w:rsidR="00904426" w:rsidRDefault="00FC0997" w:rsidP="0078059D">
      <w:pPr>
        <w:rPr>
          <w:rFonts w:eastAsiaTheme="minorEastAsia"/>
        </w:rPr>
      </w:pPr>
      <w:r>
        <w:rPr>
          <w:rFonts w:eastAsiaTheme="minorEastAsia"/>
        </w:rPr>
        <w:t>For accuracy requirements for CJTC, the status are summarized as follows based on the discussion in last meeting.</w:t>
      </w:r>
    </w:p>
    <w:tbl>
      <w:tblPr>
        <w:tblStyle w:val="afffb"/>
        <w:tblW w:w="0" w:type="auto"/>
        <w:tblInd w:w="0" w:type="dxa"/>
        <w:tblLook w:val="04A0" w:firstRow="1" w:lastRow="0" w:firstColumn="1" w:lastColumn="0" w:noHBand="0" w:noVBand="1"/>
      </w:tblPr>
      <w:tblGrid>
        <w:gridCol w:w="9630"/>
      </w:tblGrid>
      <w:tr w:rsidR="00FC0997" w14:paraId="4B0E1B82" w14:textId="77777777" w:rsidTr="00FC0997">
        <w:tc>
          <w:tcPr>
            <w:tcW w:w="9630" w:type="dxa"/>
          </w:tcPr>
          <w:p w14:paraId="77421CA5" w14:textId="77777777" w:rsidR="00FC0997" w:rsidRDefault="00FC0997" w:rsidP="00FC0997">
            <w:pPr>
              <w:rPr>
                <w:b/>
                <w:u w:val="single"/>
                <w:lang w:eastAsia="ko-KR"/>
              </w:rPr>
            </w:pPr>
            <w:r>
              <w:rPr>
                <w:b/>
                <w:u w:val="single"/>
                <w:lang w:eastAsia="ko-KR"/>
              </w:rPr>
              <w:t>Issue 1-1: Accuracy requirements for delay and frequency offset reporting for CJT calibration</w:t>
            </w:r>
          </w:p>
          <w:p w14:paraId="3E51DEA7" w14:textId="77777777" w:rsidR="00FC0997" w:rsidRDefault="00FC0997" w:rsidP="00FC0997">
            <w:pPr>
              <w:rPr>
                <w:szCs w:val="24"/>
                <w:lang w:eastAsia="zh-CN"/>
              </w:rPr>
            </w:pPr>
            <w:r>
              <w:rPr>
                <w:szCs w:val="24"/>
                <w:lang w:eastAsia="zh-CN"/>
              </w:rPr>
              <w:t xml:space="preserve">Way forward: </w:t>
            </w:r>
          </w:p>
          <w:p w14:paraId="65D7781E" w14:textId="77777777" w:rsidR="00FC0997" w:rsidRDefault="00FC0997" w:rsidP="00FC0997">
            <w:pPr>
              <w:snapToGrid w:val="0"/>
              <w:ind w:left="420"/>
              <w:rPr>
                <w:sz w:val="21"/>
                <w:szCs w:val="21"/>
                <w:lang w:eastAsia="zh-CN"/>
              </w:rPr>
            </w:pPr>
            <w:r>
              <w:rPr>
                <w:sz w:val="21"/>
                <w:szCs w:val="21"/>
                <w:highlight w:val="yellow"/>
                <w:lang w:eastAsia="zh-CN"/>
              </w:rPr>
              <w:t>Alternatives for further discussion:</w:t>
            </w:r>
          </w:p>
          <w:p w14:paraId="162813BB" w14:textId="77777777" w:rsidR="00FC0997" w:rsidRDefault="00FC0997" w:rsidP="00FC0997">
            <w:pPr>
              <w:snapToGrid w:val="0"/>
              <w:ind w:left="420"/>
              <w:rPr>
                <w:sz w:val="21"/>
                <w:szCs w:val="21"/>
                <w:lang w:eastAsia="zh-CN"/>
              </w:rPr>
            </w:pPr>
            <w:r>
              <w:rPr>
                <w:sz w:val="21"/>
                <w:szCs w:val="21"/>
                <w:lang w:eastAsia="zh-CN"/>
              </w:rPr>
              <w:t>Alt 1: Define one set of [tighten] accuracy requirements based on SNR &gt;= 0 or 3dB</w:t>
            </w:r>
          </w:p>
          <w:p w14:paraId="1A89B7F0" w14:textId="77777777" w:rsidR="00FC0997" w:rsidRDefault="00FC0997" w:rsidP="00FC0997">
            <w:pPr>
              <w:snapToGrid w:val="0"/>
              <w:ind w:left="420"/>
              <w:rPr>
                <w:sz w:val="21"/>
                <w:szCs w:val="21"/>
                <w:lang w:eastAsia="zh-CN"/>
              </w:rPr>
            </w:pPr>
            <w:r>
              <w:rPr>
                <w:sz w:val="21"/>
                <w:szCs w:val="21"/>
                <w:lang w:eastAsia="zh-CN"/>
              </w:rPr>
              <w:tab/>
              <w:t>Encourage further input on the exact performance requirement</w:t>
            </w:r>
          </w:p>
          <w:p w14:paraId="30624536" w14:textId="77777777" w:rsidR="00FC0997" w:rsidRDefault="00FC0997" w:rsidP="00FC0997">
            <w:pPr>
              <w:snapToGrid w:val="0"/>
              <w:ind w:left="420" w:firstLine="284"/>
              <w:rPr>
                <w:sz w:val="21"/>
                <w:szCs w:val="21"/>
                <w:lang w:eastAsia="zh-CN"/>
              </w:rPr>
            </w:pPr>
            <w:r>
              <w:rPr>
                <w:sz w:val="21"/>
                <w:szCs w:val="21"/>
                <w:lang w:eastAsia="zh-CN"/>
              </w:rPr>
              <w:t>Note: “tighten” means it is tighten compared to -3dB side condition</w:t>
            </w:r>
          </w:p>
          <w:p w14:paraId="4505E5FC" w14:textId="77777777" w:rsidR="00FC0997" w:rsidRDefault="00FC0997" w:rsidP="00FC0997">
            <w:pPr>
              <w:snapToGrid w:val="0"/>
              <w:ind w:left="420"/>
              <w:rPr>
                <w:sz w:val="21"/>
                <w:szCs w:val="21"/>
                <w:lang w:eastAsia="zh-CN"/>
              </w:rPr>
            </w:pPr>
            <w:r>
              <w:rPr>
                <w:sz w:val="21"/>
                <w:szCs w:val="21"/>
                <w:lang w:eastAsia="zh-CN"/>
              </w:rPr>
              <w:t>Alt 2: Define two sets of requirements with UE capability</w:t>
            </w:r>
          </w:p>
          <w:p w14:paraId="0E54C553" w14:textId="77777777" w:rsidR="00FC0997" w:rsidRDefault="00FC0997" w:rsidP="00FC0997">
            <w:pPr>
              <w:snapToGrid w:val="0"/>
              <w:ind w:left="420"/>
              <w:rPr>
                <w:sz w:val="21"/>
                <w:szCs w:val="21"/>
                <w:lang w:eastAsia="zh-CN"/>
              </w:rPr>
            </w:pPr>
            <w:r>
              <w:rPr>
                <w:sz w:val="21"/>
                <w:szCs w:val="21"/>
                <w:lang w:eastAsia="zh-CN"/>
              </w:rPr>
              <w:tab/>
              <w:t>Encourage input on details of the UE capability</w:t>
            </w:r>
          </w:p>
          <w:p w14:paraId="6522AD48" w14:textId="77777777" w:rsidR="00FC0997" w:rsidRDefault="00FC0997" w:rsidP="00FC0997">
            <w:pPr>
              <w:rPr>
                <w:lang w:eastAsia="zh-CN"/>
              </w:rPr>
            </w:pPr>
          </w:p>
          <w:p w14:paraId="7E5EA2D5" w14:textId="77777777" w:rsidR="00FC0997" w:rsidRDefault="00FC0997" w:rsidP="00FC0997">
            <w:pPr>
              <w:rPr>
                <w:b/>
                <w:u w:val="single"/>
                <w:lang w:eastAsia="ko-KR"/>
              </w:rPr>
            </w:pPr>
            <w:r>
              <w:rPr>
                <w:b/>
                <w:u w:val="single"/>
                <w:lang w:eastAsia="ko-KR"/>
              </w:rPr>
              <w:t>Issue 1-2: Test scope for UE reporting enhancement for CJT calibration?</w:t>
            </w:r>
          </w:p>
          <w:p w14:paraId="0F99B301" w14:textId="77777777" w:rsidR="00FC0997" w:rsidRDefault="00FC0997" w:rsidP="00FC0997">
            <w:pPr>
              <w:rPr>
                <w:rFonts w:eastAsia="等线"/>
                <w:bCs/>
                <w:sz w:val="21"/>
                <w:szCs w:val="21"/>
                <w:lang w:eastAsia="zh-CN"/>
              </w:rPr>
            </w:pPr>
            <w:r>
              <w:rPr>
                <w:rFonts w:eastAsia="等线"/>
                <w:bCs/>
                <w:sz w:val="21"/>
                <w:szCs w:val="21"/>
                <w:lang w:eastAsia="zh-CN"/>
              </w:rPr>
              <w:t xml:space="preserve">Agreement: </w:t>
            </w:r>
          </w:p>
          <w:p w14:paraId="1674D6F4" w14:textId="77777777" w:rsidR="00FC0997" w:rsidRDefault="00FC0997" w:rsidP="00FC0997">
            <w:pPr>
              <w:pStyle w:val="a3"/>
              <w:numPr>
                <w:ilvl w:val="0"/>
                <w:numId w:val="40"/>
              </w:numPr>
              <w:overflowPunct w:val="0"/>
              <w:autoSpaceDE w:val="0"/>
              <w:autoSpaceDN w:val="0"/>
              <w:adjustRightInd w:val="0"/>
              <w:jc w:val="left"/>
              <w:textAlignment w:val="baseline"/>
              <w:rPr>
                <w:rFonts w:eastAsia="等线"/>
                <w:bCs/>
                <w:sz w:val="21"/>
                <w:szCs w:val="21"/>
                <w:lang w:eastAsia="zh-CN"/>
              </w:rPr>
            </w:pPr>
            <w:r w:rsidRPr="00720727">
              <w:rPr>
                <w:rFonts w:eastAsia="等线"/>
                <w:bCs/>
                <w:sz w:val="21"/>
                <w:szCs w:val="21"/>
                <w:lang w:eastAsia="zh-CN"/>
              </w:rPr>
              <w:t>Define 2 TCs</w:t>
            </w:r>
          </w:p>
          <w:p w14:paraId="1B66FADA" w14:textId="77777777" w:rsidR="00FC0997" w:rsidRPr="00720727" w:rsidRDefault="00FC0997" w:rsidP="00FC0997">
            <w:pPr>
              <w:pStyle w:val="a3"/>
              <w:numPr>
                <w:ilvl w:val="1"/>
                <w:numId w:val="40"/>
              </w:numPr>
              <w:overflowPunct w:val="0"/>
              <w:autoSpaceDE w:val="0"/>
              <w:autoSpaceDN w:val="0"/>
              <w:adjustRightInd w:val="0"/>
              <w:jc w:val="left"/>
              <w:textAlignment w:val="baseline"/>
              <w:rPr>
                <w:rFonts w:eastAsia="等线"/>
                <w:bCs/>
                <w:sz w:val="21"/>
                <w:szCs w:val="21"/>
                <w:lang w:eastAsia="zh-CN"/>
              </w:rPr>
            </w:pPr>
            <w:r w:rsidRPr="00720727">
              <w:rPr>
                <w:lang w:eastAsia="zh-CN"/>
              </w:rPr>
              <w:t>TC1: FR1 CJTC-Dd measurement period and accuracy</w:t>
            </w:r>
          </w:p>
          <w:p w14:paraId="0ED2E0FE" w14:textId="0873C4D0" w:rsidR="00FC0997" w:rsidRPr="00FC0997" w:rsidRDefault="00FC0997" w:rsidP="0078059D">
            <w:pPr>
              <w:pStyle w:val="a3"/>
              <w:numPr>
                <w:ilvl w:val="1"/>
                <w:numId w:val="40"/>
              </w:numPr>
              <w:overflowPunct w:val="0"/>
              <w:autoSpaceDE w:val="0"/>
              <w:autoSpaceDN w:val="0"/>
              <w:adjustRightInd w:val="0"/>
              <w:jc w:val="left"/>
              <w:textAlignment w:val="baseline"/>
              <w:rPr>
                <w:rFonts w:eastAsia="等线"/>
                <w:bCs/>
                <w:sz w:val="21"/>
                <w:szCs w:val="21"/>
                <w:lang w:eastAsia="zh-CN"/>
              </w:rPr>
            </w:pPr>
            <w:r w:rsidRPr="00720727">
              <w:rPr>
                <w:lang w:eastAsia="zh-CN"/>
              </w:rPr>
              <w:t>TC2: FR1 CJTC-F measurement period and accuracy</w:t>
            </w:r>
          </w:p>
        </w:tc>
      </w:tr>
    </w:tbl>
    <w:p w14:paraId="47AE2E4B" w14:textId="0032BF27" w:rsidR="00FC0997" w:rsidRDefault="00FC0997" w:rsidP="0078059D">
      <w:pPr>
        <w:rPr>
          <w:rFonts w:eastAsiaTheme="minorEastAsia"/>
        </w:rPr>
      </w:pPr>
    </w:p>
    <w:p w14:paraId="35DBEEB8" w14:textId="3EDC54DC" w:rsidR="00FC0997" w:rsidRDefault="00FC0997" w:rsidP="0078059D">
      <w:pPr>
        <w:rPr>
          <w:rFonts w:eastAsiaTheme="minorEastAsia"/>
        </w:rPr>
      </w:pPr>
      <w:r>
        <w:rPr>
          <w:rFonts w:eastAsiaTheme="minorEastAsia" w:hint="eastAsia"/>
        </w:rPr>
        <w:t>B</w:t>
      </w:r>
      <w:r>
        <w:rPr>
          <w:rFonts w:eastAsiaTheme="minorEastAsia"/>
        </w:rPr>
        <w:t>ased on discussion in last meeting, companies commented that performance of CJTC accuracy based on the simulations campaign show that the poor accuracy cannot help for CJT calibration. For instance, the accuracy of CJTC-Dd may exceed half of the total range. Thus, some companies proposed to define two set of accuracy requirements, and one of them is defined with high accuracy which may serve the purpose of CJTC. However, from our understanding, it is abnormal to define two set of accuracy requirements based on UE capabilities. And if it is claimed the accuracy proposed based on simulation campaign is useless, it is not clear how the tighter one can be achieved. Thus, based on above, we slightly prefer to define one set of requirements based on high SNR condition.</w:t>
      </w:r>
    </w:p>
    <w:p w14:paraId="25B0595C" w14:textId="726A4CFB" w:rsidR="00FC0997" w:rsidRPr="00FC0997" w:rsidRDefault="00FC0997" w:rsidP="0078059D">
      <w:pPr>
        <w:rPr>
          <w:rFonts w:eastAsiaTheme="minorEastAsia"/>
          <w:b/>
          <w:bCs/>
        </w:rPr>
      </w:pPr>
      <w:r w:rsidRPr="00FC0997">
        <w:rPr>
          <w:rFonts w:eastAsiaTheme="minorEastAsia" w:hint="eastAsia"/>
          <w:b/>
          <w:bCs/>
        </w:rPr>
        <w:t>P</w:t>
      </w:r>
      <w:r w:rsidRPr="00FC0997">
        <w:rPr>
          <w:rFonts w:eastAsiaTheme="minorEastAsia"/>
          <w:b/>
          <w:bCs/>
        </w:rPr>
        <w:t>roposal 1: Define one set of requirements at high SNR condition for CJTC.</w:t>
      </w:r>
    </w:p>
    <w:p w14:paraId="165637EA" w14:textId="72C904D6" w:rsidR="006505D0" w:rsidRDefault="00FC0997" w:rsidP="0078059D">
      <w:pPr>
        <w:rPr>
          <w:rFonts w:eastAsiaTheme="minorEastAsia"/>
        </w:rPr>
      </w:pPr>
      <w:r>
        <w:rPr>
          <w:rFonts w:eastAsiaTheme="minorEastAsia" w:hint="eastAsia"/>
        </w:rPr>
        <w:t>F</w:t>
      </w:r>
      <w:r>
        <w:rPr>
          <w:rFonts w:eastAsiaTheme="minorEastAsia"/>
        </w:rPr>
        <w:t>or asymmetric TRPs, RAN4 has conclude on the test case list in last meeting.</w:t>
      </w:r>
      <w:r w:rsidR="006505D0">
        <w:rPr>
          <w:rFonts w:eastAsiaTheme="minorEastAsia"/>
        </w:rPr>
        <w:t xml:space="preserve"> One remaining issue whether to define applicability rules between EN-DC and NR-SA.</w:t>
      </w:r>
    </w:p>
    <w:p w14:paraId="24CB71CA" w14:textId="77777777" w:rsidR="00C869F1" w:rsidRPr="00C869F1" w:rsidRDefault="00C869F1" w:rsidP="00C869F1">
      <w:pPr>
        <w:rPr>
          <w:rFonts w:eastAsiaTheme="minorEastAsia"/>
        </w:rPr>
      </w:pPr>
    </w:p>
    <w:tbl>
      <w:tblPr>
        <w:tblStyle w:val="afffb"/>
        <w:tblW w:w="0" w:type="auto"/>
        <w:tblInd w:w="0" w:type="dxa"/>
        <w:tblLook w:val="04A0" w:firstRow="1" w:lastRow="0" w:firstColumn="1" w:lastColumn="0" w:noHBand="0" w:noVBand="1"/>
      </w:tblPr>
      <w:tblGrid>
        <w:gridCol w:w="9630"/>
      </w:tblGrid>
      <w:tr w:rsidR="006505D0" w14:paraId="7B372522" w14:textId="77777777" w:rsidTr="006505D0">
        <w:tc>
          <w:tcPr>
            <w:tcW w:w="9630" w:type="dxa"/>
          </w:tcPr>
          <w:p w14:paraId="0D988B0E" w14:textId="77777777" w:rsidR="006505D0" w:rsidRDefault="006505D0" w:rsidP="006505D0">
            <w:pPr>
              <w:rPr>
                <w:b/>
                <w:u w:val="single"/>
                <w:lang w:eastAsia="ko-KR"/>
              </w:rPr>
            </w:pPr>
            <w:r>
              <w:rPr>
                <w:b/>
                <w:u w:val="single"/>
                <w:lang w:eastAsia="ko-KR"/>
              </w:rPr>
              <w:lastRenderedPageBreak/>
              <w:t xml:space="preserve">Issue 2-1: Test scope for asymmetric DL </w:t>
            </w:r>
            <w:proofErr w:type="spellStart"/>
            <w:r>
              <w:rPr>
                <w:b/>
                <w:u w:val="single"/>
                <w:lang w:eastAsia="ko-KR"/>
              </w:rPr>
              <w:t>sTRP</w:t>
            </w:r>
            <w:proofErr w:type="spellEnd"/>
            <w:r>
              <w:rPr>
                <w:b/>
                <w:u w:val="single"/>
                <w:lang w:eastAsia="ko-KR"/>
              </w:rPr>
              <w:t xml:space="preserve">/UL </w:t>
            </w:r>
            <w:proofErr w:type="spellStart"/>
            <w:r>
              <w:rPr>
                <w:b/>
                <w:u w:val="single"/>
                <w:lang w:eastAsia="ko-KR"/>
              </w:rPr>
              <w:t>mTRP</w:t>
            </w:r>
            <w:proofErr w:type="spellEnd"/>
            <w:r>
              <w:rPr>
                <w:b/>
                <w:u w:val="single"/>
                <w:lang w:eastAsia="ko-KR"/>
              </w:rPr>
              <w:t xml:space="preserve"> scenarios</w:t>
            </w:r>
          </w:p>
          <w:p w14:paraId="301B5BBF" w14:textId="77777777" w:rsidR="006505D0" w:rsidRDefault="006505D0" w:rsidP="006505D0">
            <w:pPr>
              <w:rPr>
                <w:rFonts w:eastAsia="等线"/>
                <w:bCs/>
                <w:sz w:val="21"/>
                <w:szCs w:val="21"/>
                <w:lang w:eastAsia="zh-CN"/>
              </w:rPr>
            </w:pPr>
            <w:r>
              <w:rPr>
                <w:rFonts w:eastAsia="等线"/>
                <w:bCs/>
                <w:sz w:val="21"/>
                <w:szCs w:val="21"/>
                <w:lang w:eastAsia="zh-CN"/>
              </w:rPr>
              <w:t>Agreement:</w:t>
            </w:r>
          </w:p>
          <w:p w14:paraId="249B890D" w14:textId="77777777" w:rsidR="006505D0" w:rsidRDefault="006505D0" w:rsidP="006505D0">
            <w:pPr>
              <w:numPr>
                <w:ilvl w:val="0"/>
                <w:numId w:val="41"/>
              </w:numPr>
              <w:autoSpaceDN w:val="0"/>
              <w:snapToGrid w:val="0"/>
              <w:jc w:val="left"/>
              <w:rPr>
                <w:bCs/>
                <w:lang w:eastAsia="zh-CN"/>
              </w:rPr>
            </w:pPr>
            <w:r>
              <w:rPr>
                <w:b/>
                <w:sz w:val="21"/>
                <w:szCs w:val="21"/>
                <w:lang w:eastAsia="zh-CN"/>
              </w:rPr>
              <w:t>For scenario#1,</w:t>
            </w:r>
          </w:p>
          <w:p w14:paraId="7DE58951" w14:textId="77777777" w:rsidR="006505D0" w:rsidRDefault="006505D0" w:rsidP="006505D0">
            <w:pPr>
              <w:numPr>
                <w:ilvl w:val="2"/>
                <w:numId w:val="41"/>
              </w:numPr>
              <w:autoSpaceDN w:val="0"/>
              <w:snapToGrid w:val="0"/>
              <w:jc w:val="left"/>
              <w:rPr>
                <w:b/>
                <w:sz w:val="21"/>
                <w:szCs w:val="21"/>
                <w:lang w:eastAsia="zh-CN"/>
              </w:rPr>
            </w:pPr>
            <w:r>
              <w:rPr>
                <w:sz w:val="21"/>
                <w:szCs w:val="21"/>
                <w:lang w:eastAsia="zh-CN"/>
              </w:rPr>
              <w:t xml:space="preserve">TC1: Timing </w:t>
            </w:r>
            <w:r>
              <w:rPr>
                <w:rFonts w:eastAsia="MS Mincho"/>
                <w:sz w:val="21"/>
                <w:szCs w:val="21"/>
                <w:lang w:eastAsia="zh-CN"/>
              </w:rPr>
              <w:t>Advance</w:t>
            </w:r>
            <w:r>
              <w:rPr>
                <w:sz w:val="21"/>
                <w:szCs w:val="21"/>
                <w:lang w:eastAsia="zh-CN"/>
              </w:rPr>
              <w:t xml:space="preserve"> Adjustment Accuracy Test for FR1</w:t>
            </w:r>
          </w:p>
          <w:p w14:paraId="69D1E135" w14:textId="77777777" w:rsidR="006505D0" w:rsidRDefault="006505D0" w:rsidP="006505D0">
            <w:pPr>
              <w:numPr>
                <w:ilvl w:val="2"/>
                <w:numId w:val="41"/>
              </w:numPr>
              <w:autoSpaceDN w:val="0"/>
              <w:snapToGrid w:val="0"/>
              <w:jc w:val="left"/>
              <w:rPr>
                <w:b/>
                <w:sz w:val="21"/>
                <w:szCs w:val="21"/>
                <w:lang w:eastAsia="zh-CN"/>
              </w:rPr>
            </w:pPr>
            <w:r>
              <w:rPr>
                <w:sz w:val="21"/>
                <w:szCs w:val="21"/>
                <w:lang w:eastAsia="zh-CN"/>
              </w:rPr>
              <w:t xml:space="preserve">TC2: Timing </w:t>
            </w:r>
            <w:r>
              <w:rPr>
                <w:rFonts w:eastAsia="MS Mincho"/>
                <w:sz w:val="21"/>
                <w:szCs w:val="21"/>
                <w:lang w:eastAsia="zh-CN"/>
              </w:rPr>
              <w:t>Advance</w:t>
            </w:r>
            <w:r>
              <w:rPr>
                <w:sz w:val="21"/>
                <w:szCs w:val="21"/>
                <w:lang w:eastAsia="zh-CN"/>
              </w:rPr>
              <w:t xml:space="preserve"> Adjustment Accuracy Test for FR2</w:t>
            </w:r>
          </w:p>
          <w:p w14:paraId="33B9A6F7" w14:textId="77777777" w:rsidR="006505D0" w:rsidRDefault="006505D0" w:rsidP="006505D0">
            <w:pPr>
              <w:numPr>
                <w:ilvl w:val="0"/>
                <w:numId w:val="41"/>
              </w:numPr>
              <w:autoSpaceDN w:val="0"/>
              <w:snapToGrid w:val="0"/>
              <w:jc w:val="left"/>
              <w:rPr>
                <w:b/>
                <w:sz w:val="21"/>
                <w:szCs w:val="21"/>
                <w:lang w:eastAsia="zh-CN"/>
              </w:rPr>
            </w:pPr>
            <w:r>
              <w:rPr>
                <w:b/>
                <w:sz w:val="21"/>
                <w:szCs w:val="21"/>
                <w:lang w:eastAsia="zh-CN"/>
              </w:rPr>
              <w:t>For scenario#2,</w:t>
            </w:r>
          </w:p>
          <w:p w14:paraId="74471D1B" w14:textId="77777777" w:rsidR="006505D0" w:rsidRDefault="006505D0" w:rsidP="006505D0">
            <w:pPr>
              <w:numPr>
                <w:ilvl w:val="2"/>
                <w:numId w:val="41"/>
              </w:numPr>
              <w:autoSpaceDN w:val="0"/>
              <w:snapToGrid w:val="0"/>
              <w:jc w:val="left"/>
              <w:rPr>
                <w:sz w:val="21"/>
                <w:szCs w:val="21"/>
                <w:lang w:eastAsia="zh-CN"/>
              </w:rPr>
            </w:pPr>
            <w:r>
              <w:rPr>
                <w:sz w:val="21"/>
                <w:szCs w:val="21"/>
                <w:lang w:eastAsia="zh-CN"/>
              </w:rPr>
              <w:t xml:space="preserve">TC3: </w:t>
            </w:r>
            <w:r>
              <w:rPr>
                <w:rFonts w:eastAsia="MS Mincho"/>
                <w:sz w:val="21"/>
                <w:szCs w:val="21"/>
                <w:lang w:eastAsia="zh-CN"/>
              </w:rPr>
              <w:t>uplink transmission timing 2TA FR1</w:t>
            </w:r>
          </w:p>
          <w:p w14:paraId="67348AAB" w14:textId="77777777" w:rsidR="006505D0" w:rsidRDefault="006505D0" w:rsidP="006505D0">
            <w:pPr>
              <w:numPr>
                <w:ilvl w:val="2"/>
                <w:numId w:val="41"/>
              </w:numPr>
              <w:autoSpaceDN w:val="0"/>
              <w:snapToGrid w:val="0"/>
              <w:jc w:val="left"/>
              <w:rPr>
                <w:sz w:val="21"/>
                <w:szCs w:val="21"/>
                <w:lang w:eastAsia="zh-CN"/>
              </w:rPr>
            </w:pPr>
            <w:r>
              <w:rPr>
                <w:sz w:val="21"/>
                <w:szCs w:val="21"/>
                <w:lang w:eastAsia="zh-CN"/>
              </w:rPr>
              <w:t xml:space="preserve">TC4: </w:t>
            </w:r>
            <w:r>
              <w:rPr>
                <w:rFonts w:eastAsia="MS Mincho"/>
                <w:sz w:val="21"/>
                <w:szCs w:val="21"/>
                <w:lang w:eastAsia="zh-CN"/>
              </w:rPr>
              <w:t>uplink transmission timing 2TA FR2</w:t>
            </w:r>
          </w:p>
          <w:p w14:paraId="65B8B7AE" w14:textId="77777777" w:rsidR="006505D0" w:rsidRPr="00720727" w:rsidRDefault="006505D0" w:rsidP="006505D0">
            <w:pPr>
              <w:snapToGrid w:val="0"/>
              <w:rPr>
                <w:sz w:val="21"/>
                <w:szCs w:val="21"/>
                <w:lang w:eastAsia="zh-CN"/>
              </w:rPr>
            </w:pPr>
            <w:r w:rsidRPr="00720727">
              <w:rPr>
                <w:sz w:val="21"/>
                <w:szCs w:val="21"/>
                <w:lang w:eastAsia="zh-CN"/>
              </w:rPr>
              <w:t>Agreement:</w:t>
            </w:r>
          </w:p>
          <w:p w14:paraId="723F2339" w14:textId="3791CBA0" w:rsidR="006505D0" w:rsidRPr="006505D0" w:rsidRDefault="006505D0" w:rsidP="0078059D">
            <w:pPr>
              <w:pStyle w:val="a3"/>
              <w:numPr>
                <w:ilvl w:val="0"/>
                <w:numId w:val="41"/>
              </w:numPr>
              <w:overflowPunct w:val="0"/>
              <w:autoSpaceDE w:val="0"/>
              <w:autoSpaceDN w:val="0"/>
              <w:adjustRightInd w:val="0"/>
              <w:snapToGrid w:val="0"/>
              <w:jc w:val="left"/>
              <w:textAlignment w:val="baseline"/>
              <w:rPr>
                <w:rFonts w:eastAsia="MS Mincho"/>
                <w:sz w:val="21"/>
                <w:szCs w:val="21"/>
                <w:lang w:eastAsia="zh-CN"/>
              </w:rPr>
            </w:pPr>
            <w:r w:rsidRPr="00720727">
              <w:rPr>
                <w:sz w:val="21"/>
                <w:szCs w:val="21"/>
                <w:lang w:eastAsia="zh-CN"/>
              </w:rPr>
              <w:t>Add all 4 TCs for EN-DC, and further discuss whether to add the applicability rule.</w:t>
            </w:r>
          </w:p>
        </w:tc>
      </w:tr>
    </w:tbl>
    <w:p w14:paraId="331435B4" w14:textId="3EE7277A" w:rsidR="00FC0997" w:rsidRDefault="00FC0997" w:rsidP="0078059D">
      <w:pPr>
        <w:rPr>
          <w:rFonts w:eastAsiaTheme="minorEastAsia"/>
        </w:rPr>
      </w:pPr>
      <w:r>
        <w:rPr>
          <w:rFonts w:eastAsiaTheme="minorEastAsia"/>
        </w:rPr>
        <w:t xml:space="preserve"> </w:t>
      </w:r>
    </w:p>
    <w:p w14:paraId="44E242AB" w14:textId="54263DDE" w:rsidR="006505D0" w:rsidRDefault="006505D0" w:rsidP="0078059D">
      <w:pPr>
        <w:rPr>
          <w:bCs/>
          <w:iCs/>
          <w:noProof/>
          <w:lang w:val="en-US"/>
        </w:rPr>
      </w:pPr>
      <w:r>
        <w:rPr>
          <w:rFonts w:hint="eastAsia"/>
          <w:bCs/>
          <w:iCs/>
          <w:noProof/>
          <w:lang w:val="en-US"/>
        </w:rPr>
        <w:t>F</w:t>
      </w:r>
      <w:r>
        <w:rPr>
          <w:bCs/>
          <w:iCs/>
          <w:noProof/>
          <w:lang w:val="en-US"/>
        </w:rPr>
        <w:t>rom performance perspective, there is no difference between NR-SA and EN-DC since the feature is operated on a single NR carrier. However, this is no precedent about applicability rules between EN-DC and NR-SA. Thus, as TC are defined for EN-DC, we prefer do not define appliability rule between EN-DC and NR-SA.</w:t>
      </w:r>
    </w:p>
    <w:p w14:paraId="5A204610" w14:textId="31D9E079" w:rsidR="006505D0" w:rsidRPr="006505D0" w:rsidRDefault="006505D0" w:rsidP="0078059D">
      <w:pPr>
        <w:rPr>
          <w:b/>
          <w:iCs/>
          <w:noProof/>
          <w:lang w:val="en-US"/>
        </w:rPr>
      </w:pPr>
      <w:r w:rsidRPr="006505D0">
        <w:rPr>
          <w:rFonts w:hint="eastAsia"/>
          <w:b/>
          <w:iCs/>
          <w:noProof/>
          <w:lang w:val="en-US"/>
        </w:rPr>
        <w:t>P</w:t>
      </w:r>
      <w:r w:rsidRPr="006505D0">
        <w:rPr>
          <w:b/>
          <w:iCs/>
          <w:noProof/>
          <w:lang w:val="en-US"/>
        </w:rPr>
        <w:t>roposal 2: For asymmtric TRPs, do not define applicability rules between EN-DC and NR-SA.</w:t>
      </w:r>
    </w:p>
    <w:p w14:paraId="0E853D3B" w14:textId="77777777" w:rsidR="006505D0" w:rsidRPr="00A8682A" w:rsidRDefault="006505D0" w:rsidP="0078059D">
      <w:pPr>
        <w:rPr>
          <w:bCs/>
          <w:iCs/>
          <w:noProof/>
          <w:lang w:val="en-US"/>
        </w:rPr>
      </w:pP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59E8B6E0" w14:textId="77777777" w:rsidR="006505D0" w:rsidRPr="00FC0997" w:rsidRDefault="006505D0" w:rsidP="006505D0">
      <w:pPr>
        <w:rPr>
          <w:rFonts w:eastAsiaTheme="minorEastAsia"/>
          <w:b/>
          <w:bCs/>
        </w:rPr>
      </w:pPr>
      <w:r w:rsidRPr="00FC0997">
        <w:rPr>
          <w:rFonts w:eastAsiaTheme="minorEastAsia" w:hint="eastAsia"/>
          <w:b/>
          <w:bCs/>
        </w:rPr>
        <w:t>P</w:t>
      </w:r>
      <w:r w:rsidRPr="00FC0997">
        <w:rPr>
          <w:rFonts w:eastAsiaTheme="minorEastAsia"/>
          <w:b/>
          <w:bCs/>
        </w:rPr>
        <w:t>roposal 1: Define one set of requirements at high SNR condition for CJTC.</w:t>
      </w:r>
    </w:p>
    <w:p w14:paraId="4FBC83BE" w14:textId="77777777" w:rsidR="006505D0" w:rsidRPr="006505D0" w:rsidRDefault="006505D0" w:rsidP="006505D0">
      <w:pPr>
        <w:rPr>
          <w:b/>
          <w:iCs/>
          <w:noProof/>
          <w:lang w:val="en-US"/>
        </w:rPr>
      </w:pPr>
      <w:r w:rsidRPr="006505D0">
        <w:rPr>
          <w:rFonts w:hint="eastAsia"/>
          <w:b/>
          <w:iCs/>
          <w:noProof/>
          <w:lang w:val="en-US"/>
        </w:rPr>
        <w:t>P</w:t>
      </w:r>
      <w:r w:rsidRPr="006505D0">
        <w:rPr>
          <w:b/>
          <w:iCs/>
          <w:noProof/>
          <w:lang w:val="en-US"/>
        </w:rPr>
        <w:t>roposal 2: For asymmtric TRPs, do not define applicability rules between EN-DC and NR-SA.</w:t>
      </w:r>
    </w:p>
    <w:p w14:paraId="4E3D1293" w14:textId="77777777" w:rsidR="00B9157F" w:rsidRPr="006505D0" w:rsidRDefault="00B9157F" w:rsidP="00F56AD4">
      <w:pPr>
        <w:rPr>
          <w:color w:val="000000"/>
          <w:szCs w:val="22"/>
          <w:lang w:val="en-US"/>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5C7B71C3" w:rsidR="0066444C" w:rsidRDefault="004A1838" w:rsidP="00317894">
      <w:pPr>
        <w:overflowPunct w:val="0"/>
        <w:autoSpaceDE w:val="0"/>
        <w:autoSpaceDN w:val="0"/>
        <w:adjustRightInd w:val="0"/>
        <w:jc w:val="left"/>
        <w:textAlignment w:val="baseline"/>
      </w:pPr>
      <w:r>
        <w:t xml:space="preserve">[1] </w:t>
      </w:r>
      <w:r w:rsidR="00FE624D" w:rsidRPr="00FE624D">
        <w:t>R4-2514803</w:t>
      </w:r>
      <w:r w:rsidRPr="004A1838">
        <w:tab/>
      </w:r>
      <w:r w:rsidR="00FE624D" w:rsidRPr="00FE624D">
        <w:t>WF on NR_MIMO_Ph5_RRM_Part1</w:t>
      </w:r>
    </w:p>
    <w:p w14:paraId="50263FEF" w14:textId="77777777" w:rsidR="009F49E5" w:rsidRPr="00115EE1" w:rsidRDefault="009F49E5" w:rsidP="009F49E5">
      <w:pPr>
        <w:rPr>
          <w:lang w:val="en-US"/>
        </w:rPr>
      </w:pP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929A" w14:textId="77777777" w:rsidR="00FD5E45" w:rsidRDefault="00FD5E45">
      <w:pPr>
        <w:spacing w:after="0"/>
      </w:pPr>
      <w:r>
        <w:separator/>
      </w:r>
    </w:p>
  </w:endnote>
  <w:endnote w:type="continuationSeparator" w:id="0">
    <w:p w14:paraId="4026B5FB" w14:textId="77777777" w:rsidR="00FD5E45" w:rsidRDefault="00FD5E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2AB2" w14:textId="77777777" w:rsidR="00FD5E45" w:rsidRDefault="00FD5E45">
      <w:pPr>
        <w:spacing w:after="0"/>
      </w:pPr>
      <w:r>
        <w:separator/>
      </w:r>
    </w:p>
  </w:footnote>
  <w:footnote w:type="continuationSeparator" w:id="0">
    <w:p w14:paraId="1247217A" w14:textId="77777777" w:rsidR="00FD5E45" w:rsidRDefault="00FD5E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7744EE"/>
    <w:multiLevelType w:val="hybridMultilevel"/>
    <w:tmpl w:val="48E01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98242AD"/>
    <w:multiLevelType w:val="hybridMultilevel"/>
    <w:tmpl w:val="E54403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5"/>
  </w:num>
  <w:num w:numId="22">
    <w:abstractNumId w:val="31"/>
  </w:num>
  <w:num w:numId="23">
    <w:abstractNumId w:val="37"/>
  </w:num>
  <w:num w:numId="24">
    <w:abstractNumId w:val="23"/>
  </w:num>
  <w:num w:numId="25">
    <w:abstractNumId w:val="28"/>
  </w:num>
  <w:num w:numId="26">
    <w:abstractNumId w:val="21"/>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40"/>
  </w:num>
  <w:num w:numId="32">
    <w:abstractNumId w:val="32"/>
  </w:num>
  <w:num w:numId="33">
    <w:abstractNumId w:val="29"/>
  </w:num>
  <w:num w:numId="34">
    <w:abstractNumId w:val="33"/>
  </w:num>
  <w:num w:numId="35">
    <w:abstractNumId w:val="36"/>
  </w:num>
  <w:num w:numId="36">
    <w:abstractNumId w:val="26"/>
  </w:num>
  <w:num w:numId="37">
    <w:abstractNumId w:val="30"/>
  </w:num>
  <w:num w:numId="38">
    <w:abstractNumId w:val="22"/>
  </w:num>
  <w:num w:numId="39">
    <w:abstractNumId w:val="25"/>
  </w:num>
  <w:num w:numId="40">
    <w:abstractNumId w:val="24"/>
  </w:num>
  <w:num w:numId="41">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31B"/>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B9D"/>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37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318"/>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367"/>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2E45"/>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5D0"/>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5E4A"/>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426"/>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46A"/>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6A35"/>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82A"/>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5EDC"/>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9F1"/>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7EE"/>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E7CBB"/>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9BF"/>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0997"/>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D5E45"/>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624D"/>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7042</TotalTime>
  <Pages>2</Pages>
  <Words>480</Words>
  <Characters>2738</Characters>
  <Application>Microsoft Office Word</Application>
  <DocSecurity>0</DocSecurity>
  <Lines>22</Lines>
  <Paragraphs>6</Paragraphs>
  <ScaleCrop>false</ScaleCrop>
  <Company>vivo</Company>
  <LinksUpToDate>false</LinksUpToDate>
  <CharactersWithSpaces>3212</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352</cp:revision>
  <cp:lastPrinted>2024-08-08T04:23:00Z</cp:lastPrinted>
  <dcterms:created xsi:type="dcterms:W3CDTF">2025-08-14T03:35:00Z</dcterms:created>
  <dcterms:modified xsi:type="dcterms:W3CDTF">2025-11-07T09:55:00Z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