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B44CFB">
      <w:pPr>
        <w:tabs>
          <w:tab w:val="right" w:pos="9781"/>
          <w:tab w:val="right" w:pos="13323"/>
        </w:tabs>
        <w:spacing w:before="60" w:after="60"/>
        <w:outlineLvl w:val="0"/>
        <w:rPr>
          <w:rFonts w:ascii="Arial" w:hAnsi="Arial" w:eastAsia="宋体" w:cs="Arial"/>
          <w:b/>
          <w:kern w:val="0"/>
          <w:sz w:val="24"/>
          <w:szCs w:val="24"/>
          <w:lang w:val="en-US" w:eastAsia="zh-CN" w:bidi="ar-SA"/>
        </w:rPr>
      </w:pPr>
      <w:bookmarkStart w:id="0" w:name="_Hlk127531451"/>
      <w:bookmarkEnd w:id="0"/>
      <w:bookmarkStart w:id="1" w:name="Title"/>
      <w:bookmarkEnd w:id="1"/>
      <w:bookmarkStart w:id="2" w:name="DocumentFor"/>
      <w:bookmarkEnd w:id="2"/>
      <w:bookmarkStart w:id="3" w:name="OLE_LINK6"/>
      <w:bookmarkStart w:id="4" w:name="OLE_LINK5"/>
      <w:bookmarkStart w:id="5" w:name="OLE_LINK7"/>
      <w:r>
        <w:rPr>
          <w:rFonts w:ascii="Arial" w:hAnsi="Arial" w:eastAsia="宋体" w:cs="Arial"/>
          <w:b/>
          <w:kern w:val="0"/>
          <w:sz w:val="24"/>
          <w:szCs w:val="24"/>
          <w:lang w:val="en-US" w:eastAsia="zh-CN" w:bidi="ar-SA"/>
        </w:rPr>
        <w:t>3GPP TSG-RAN WG4 Meeting #117</w:t>
      </w:r>
      <w:r>
        <w:rPr>
          <w:rFonts w:hint="eastAsia" w:ascii="Arial" w:hAnsi="Arial" w:eastAsia="宋体" w:cs="Arial"/>
          <w:b/>
          <w:kern w:val="0"/>
          <w:sz w:val="24"/>
          <w:szCs w:val="24"/>
          <w:lang w:val="en-US" w:eastAsia="zh-CN" w:bidi="ar-SA"/>
        </w:rPr>
        <w:t xml:space="preserve">                                   </w:t>
      </w:r>
      <w:bookmarkStart w:id="13" w:name="_GoBack"/>
      <w:r>
        <w:rPr>
          <w:rFonts w:hint="eastAsia" w:ascii="Arial" w:hAnsi="Arial" w:eastAsia="宋体" w:cs="Arial"/>
          <w:b/>
          <w:kern w:val="0"/>
          <w:sz w:val="24"/>
          <w:szCs w:val="24"/>
          <w:lang w:val="en-US" w:eastAsia="zh-CN" w:bidi="ar-SA"/>
        </w:rPr>
        <w:t>R4-2520433</w:t>
      </w:r>
      <w:bookmarkEnd w:id="13"/>
    </w:p>
    <w:p w14:paraId="663CBC99">
      <w:pPr>
        <w:tabs>
          <w:tab w:val="right" w:pos="9781"/>
          <w:tab w:val="right" w:pos="13323"/>
        </w:tabs>
        <w:spacing w:before="60" w:after="60"/>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Dallas, USA, Nov. 17-21, 2025</w:t>
      </w:r>
    </w:p>
    <w:p w14:paraId="12829AFB">
      <w:pPr>
        <w:tabs>
          <w:tab w:val="left" w:pos="2160"/>
        </w:tabs>
        <w:spacing w:before="180"/>
        <w:rPr>
          <w:rFonts w:ascii="Arial" w:hAnsi="Arial" w:cs="Arial"/>
          <w:b/>
          <w:sz w:val="24"/>
          <w:szCs w:val="24"/>
          <w:highlight w:val="yellow"/>
        </w:rPr>
      </w:pPr>
    </w:p>
    <w:p w14:paraId="12601FD5">
      <w:pPr>
        <w:tabs>
          <w:tab w:val="left" w:pos="2160"/>
        </w:tabs>
        <w:spacing w:before="180"/>
        <w:rPr>
          <w:rFonts w:hint="default" w:ascii="Arial" w:hAnsi="Arial" w:eastAsia="宋体" w:cs="Arial"/>
          <w:b/>
          <w:sz w:val="24"/>
          <w:szCs w:val="24"/>
          <w:highlight w:val="none"/>
          <w:lang w:val="en-US" w:eastAsia="zh-CN"/>
        </w:rPr>
      </w:pPr>
      <w:r>
        <w:rPr>
          <w:rFonts w:ascii="Arial" w:hAnsi="Arial" w:cs="Arial"/>
          <w:b/>
          <w:sz w:val="24"/>
          <w:szCs w:val="24"/>
          <w:highlight w:val="none"/>
        </w:rPr>
        <w:t>Agenda item:</w:t>
      </w:r>
      <w:r>
        <w:rPr>
          <w:rFonts w:ascii="Arial" w:hAnsi="Arial" w:cs="Arial"/>
          <w:b/>
          <w:sz w:val="24"/>
          <w:szCs w:val="24"/>
          <w:highlight w:val="none"/>
        </w:rPr>
        <w:tab/>
      </w:r>
      <w:r>
        <w:rPr>
          <w:rFonts w:hint="eastAsia" w:ascii="Arial" w:hAnsi="Arial" w:eastAsia="宋体" w:cs="Arial"/>
          <w:b/>
          <w:sz w:val="24"/>
          <w:szCs w:val="24"/>
          <w:highlight w:val="none"/>
          <w:lang w:val="en-US" w:eastAsia="zh-CN"/>
        </w:rPr>
        <w:t>8.5</w:t>
      </w:r>
    </w:p>
    <w:p w14:paraId="185D1CC5">
      <w:pPr>
        <w:tabs>
          <w:tab w:val="left" w:pos="2160"/>
        </w:tabs>
        <w:rPr>
          <w:rFonts w:hint="default" w:ascii="Arial" w:hAnsi="Arial" w:eastAsia="宋体" w:cs="Arial"/>
          <w:b/>
          <w:sz w:val="24"/>
          <w:szCs w:val="24"/>
          <w:lang w:val="en-US" w:eastAsia="zh-CN"/>
        </w:rPr>
      </w:pPr>
      <w:bookmarkStart w:id="6" w:name="OLE_LINK9"/>
      <w:r>
        <w:rPr>
          <w:rFonts w:ascii="Arial" w:hAnsi="Arial" w:cs="Arial"/>
          <w:b/>
          <w:sz w:val="24"/>
          <w:szCs w:val="24"/>
        </w:rPr>
        <w:t>Source:</w:t>
      </w:r>
      <w:r>
        <w:rPr>
          <w:rFonts w:ascii="Arial" w:hAnsi="Arial" w:cs="Arial"/>
          <w:b/>
          <w:sz w:val="24"/>
          <w:szCs w:val="24"/>
        </w:rPr>
        <w:tab/>
      </w:r>
      <w:bookmarkStart w:id="7" w:name="OLE_LINK12"/>
      <w:r>
        <w:rPr>
          <w:rFonts w:hint="eastAsia" w:ascii="Arial" w:hAnsi="Arial" w:cs="Arial"/>
          <w:b/>
          <w:sz w:val="24"/>
          <w:szCs w:val="24"/>
        </w:rPr>
        <w:t>C</w:t>
      </w:r>
      <w:bookmarkEnd w:id="7"/>
      <w:r>
        <w:rPr>
          <w:rFonts w:hint="eastAsia" w:ascii="Arial" w:hAnsi="Arial" w:eastAsia="宋体" w:cs="Arial"/>
          <w:b/>
          <w:sz w:val="24"/>
          <w:szCs w:val="24"/>
          <w:lang w:val="en-US" w:eastAsia="zh-CN"/>
        </w:rPr>
        <w:t>MCC</w:t>
      </w:r>
    </w:p>
    <w:bookmarkEnd w:id="6"/>
    <w:p w14:paraId="007044DE">
      <w:pPr>
        <w:tabs>
          <w:tab w:val="left" w:pos="2160"/>
        </w:tabs>
        <w:rPr>
          <w:rFonts w:hint="default" w:ascii="Arial" w:hAnsi="Arial" w:eastAsia="宋体" w:cs="Arial"/>
          <w:b/>
          <w:sz w:val="24"/>
          <w:szCs w:val="24"/>
          <w:highlight w:val="none"/>
          <w:lang w:val="en-US" w:eastAsia="zh-CN"/>
        </w:rPr>
      </w:pPr>
      <w:r>
        <w:rPr>
          <w:rFonts w:ascii="Arial" w:hAnsi="Arial" w:cs="Arial"/>
          <w:b/>
          <w:sz w:val="24"/>
          <w:szCs w:val="24"/>
        </w:rPr>
        <w:t>Title:</w:t>
      </w:r>
      <w:r>
        <w:rPr>
          <w:rFonts w:ascii="Arial" w:hAnsi="Arial" w:cs="Arial"/>
          <w:b/>
          <w:sz w:val="24"/>
          <w:szCs w:val="24"/>
        </w:rPr>
        <w:tab/>
      </w:r>
      <w:bookmarkStart w:id="8" w:name="OLE_LINK8"/>
      <w:r>
        <w:rPr>
          <w:rFonts w:hint="eastAsia" w:ascii="Arial" w:hAnsi="Arial" w:eastAsia="宋体" w:cs="Arial"/>
          <w:b/>
          <w:sz w:val="24"/>
          <w:szCs w:val="24"/>
          <w:highlight w:val="none"/>
          <w:lang w:val="en-US" w:eastAsia="zh-CN"/>
        </w:rPr>
        <w:t>Discussion o</w:t>
      </w:r>
      <w:r>
        <w:rPr>
          <w:rFonts w:ascii="Arial" w:hAnsi="Arial" w:cs="Arial"/>
          <w:b/>
          <w:sz w:val="24"/>
          <w:szCs w:val="24"/>
          <w:highlight w:val="none"/>
        </w:rPr>
        <w:t xml:space="preserve">n </w:t>
      </w:r>
      <w:bookmarkEnd w:id="8"/>
      <w:r>
        <w:rPr>
          <w:rFonts w:hint="eastAsia" w:ascii="Arial" w:hAnsi="Arial" w:eastAsia="宋体" w:cs="Arial"/>
          <w:b/>
          <w:sz w:val="24"/>
          <w:szCs w:val="24"/>
          <w:highlight w:val="none"/>
          <w:lang w:val="en-US" w:eastAsia="zh-CN"/>
        </w:rPr>
        <w:t>6G spectrum</w:t>
      </w:r>
    </w:p>
    <w:p w14:paraId="11B7221F">
      <w:pPr>
        <w:tabs>
          <w:tab w:val="left" w:pos="2160"/>
        </w:tabs>
        <w:rPr>
          <w:rFonts w:hint="default" w:ascii="Arial" w:hAnsi="Arial" w:eastAsia="宋体"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hint="eastAsia" w:ascii="Arial" w:hAnsi="Arial" w:eastAsia="宋体" w:cs="Arial"/>
          <w:b/>
          <w:sz w:val="24"/>
          <w:szCs w:val="24"/>
          <w:lang w:val="en-US" w:eastAsia="zh-CN"/>
        </w:rPr>
        <w:t>Discussion</w:t>
      </w:r>
    </w:p>
    <w:p w14:paraId="4CE3F22E">
      <w:pPr>
        <w:pStyle w:val="2"/>
      </w:pPr>
      <w:r>
        <w:t>Introduction</w:t>
      </w:r>
      <w:bookmarkStart w:id="9" w:name="OLE_LINK15"/>
      <w:bookmarkStart w:id="10" w:name="OLE_LINK4"/>
    </w:p>
    <w:bookmarkEnd w:id="9"/>
    <w:bookmarkEnd w:id="10"/>
    <w:p w14:paraId="79A45E56">
      <w:pPr>
        <w:spacing w:before="0"/>
        <w:jc w:val="both"/>
        <w:rPr>
          <w:rFonts w:hint="eastAsia"/>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According to chairman</w:t>
      </w:r>
      <w:r>
        <w:rPr>
          <w:rFonts w:hint="default"/>
          <w:lang w:val="en-US" w:eastAsia="zh-CN"/>
        </w:rPr>
        <w:t>’</w:t>
      </w:r>
      <w:r>
        <w:rPr>
          <w:rFonts w:hint="eastAsia"/>
          <w:lang w:val="en-US" w:eastAsia="zh-CN"/>
        </w:rPr>
        <w:t>s suggestion, this scope includes band/band combination definition and simplification, the definition of frequency ranges, 6G spectrum related other aspects, including the regulatory status survey.</w:t>
      </w:r>
    </w:p>
    <w:p w14:paraId="37A69CDB">
      <w:pPr>
        <w:spacing w:before="0"/>
        <w:jc w:val="both"/>
        <w:rPr>
          <w:rFonts w:hint="default"/>
          <w:lang w:val="en-US" w:eastAsia="zh-CN"/>
        </w:rPr>
      </w:pPr>
      <w:r>
        <w:rPr>
          <w:rFonts w:hint="eastAsia"/>
          <w:lang w:val="en-US" w:eastAsia="zh-CN"/>
        </w:rPr>
        <w:t>In last meeting, a WF[2] is approved.</w:t>
      </w:r>
    </w:p>
    <w:p w14:paraId="3950E5B5">
      <w:pPr>
        <w:numPr>
          <w:ilvl w:val="0"/>
          <w:numId w:val="0"/>
        </w:numPr>
        <w:spacing w:after="120"/>
        <w:ind w:right="-96" w:rightChars="0"/>
        <w:jc w:val="both"/>
        <w:rPr>
          <w:rFonts w:hint="default" w:ascii="Times" w:hAnsi="Times" w:eastAsia="宋体"/>
          <w:bCs/>
          <w:highlight w:val="yellow"/>
          <w:lang w:val="en-US" w:eastAsia="zh-CN"/>
        </w:rPr>
      </w:pPr>
      <w:r>
        <w:rPr>
          <w:rFonts w:hint="eastAsia"/>
          <w:lang w:eastAsia="zh-CN"/>
        </w:rPr>
        <w:t xml:space="preserve">In this contribution, </w:t>
      </w:r>
      <w:r>
        <w:rPr>
          <w:rFonts w:hint="eastAsia"/>
          <w:lang w:val="en-US" w:eastAsia="zh-CN"/>
        </w:rPr>
        <w:t>we show out view on 6G spect</w:t>
      </w:r>
      <w:r>
        <w:rPr>
          <w:rFonts w:hint="eastAsia"/>
          <w:highlight w:val="none"/>
          <w:lang w:val="en-US" w:eastAsia="zh-CN"/>
        </w:rPr>
        <w:t>rum</w:t>
      </w:r>
      <w:r>
        <w:rPr>
          <w:rFonts w:hint="eastAsia"/>
          <w:color w:val="000000"/>
          <w:highlight w:val="none"/>
          <w:lang w:eastAsia="zh-CN"/>
        </w:rPr>
        <w:t>.</w:t>
      </w:r>
    </w:p>
    <w:p w14:paraId="3C04DC75">
      <w:pPr>
        <w:pStyle w:val="2"/>
        <w:jc w:val="both"/>
        <w:rPr>
          <w:rFonts w:hint="default" w:eastAsia="宋体"/>
          <w:lang w:val="en-US" w:eastAsia="zh-CN"/>
        </w:rPr>
      </w:pPr>
      <w:bookmarkStart w:id="11" w:name="OLE_LINK3"/>
      <w:r>
        <w:rPr>
          <w:rFonts w:hint="eastAsia" w:eastAsia="宋体"/>
          <w:lang w:val="en-US" w:eastAsia="zh-CN"/>
        </w:rPr>
        <w:t>Discussion</w:t>
      </w:r>
    </w:p>
    <w:p w14:paraId="6F165A40">
      <w:pPr>
        <w:pStyle w:val="3"/>
        <w:numPr>
          <w:ilvl w:val="1"/>
          <w:numId w:val="1"/>
        </w:numPr>
        <w:bidi w:val="0"/>
        <w:ind w:left="575" w:leftChars="0" w:hanging="575" w:firstLineChars="0"/>
        <w:rPr>
          <w:rFonts w:hint="eastAsia"/>
          <w:lang w:val="en-US" w:eastAsia="zh-CN"/>
        </w:rPr>
      </w:pPr>
      <w:r>
        <w:rPr>
          <w:rFonts w:hint="eastAsia"/>
          <w:lang w:val="en-US" w:eastAsia="zh-CN"/>
        </w:rPr>
        <w:t>The definition of frequency ranges</w:t>
      </w:r>
    </w:p>
    <w:p w14:paraId="4062E9E6">
      <w:pPr>
        <w:jc w:val="both"/>
        <w:rPr>
          <w:lang w:val="en-US"/>
        </w:rPr>
      </w:pPr>
      <w:r>
        <w:rPr>
          <w:lang w:val="en-US"/>
        </w:rPr>
        <w:t>The RAN led study on 6G Scenarios and requirements has been approved at RAN#108 [1]. Among its objectives, it includes</w:t>
      </w:r>
    </w:p>
    <w:p w14:paraId="3952171C">
      <w:pPr>
        <w:numPr>
          <w:ilvl w:val="0"/>
          <w:numId w:val="2"/>
        </w:numPr>
        <w:overflowPunct w:val="0"/>
        <w:autoSpaceDE w:val="0"/>
        <w:autoSpaceDN w:val="0"/>
        <w:adjustRightInd w:val="0"/>
        <w:spacing w:after="180" w:line="240" w:lineRule="auto"/>
        <w:contextualSpacing/>
        <w:textAlignment w:val="baseline"/>
        <w:rPr>
          <w:rFonts w:eastAsia="等线"/>
          <w:i/>
          <w:lang w:val="en-US"/>
        </w:rPr>
      </w:pPr>
      <w:r>
        <w:rPr>
          <w:rFonts w:eastAsia="等线"/>
          <w:i/>
          <w:lang w:val="en-US"/>
        </w:rPr>
        <w:t xml:space="preserve">Develop 3GPP requirements for 6G Radio for these practical deployment scenarios to ensure substantial gains in all relevant bands: overall performance, user experience, TCO reduction including at least: </w:t>
      </w:r>
    </w:p>
    <w:p w14:paraId="34020B9E">
      <w:pPr>
        <w:numPr>
          <w:ilvl w:val="1"/>
          <w:numId w:val="2"/>
        </w:numPr>
        <w:overflowPunct w:val="0"/>
        <w:autoSpaceDE w:val="0"/>
        <w:autoSpaceDN w:val="0"/>
        <w:adjustRightInd w:val="0"/>
        <w:spacing w:after="180" w:line="240" w:lineRule="auto"/>
        <w:contextualSpacing/>
        <w:textAlignment w:val="baseline"/>
        <w:rPr>
          <w:rFonts w:eastAsia="等线"/>
          <w:bCs/>
          <w:i/>
          <w:iCs/>
          <w:lang w:val="en-US"/>
        </w:rPr>
      </w:pPr>
      <w:r>
        <w:rPr>
          <w:rFonts w:eastAsia="等线"/>
          <w:bCs/>
          <w:i/>
          <w:iCs/>
          <w:lang w:val="en-US"/>
        </w:rPr>
        <w:t>…</w:t>
      </w:r>
    </w:p>
    <w:p w14:paraId="1FA0D63C">
      <w:pPr>
        <w:numPr>
          <w:ilvl w:val="1"/>
          <w:numId w:val="2"/>
        </w:numPr>
        <w:overflowPunct w:val="0"/>
        <w:autoSpaceDE w:val="0"/>
        <w:autoSpaceDN w:val="0"/>
        <w:adjustRightInd w:val="0"/>
        <w:spacing w:after="180" w:line="240" w:lineRule="auto"/>
        <w:contextualSpacing/>
        <w:textAlignment w:val="baseline"/>
        <w:rPr>
          <w:rFonts w:eastAsia="等线"/>
          <w:bCs/>
          <w:i/>
          <w:iCs/>
          <w:lang w:val="en-US"/>
        </w:rPr>
      </w:pPr>
      <w:r>
        <w:rPr>
          <w:rFonts w:eastAsia="等线"/>
          <w:bCs/>
          <w:i/>
          <w:iCs/>
          <w:lang w:val="en-US"/>
        </w:rPr>
        <w:t xml:space="preserve">Wider channel bandwidth (at least 200MHz) support for 6G deployments </w:t>
      </w:r>
      <w:r>
        <w:rPr>
          <w:rFonts w:hint="eastAsia" w:eastAsia="等线"/>
          <w:bCs/>
          <w:i/>
          <w:iCs/>
          <w:lang w:val="en-US" w:eastAsia="zh-CN"/>
        </w:rPr>
        <w:t>at least</w:t>
      </w:r>
      <w:r>
        <w:rPr>
          <w:rFonts w:eastAsia="等线"/>
          <w:bCs/>
          <w:i/>
          <w:iCs/>
          <w:lang w:val="en-US"/>
        </w:rPr>
        <w:t xml:space="preserve"> </w:t>
      </w:r>
      <w:r>
        <w:rPr>
          <w:rFonts w:hint="eastAsia" w:eastAsia="等线"/>
          <w:bCs/>
          <w:i/>
          <w:iCs/>
          <w:lang w:val="en-US" w:eastAsia="zh-CN"/>
        </w:rPr>
        <w:t xml:space="preserve">above 2 GHz, </w:t>
      </w:r>
      <w:r>
        <w:rPr>
          <w:rFonts w:eastAsia="等线"/>
          <w:bCs/>
          <w:i/>
          <w:iCs/>
          <w:lang w:val="en-US"/>
        </w:rPr>
        <w:t>around 7 GHz</w:t>
      </w:r>
    </w:p>
    <w:p w14:paraId="78476C33">
      <w:pPr>
        <w:numPr>
          <w:ilvl w:val="1"/>
          <w:numId w:val="2"/>
        </w:numPr>
        <w:overflowPunct w:val="0"/>
        <w:autoSpaceDE w:val="0"/>
        <w:autoSpaceDN w:val="0"/>
        <w:adjustRightInd w:val="0"/>
        <w:spacing w:after="180" w:line="240" w:lineRule="auto"/>
        <w:contextualSpacing/>
        <w:textAlignment w:val="baseline"/>
        <w:rPr>
          <w:rFonts w:eastAsia="等线"/>
          <w:bCs/>
          <w:i/>
          <w:iCs/>
          <w:lang w:val="en-US"/>
        </w:rPr>
      </w:pPr>
      <w:r>
        <w:rPr>
          <w:rFonts w:eastAsia="等线"/>
          <w:bCs/>
          <w:i/>
          <w:iCs/>
          <w:lang w:val="en-US"/>
        </w:rPr>
        <w:t>Re-use of existing 5G mid-band (~3.5GHz) site grid for 6G deployments in at least around 7 GHz and targeting comparable coverage to 5G mid-band</w:t>
      </w:r>
    </w:p>
    <w:p w14:paraId="346C4677">
      <w:pPr>
        <w:numPr>
          <w:ilvl w:val="1"/>
          <w:numId w:val="2"/>
        </w:numPr>
        <w:overflowPunct w:val="0"/>
        <w:autoSpaceDE w:val="0"/>
        <w:autoSpaceDN w:val="0"/>
        <w:adjustRightInd w:val="0"/>
        <w:spacing w:after="180" w:line="240" w:lineRule="auto"/>
        <w:contextualSpacing/>
        <w:textAlignment w:val="baseline"/>
        <w:rPr>
          <w:rFonts w:eastAsia="等线"/>
          <w:bCs/>
          <w:i/>
          <w:iCs/>
          <w:lang w:val="en-US"/>
        </w:rPr>
      </w:pPr>
      <w:r>
        <w:rPr>
          <w:rFonts w:eastAsia="等线"/>
          <w:bCs/>
          <w:i/>
          <w:iCs/>
          <w:lang w:val="en-US"/>
        </w:rPr>
        <w:t>…</w:t>
      </w:r>
    </w:p>
    <w:p w14:paraId="60EB8D64">
      <w:pPr>
        <w:numPr>
          <w:ilvl w:val="0"/>
          <w:numId w:val="0"/>
        </w:numPr>
        <w:ind w:leftChars="0"/>
        <w:rPr>
          <w:rFonts w:hint="default" w:eastAsia="宋体"/>
          <w:sz w:val="20"/>
          <w:szCs w:val="20"/>
          <w:lang w:val="en-US" w:eastAsia="zh-CN"/>
        </w:rPr>
      </w:pPr>
      <w:r>
        <w:rPr>
          <w:rFonts w:hint="eastAsia" w:eastAsia="宋体"/>
          <w:sz w:val="20"/>
          <w:szCs w:val="20"/>
          <w:lang w:val="en-US" w:eastAsia="zh-CN"/>
        </w:rPr>
        <w:t>Last meeting RAN4 agreements are listed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2AB82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71EE9A5C">
            <w:pPr>
              <w:pStyle w:val="26"/>
              <w:keepNext w:val="0"/>
              <w:keepLines w:val="0"/>
              <w:pageBreakBefore w:val="0"/>
              <w:widowControl/>
              <w:numPr>
                <w:ilvl w:val="0"/>
                <w:numId w:val="3"/>
              </w:numPr>
              <w:kinsoku/>
              <w:wordWrap/>
              <w:overflowPunct/>
              <w:topLinePunct w:val="0"/>
              <w:autoSpaceDE/>
              <w:autoSpaceDN/>
              <w:bidi w:val="0"/>
              <w:adjustRightInd/>
              <w:snapToGrid/>
              <w:spacing w:after="0"/>
              <w:ind w:left="720" w:hanging="363" w:firstLineChars="0"/>
              <w:textAlignment w:val="auto"/>
              <w:rPr>
                <w:rFonts w:eastAsia="宋体"/>
                <w:color w:val="auto"/>
                <w:szCs w:val="24"/>
                <w:highlight w:val="none"/>
                <w:lang w:eastAsia="zh-CN"/>
              </w:rPr>
            </w:pPr>
            <w:r>
              <w:rPr>
                <w:rFonts w:eastAsia="宋体"/>
                <w:color w:val="auto"/>
                <w:szCs w:val="24"/>
                <w:highlight w:val="none"/>
                <w:lang w:eastAsia="zh-CN"/>
              </w:rPr>
              <w:t>WF</w:t>
            </w:r>
          </w:p>
          <w:p w14:paraId="5C95AB41">
            <w:pPr>
              <w:pStyle w:val="26"/>
              <w:keepNext w:val="0"/>
              <w:keepLines w:val="0"/>
              <w:pageBreakBefore w:val="0"/>
              <w:widowControl/>
              <w:numPr>
                <w:ilvl w:val="1"/>
                <w:numId w:val="3"/>
              </w:numPr>
              <w:kinsoku/>
              <w:wordWrap/>
              <w:overflowPunct/>
              <w:topLinePunct w:val="0"/>
              <w:autoSpaceDE/>
              <w:autoSpaceDN/>
              <w:bidi w:val="0"/>
              <w:adjustRightInd/>
              <w:snapToGrid/>
              <w:spacing w:after="0"/>
              <w:ind w:left="1440" w:hanging="363" w:firstLineChars="0"/>
              <w:textAlignment w:val="auto"/>
              <w:rPr>
                <w:rFonts w:eastAsia="宋体"/>
                <w:color w:val="auto"/>
                <w:szCs w:val="24"/>
                <w:highlight w:val="none"/>
                <w:lang w:eastAsia="zh-CN"/>
              </w:rPr>
            </w:pPr>
            <w:r>
              <w:rPr>
                <w:rFonts w:eastAsia="宋体"/>
                <w:color w:val="auto"/>
                <w:szCs w:val="24"/>
                <w:highlight w:val="none"/>
                <w:lang w:eastAsia="zh-CN"/>
              </w:rPr>
              <w:t>RAN4 acknowledge that a definition of frequency ranges depends on multiple criteria’s which may have different importance dependent on individual company views. As a starting point the following can be discussed, not precluding companies to also consider others:</w:t>
            </w:r>
          </w:p>
          <w:p w14:paraId="0BB9A3B1">
            <w:pPr>
              <w:pStyle w:val="26"/>
              <w:keepNext w:val="0"/>
              <w:keepLines w:val="0"/>
              <w:pageBreakBefore w:val="0"/>
              <w:widowControl/>
              <w:numPr>
                <w:ilvl w:val="2"/>
                <w:numId w:val="3"/>
              </w:numPr>
              <w:kinsoku/>
              <w:wordWrap/>
              <w:topLinePunct w:val="0"/>
              <w:bidi w:val="0"/>
              <w:snapToGrid/>
              <w:spacing w:after="0"/>
              <w:ind w:hanging="363" w:firstLineChars="0"/>
              <w:rPr>
                <w:rFonts w:eastAsia="宋体"/>
                <w:color w:val="auto"/>
                <w:szCs w:val="24"/>
                <w:highlight w:val="none"/>
                <w:lang w:eastAsia="zh-CN"/>
              </w:rPr>
            </w:pPr>
            <w:r>
              <w:rPr>
                <w:rFonts w:eastAsia="宋体"/>
                <w:color w:val="auto"/>
                <w:szCs w:val="24"/>
                <w:highlight w:val="none"/>
                <w:lang w:eastAsia="zh-CN"/>
              </w:rPr>
              <w:t>Regulatory framework</w:t>
            </w:r>
          </w:p>
          <w:p w14:paraId="6BC98455">
            <w:pPr>
              <w:pStyle w:val="26"/>
              <w:keepNext w:val="0"/>
              <w:keepLines w:val="0"/>
              <w:pageBreakBefore w:val="0"/>
              <w:widowControl/>
              <w:numPr>
                <w:ilvl w:val="2"/>
                <w:numId w:val="3"/>
              </w:numPr>
              <w:kinsoku/>
              <w:wordWrap/>
              <w:topLinePunct w:val="0"/>
              <w:bidi w:val="0"/>
              <w:snapToGrid/>
              <w:spacing w:after="0"/>
              <w:ind w:hanging="363" w:firstLineChars="0"/>
              <w:rPr>
                <w:rFonts w:eastAsia="宋体"/>
                <w:color w:val="auto"/>
                <w:szCs w:val="24"/>
                <w:highlight w:val="none"/>
                <w:lang w:eastAsia="zh-CN"/>
              </w:rPr>
            </w:pPr>
            <w:r>
              <w:rPr>
                <w:rFonts w:eastAsia="宋体"/>
                <w:color w:val="auto"/>
                <w:szCs w:val="24"/>
                <w:highlight w:val="none"/>
                <w:lang w:eastAsia="zh-CN"/>
              </w:rPr>
              <w:t>UE RF front-end architecture (e.g. whether requirements can be verified conducted or not)</w:t>
            </w:r>
          </w:p>
          <w:p w14:paraId="2CE69236">
            <w:pPr>
              <w:pStyle w:val="26"/>
              <w:keepNext w:val="0"/>
              <w:keepLines w:val="0"/>
              <w:pageBreakBefore w:val="0"/>
              <w:widowControl/>
              <w:numPr>
                <w:ilvl w:val="2"/>
                <w:numId w:val="3"/>
              </w:numPr>
              <w:kinsoku/>
              <w:wordWrap/>
              <w:topLinePunct w:val="0"/>
              <w:bidi w:val="0"/>
              <w:snapToGrid/>
              <w:spacing w:after="0"/>
              <w:ind w:hanging="363" w:firstLineChars="0"/>
              <w:rPr>
                <w:rFonts w:eastAsia="宋体"/>
                <w:color w:val="auto"/>
                <w:szCs w:val="24"/>
                <w:highlight w:val="none"/>
                <w:lang w:eastAsia="zh-CN"/>
              </w:rPr>
            </w:pPr>
            <w:r>
              <w:rPr>
                <w:rFonts w:eastAsia="宋体"/>
                <w:color w:val="auto"/>
                <w:szCs w:val="24"/>
                <w:highlight w:val="none"/>
                <w:lang w:eastAsia="zh-CN"/>
              </w:rPr>
              <w:t>Commonality of UE RF/RRM requirements</w:t>
            </w:r>
          </w:p>
          <w:p w14:paraId="2483F9A9">
            <w:pPr>
              <w:pStyle w:val="26"/>
              <w:keepNext w:val="0"/>
              <w:keepLines w:val="0"/>
              <w:pageBreakBefore w:val="0"/>
              <w:widowControl/>
              <w:numPr>
                <w:ilvl w:val="2"/>
                <w:numId w:val="3"/>
              </w:numPr>
              <w:kinsoku/>
              <w:wordWrap/>
              <w:topLinePunct w:val="0"/>
              <w:bidi w:val="0"/>
              <w:snapToGrid/>
              <w:spacing w:after="0"/>
              <w:ind w:hanging="363" w:firstLineChars="0"/>
              <w:rPr>
                <w:rFonts w:eastAsia="宋体"/>
                <w:color w:val="auto"/>
                <w:szCs w:val="24"/>
                <w:highlight w:val="none"/>
                <w:lang w:eastAsia="zh-CN"/>
              </w:rPr>
            </w:pPr>
            <w:r>
              <w:rPr>
                <w:rFonts w:eastAsia="宋体"/>
                <w:color w:val="auto"/>
                <w:szCs w:val="24"/>
                <w:highlight w:val="none"/>
                <w:lang w:eastAsia="zh-CN"/>
              </w:rPr>
              <w:t xml:space="preserve">Numerology dependency </w:t>
            </w:r>
          </w:p>
          <w:p w14:paraId="69A4BB79">
            <w:pPr>
              <w:pStyle w:val="26"/>
              <w:keepNext w:val="0"/>
              <w:keepLines w:val="0"/>
              <w:pageBreakBefore w:val="0"/>
              <w:widowControl/>
              <w:numPr>
                <w:ilvl w:val="2"/>
                <w:numId w:val="3"/>
              </w:numPr>
              <w:kinsoku/>
              <w:wordWrap/>
              <w:overflowPunct/>
              <w:topLinePunct w:val="0"/>
              <w:autoSpaceDE/>
              <w:autoSpaceDN/>
              <w:bidi w:val="0"/>
              <w:adjustRightInd/>
              <w:snapToGrid/>
              <w:spacing w:after="0"/>
              <w:ind w:hanging="363" w:firstLineChars="0"/>
              <w:textAlignment w:val="auto"/>
              <w:rPr>
                <w:rFonts w:eastAsia="宋体"/>
                <w:color w:val="auto"/>
                <w:szCs w:val="24"/>
                <w:highlight w:val="none"/>
                <w:lang w:eastAsia="zh-CN"/>
              </w:rPr>
            </w:pPr>
            <w:r>
              <w:rPr>
                <w:rFonts w:eastAsia="宋体"/>
                <w:color w:val="auto"/>
                <w:szCs w:val="24"/>
                <w:highlight w:val="none"/>
                <w:lang w:eastAsia="zh-CN"/>
              </w:rPr>
              <w:t>Unification of TN and NTN operation</w:t>
            </w:r>
          </w:p>
          <w:p w14:paraId="1D8B0C94">
            <w:pPr>
              <w:pStyle w:val="26"/>
              <w:keepNext w:val="0"/>
              <w:keepLines w:val="0"/>
              <w:pageBreakBefore w:val="0"/>
              <w:widowControl/>
              <w:numPr>
                <w:ilvl w:val="2"/>
                <w:numId w:val="3"/>
              </w:numPr>
              <w:kinsoku/>
              <w:wordWrap/>
              <w:overflowPunct/>
              <w:topLinePunct w:val="0"/>
              <w:autoSpaceDE/>
              <w:autoSpaceDN/>
              <w:bidi w:val="0"/>
              <w:adjustRightInd/>
              <w:snapToGrid/>
              <w:spacing w:after="0"/>
              <w:ind w:hanging="363" w:firstLineChars="0"/>
              <w:textAlignment w:val="auto"/>
              <w:rPr>
                <w:rFonts w:eastAsia="宋体"/>
                <w:color w:val="auto"/>
                <w:szCs w:val="24"/>
                <w:highlight w:val="none"/>
                <w:lang w:eastAsia="zh-CN"/>
              </w:rPr>
            </w:pPr>
            <w:r>
              <w:rPr>
                <w:rFonts w:eastAsia="宋体"/>
                <w:color w:val="auto"/>
                <w:szCs w:val="24"/>
                <w:highlight w:val="none"/>
                <w:lang w:eastAsia="zh-CN"/>
              </w:rPr>
              <w:t>BS types and requirements</w:t>
            </w:r>
          </w:p>
          <w:p w14:paraId="6B8A34E7">
            <w:pPr>
              <w:pStyle w:val="26"/>
              <w:keepNext w:val="0"/>
              <w:keepLines w:val="0"/>
              <w:pageBreakBefore w:val="0"/>
              <w:widowControl/>
              <w:numPr>
                <w:ilvl w:val="1"/>
                <w:numId w:val="3"/>
              </w:numPr>
              <w:kinsoku/>
              <w:wordWrap/>
              <w:overflowPunct/>
              <w:topLinePunct w:val="0"/>
              <w:autoSpaceDE/>
              <w:autoSpaceDN/>
              <w:bidi w:val="0"/>
              <w:adjustRightInd/>
              <w:snapToGrid/>
              <w:spacing w:after="0"/>
              <w:ind w:hanging="363" w:firstLineChars="0"/>
              <w:textAlignment w:val="auto"/>
              <w:rPr>
                <w:rFonts w:hint="eastAsia" w:eastAsia="宋体"/>
                <w:color w:val="auto"/>
                <w:sz w:val="20"/>
                <w:szCs w:val="20"/>
                <w:highlight w:val="none"/>
                <w:vertAlign w:val="baseline"/>
                <w:lang w:val="en-US" w:eastAsia="zh-CN"/>
              </w:rPr>
            </w:pPr>
            <w:r>
              <w:rPr>
                <w:rFonts w:eastAsia="宋体"/>
                <w:color w:val="auto"/>
                <w:szCs w:val="24"/>
                <w:highlight w:val="none"/>
                <w:lang w:eastAsia="zh-CN"/>
              </w:rPr>
              <w:t>Companies are encouraged to share information on the criteria they are considering for their proposal on frequency range definition(s)</w:t>
            </w:r>
          </w:p>
        </w:tc>
      </w:tr>
    </w:tbl>
    <w:p w14:paraId="70EB0D4C">
      <w:pPr>
        <w:jc w:val="both"/>
        <w:rPr>
          <w:rFonts w:hint="eastAsia" w:eastAsia="宋体"/>
          <w:sz w:val="20"/>
          <w:szCs w:val="20"/>
          <w:lang w:val="en-US" w:eastAsia="zh-CN"/>
        </w:rPr>
      </w:pPr>
      <w:r>
        <w:rPr>
          <w:rFonts w:hint="eastAsia" w:eastAsia="宋体"/>
          <w:sz w:val="20"/>
          <w:szCs w:val="20"/>
          <w:lang w:val="en-US" w:eastAsia="zh-CN"/>
        </w:rPr>
        <w:t xml:space="preserve">Following list the progress of around 7GHz in ITU. </w:t>
      </w:r>
    </w:p>
    <w:p w14:paraId="430170A4">
      <w:pPr>
        <w:jc w:val="both"/>
        <w:rPr>
          <w:rFonts w:hint="eastAsia" w:eastAsia="宋体"/>
          <w:lang w:val="en-US" w:eastAsia="zh-CN"/>
        </w:rPr>
      </w:pPr>
      <w:r>
        <w:rPr>
          <w:lang w:val="en-GB"/>
        </w:rPr>
        <w:t xml:space="preserve">6 425 – 7 125 MHz range </w:t>
      </w:r>
      <w:r>
        <w:rPr>
          <w:rFonts w:hint="eastAsia" w:eastAsia="宋体"/>
          <w:lang w:val="en-US" w:eastAsia="zh-CN"/>
        </w:rPr>
        <w:t xml:space="preserve">has been identified as IMT spectrum regional </w:t>
      </w:r>
      <w:r>
        <w:rPr>
          <w:lang w:val="en-GB"/>
        </w:rPr>
        <w:t>at WRC-23</w:t>
      </w:r>
      <w:r>
        <w:rPr>
          <w:rFonts w:hint="eastAsia" w:eastAsia="宋体"/>
          <w:lang w:val="en-US" w:eastAsia="zh-CN"/>
        </w:rPr>
        <w:t>. Despite its previous strong opposition, India has shifted its position and now offers support IMT identification for 6425-7125MHz. Besides, following list the candidate IMT spectrum under WRC-27 agenda item 1.7</w:t>
      </w:r>
    </w:p>
    <w:p w14:paraId="263F7C9A">
      <w:pPr>
        <w:numPr>
          <w:ilvl w:val="0"/>
          <w:numId w:val="4"/>
        </w:numPr>
        <w:ind w:left="420" w:leftChars="0" w:hanging="420" w:firstLineChars="0"/>
        <w:jc w:val="both"/>
        <w:rPr>
          <w:rFonts w:hint="default" w:eastAsia="宋体"/>
          <w:lang w:val="en-US" w:eastAsia="zh-CN"/>
        </w:rPr>
      </w:pPr>
      <w:r>
        <w:rPr>
          <w:rFonts w:hint="eastAsia" w:eastAsia="宋体"/>
          <w:lang w:val="en-US" w:eastAsia="zh-CN"/>
        </w:rPr>
        <w:t>4400-4800MHz: the major proponents is Russia. US tends to abandon 7125-8400MHz and shift its position to support these frequency range</w:t>
      </w:r>
    </w:p>
    <w:p w14:paraId="259A9FF3">
      <w:pPr>
        <w:numPr>
          <w:ilvl w:val="0"/>
          <w:numId w:val="4"/>
        </w:numPr>
        <w:ind w:left="420" w:leftChars="0" w:hanging="420" w:firstLineChars="0"/>
        <w:jc w:val="both"/>
        <w:rPr>
          <w:rFonts w:hint="default" w:eastAsia="宋体"/>
          <w:lang w:val="en-US" w:eastAsia="zh-CN"/>
        </w:rPr>
      </w:pPr>
      <w:r>
        <w:rPr>
          <w:rFonts w:hint="eastAsia" w:eastAsia="宋体"/>
          <w:lang w:val="en-US" w:eastAsia="zh-CN"/>
        </w:rPr>
        <w:t>7125-8400MHz: this frequency range was opposed by many countries and regional groups, including CEPT, due to strategic usages. These strategic usages are, and will remain, critical in all of this frequency band. Besides, this frequency range is intensively used by a large number of government satellite systems for down-links (i.e. 7 250-7 750 MHz) and up-links (i.e. 7 900-8400 MHz). The upper part of the band (i.e. 8 025-8 400 MHz) is also used for the downlink of Earth observation data by a large majority of Earth Observation satellites. On the other side, Japan and Korea tends to support such frequency range.</w:t>
      </w:r>
    </w:p>
    <w:p w14:paraId="4CC6C465">
      <w:pPr>
        <w:numPr>
          <w:ilvl w:val="0"/>
          <w:numId w:val="4"/>
        </w:numPr>
        <w:ind w:left="420" w:leftChars="0" w:hanging="420" w:firstLineChars="0"/>
        <w:jc w:val="both"/>
        <w:rPr>
          <w:rFonts w:hint="default" w:eastAsia="宋体"/>
          <w:lang w:val="en-US" w:eastAsia="zh-CN"/>
        </w:rPr>
      </w:pPr>
      <w:r>
        <w:rPr>
          <w:rFonts w:hint="eastAsia" w:eastAsia="宋体"/>
          <w:lang w:val="en-US" w:eastAsia="zh-CN"/>
        </w:rPr>
        <w:t>14.8-15.35GHz: now no countries/groups strongly support such bands</w:t>
      </w:r>
    </w:p>
    <w:p w14:paraId="068C75B2">
      <w:pPr>
        <w:jc w:val="both"/>
        <w:rPr>
          <w:rFonts w:hint="eastAsia"/>
          <w:b/>
          <w:bCs/>
          <w:lang w:val="en-US" w:eastAsia="zh-CN"/>
        </w:rPr>
      </w:pPr>
      <w:r>
        <w:rPr>
          <w:rFonts w:hint="eastAsia" w:eastAsia="宋体"/>
          <w:b/>
          <w:bCs/>
          <w:lang w:val="en-US" w:eastAsia="zh-CN"/>
        </w:rPr>
        <w:t xml:space="preserve">Observation 1: above list the </w:t>
      </w:r>
      <w:r>
        <w:rPr>
          <w:rFonts w:hint="eastAsia"/>
          <w:b/>
          <w:bCs/>
          <w:lang w:val="en-US" w:eastAsia="zh-CN"/>
        </w:rPr>
        <w:t>regulatory status survey of 6425-7125MHz, 4400-4800MHz, 7125-8400MHz and 14.8-15.35GHz.</w:t>
      </w:r>
    </w:p>
    <w:p w14:paraId="6CD89F70">
      <w:pPr>
        <w:adjustRightInd w:val="0"/>
        <w:snapToGrid w:val="0"/>
        <w:jc w:val="both"/>
        <w:rPr>
          <w:rFonts w:hint="default"/>
          <w:bCs/>
          <w:iCs/>
          <w:lang w:val="en-US" w:eastAsia="zh-CN" w:bidi="ar"/>
        </w:rPr>
      </w:pPr>
      <w:r>
        <w:rPr>
          <w:rFonts w:hint="eastAsia"/>
          <w:bCs/>
          <w:iCs/>
          <w:lang w:val="en-US" w:eastAsia="zh-CN" w:bidi="ar"/>
        </w:rPr>
        <w:t>Based on above spectrum state survey, it seems 7125MHz is the most promising higher bands compared with 8400MHz and 15.35GHz. Furthermore, it seems pessimistic to support 15.35GHz as IMT identification in WRC27 since no countries/groups strongly support it.</w:t>
      </w:r>
    </w:p>
    <w:p w14:paraId="10E99ADA">
      <w:pPr>
        <w:adjustRightInd w:val="0"/>
        <w:snapToGrid w:val="0"/>
        <w:jc w:val="both"/>
        <w:rPr>
          <w:bCs/>
          <w:iCs/>
          <w:lang w:val="en-US" w:eastAsia="zh-CN"/>
        </w:rPr>
      </w:pPr>
      <w:r>
        <w:rPr>
          <w:rFonts w:hint="eastAsia"/>
          <w:bCs/>
          <w:iCs/>
          <w:highlight w:val="none"/>
          <w:lang w:val="en-US" w:eastAsia="zh-CN" w:bidi="ar"/>
        </w:rPr>
        <w:t xml:space="preserve">Following show the analysis of 8GHz coverage. </w:t>
      </w:r>
      <w:r>
        <w:rPr>
          <w:bCs/>
          <w:iCs/>
          <w:highlight w:val="none"/>
          <w:lang w:val="en-US" w:eastAsia="zh-CN" w:bidi="ar"/>
        </w:rPr>
        <w:t xml:space="preserve">6G BS working at </w:t>
      </w:r>
      <w:r>
        <w:rPr>
          <w:rFonts w:hint="eastAsia"/>
          <w:bCs/>
          <w:iCs/>
          <w:highlight w:val="none"/>
          <w:lang w:val="en-US" w:eastAsia="zh-CN" w:bidi="ar"/>
        </w:rPr>
        <w:t>8</w:t>
      </w:r>
      <w:r>
        <w:rPr>
          <w:bCs/>
          <w:iCs/>
          <w:highlight w:val="none"/>
          <w:lang w:val="en-US" w:eastAsia="zh-CN" w:bidi="ar"/>
        </w:rPr>
        <w:t xml:space="preserve">GHz will experience higher propagation loss and penetration loss compared with 5G at 2.6GHz and 3.5GHz. And since almost 80% traffic happens in the indoor scenario and served by outdoor Macro cells, the O2I penetration loss </w:t>
      </w:r>
      <w:r>
        <w:rPr>
          <w:rFonts w:hint="eastAsia"/>
          <w:bCs/>
          <w:iCs/>
          <w:highlight w:val="none"/>
          <w:lang w:val="en-US" w:eastAsia="zh-CN" w:bidi="ar"/>
        </w:rPr>
        <w:t>is also</w:t>
      </w:r>
      <w:r>
        <w:rPr>
          <w:bCs/>
          <w:iCs/>
          <w:highlight w:val="none"/>
          <w:lang w:val="en-US" w:eastAsia="zh-CN" w:bidi="ar"/>
        </w:rPr>
        <w:t xml:space="preserve"> considered for the coverage enhancements. Base on TR38.901, we compared the additional loss induced by the higher operation frequency as below.</w:t>
      </w:r>
      <w:r>
        <w:rPr>
          <w:bCs/>
          <w:iCs/>
          <w:lang w:val="en-US" w:eastAsia="zh-CN" w:bidi="ar"/>
        </w:rPr>
        <w:t xml:space="preserve"> </w:t>
      </w:r>
    </w:p>
    <w:p w14:paraId="6CE64EDF">
      <w:pPr>
        <w:pStyle w:val="15"/>
        <w:spacing w:before="120" w:beforeAutospacing="0" w:after="180" w:afterAutospacing="0"/>
        <w:jc w:val="center"/>
        <w:rPr>
          <w:bCs/>
          <w:sz w:val="18"/>
          <w:szCs w:val="18"/>
        </w:rPr>
      </w:pPr>
      <w:r>
        <w:rPr>
          <w:bCs/>
          <w:sz w:val="18"/>
          <w:szCs w:val="18"/>
          <w:lang w:bidi="ar"/>
        </w:rPr>
        <w:t xml:space="preserve">Table Additional propagation loss at </w:t>
      </w:r>
      <w:r>
        <w:rPr>
          <w:rFonts w:hint="eastAsia" w:eastAsia="宋体"/>
          <w:bCs/>
          <w:sz w:val="18"/>
          <w:szCs w:val="18"/>
          <w:lang w:val="en-US" w:eastAsia="zh-CN" w:bidi="ar"/>
        </w:rPr>
        <w:t>8.4</w:t>
      </w:r>
      <w:r>
        <w:rPr>
          <w:bCs/>
          <w:sz w:val="18"/>
          <w:szCs w:val="18"/>
          <w:lang w:bidi="ar"/>
        </w:rPr>
        <w:t>GHz compared with 2.6GHz and 3.5GHz</w:t>
      </w:r>
    </w:p>
    <w:tbl>
      <w:tblPr>
        <w:tblStyle w:val="16"/>
        <w:tblW w:w="5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60"/>
        <w:gridCol w:w="1270"/>
        <w:gridCol w:w="1270"/>
      </w:tblGrid>
      <w:tr w14:paraId="24556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2960" w:type="dxa"/>
            <w:noWrap/>
            <w:vAlign w:val="bottom"/>
          </w:tcPr>
          <w:p w14:paraId="5A6CAB42">
            <w:pPr>
              <w:rPr>
                <w:sz w:val="18"/>
                <w:szCs w:val="18"/>
                <w:lang w:eastAsia="zh-CN"/>
              </w:rPr>
            </w:pPr>
          </w:p>
        </w:tc>
        <w:tc>
          <w:tcPr>
            <w:tcW w:w="2540" w:type="dxa"/>
            <w:gridSpan w:val="2"/>
            <w:noWrap/>
            <w:vAlign w:val="bottom"/>
          </w:tcPr>
          <w:p w14:paraId="15F2F2B3">
            <w:pPr>
              <w:jc w:val="center"/>
              <w:rPr>
                <w:rFonts w:eastAsia="等线"/>
                <w:color w:val="000000"/>
                <w:sz w:val="18"/>
                <w:szCs w:val="18"/>
                <w:lang w:val="en-US" w:eastAsia="zh-CN"/>
              </w:rPr>
            </w:pPr>
            <w:r>
              <w:rPr>
                <w:rFonts w:eastAsia="等线"/>
                <w:color w:val="000000"/>
                <w:sz w:val="18"/>
                <w:szCs w:val="18"/>
                <w:lang w:val="en-US" w:eastAsia="zh-CN" w:bidi="ar"/>
              </w:rPr>
              <w:t xml:space="preserve">Additional loss at </w:t>
            </w:r>
            <w:r>
              <w:rPr>
                <w:rFonts w:hint="eastAsia" w:eastAsia="等线"/>
                <w:color w:val="000000"/>
                <w:sz w:val="18"/>
                <w:szCs w:val="18"/>
                <w:lang w:val="en-US" w:eastAsia="zh-CN" w:bidi="ar"/>
              </w:rPr>
              <w:t>8.4</w:t>
            </w:r>
            <w:r>
              <w:rPr>
                <w:rFonts w:eastAsia="等线"/>
                <w:color w:val="000000"/>
                <w:sz w:val="18"/>
                <w:szCs w:val="18"/>
                <w:lang w:val="en-US" w:eastAsia="zh-CN" w:bidi="ar"/>
              </w:rPr>
              <w:t>GHz</w:t>
            </w:r>
          </w:p>
        </w:tc>
      </w:tr>
      <w:tr w14:paraId="450E2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2960" w:type="dxa"/>
            <w:noWrap/>
            <w:vAlign w:val="bottom"/>
          </w:tcPr>
          <w:p w14:paraId="7BCA020B">
            <w:pPr>
              <w:jc w:val="center"/>
              <w:rPr>
                <w:rFonts w:eastAsia="等线"/>
                <w:color w:val="000000"/>
                <w:sz w:val="18"/>
                <w:szCs w:val="18"/>
                <w:lang w:val="en-US" w:eastAsia="zh-CN"/>
              </w:rPr>
            </w:pPr>
            <w:r>
              <w:rPr>
                <w:rFonts w:eastAsia="等线"/>
                <w:color w:val="000000"/>
                <w:sz w:val="18"/>
                <w:szCs w:val="18"/>
                <w:lang w:val="en-US" w:eastAsia="zh-CN" w:bidi="ar"/>
              </w:rPr>
              <w:t>Scenarios</w:t>
            </w:r>
          </w:p>
        </w:tc>
        <w:tc>
          <w:tcPr>
            <w:tcW w:w="1270" w:type="dxa"/>
            <w:noWrap/>
            <w:vAlign w:val="bottom"/>
          </w:tcPr>
          <w:p w14:paraId="0FBD4EE5">
            <w:pPr>
              <w:jc w:val="center"/>
              <w:rPr>
                <w:rFonts w:eastAsia="等线"/>
                <w:color w:val="000000"/>
                <w:sz w:val="18"/>
                <w:szCs w:val="18"/>
                <w:lang w:val="en-US" w:eastAsia="zh-CN"/>
              </w:rPr>
            </w:pPr>
            <w:r>
              <w:rPr>
                <w:rFonts w:eastAsia="等线"/>
                <w:color w:val="000000"/>
                <w:sz w:val="18"/>
                <w:szCs w:val="18"/>
                <w:lang w:val="en-US" w:eastAsia="zh-CN" w:bidi="ar"/>
              </w:rPr>
              <w:t>2.6GHz</w:t>
            </w:r>
          </w:p>
        </w:tc>
        <w:tc>
          <w:tcPr>
            <w:tcW w:w="1270" w:type="dxa"/>
            <w:noWrap/>
            <w:vAlign w:val="bottom"/>
          </w:tcPr>
          <w:p w14:paraId="6C885412">
            <w:pPr>
              <w:jc w:val="center"/>
              <w:rPr>
                <w:rFonts w:eastAsia="等线"/>
                <w:color w:val="000000"/>
                <w:sz w:val="18"/>
                <w:szCs w:val="18"/>
                <w:lang w:val="en-US" w:eastAsia="zh-CN"/>
              </w:rPr>
            </w:pPr>
            <w:r>
              <w:rPr>
                <w:rFonts w:eastAsia="等线"/>
                <w:color w:val="000000"/>
                <w:sz w:val="18"/>
                <w:szCs w:val="18"/>
                <w:lang w:val="en-US" w:eastAsia="zh-CN" w:bidi="ar"/>
              </w:rPr>
              <w:t>3.5GHz</w:t>
            </w:r>
          </w:p>
        </w:tc>
      </w:tr>
      <w:tr w14:paraId="28D91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2960" w:type="dxa"/>
            <w:vAlign w:val="bottom"/>
          </w:tcPr>
          <w:p w14:paraId="4C3495E8">
            <w:pPr>
              <w:jc w:val="center"/>
              <w:rPr>
                <w:rFonts w:eastAsia="等线"/>
                <w:color w:val="000000"/>
                <w:sz w:val="18"/>
                <w:szCs w:val="18"/>
                <w:lang w:val="en-US" w:eastAsia="zh-CN"/>
              </w:rPr>
            </w:pPr>
            <w:r>
              <w:rPr>
                <w:rFonts w:eastAsia="等线"/>
                <w:color w:val="000000"/>
                <w:sz w:val="18"/>
                <w:szCs w:val="18"/>
                <w:lang w:val="en-US" w:eastAsia="zh-CN" w:bidi="ar"/>
              </w:rPr>
              <w:t>LOS/NLOS pathloss (dB)</w:t>
            </w:r>
          </w:p>
        </w:tc>
        <w:tc>
          <w:tcPr>
            <w:tcW w:w="1270" w:type="dxa"/>
            <w:noWrap/>
            <w:vAlign w:val="center"/>
          </w:tcPr>
          <w:p w14:paraId="1867C6D7">
            <w:pPr>
              <w:jc w:val="center"/>
              <w:rPr>
                <w:rFonts w:eastAsia="等线"/>
                <w:color w:val="000000"/>
                <w:sz w:val="18"/>
                <w:szCs w:val="18"/>
                <w:lang w:val="en-US" w:eastAsia="zh-CN" w:bidi="ar"/>
              </w:rPr>
            </w:pPr>
            <w:r>
              <w:rPr>
                <w:rFonts w:hint="eastAsia" w:eastAsia="等线"/>
                <w:color w:val="000000"/>
                <w:sz w:val="18"/>
                <w:szCs w:val="18"/>
                <w:lang w:val="en-US" w:eastAsia="zh-CN" w:bidi="ar"/>
              </w:rPr>
              <w:t xml:space="preserve">10.2 </w:t>
            </w:r>
          </w:p>
        </w:tc>
        <w:tc>
          <w:tcPr>
            <w:tcW w:w="1270" w:type="dxa"/>
            <w:noWrap/>
            <w:vAlign w:val="center"/>
          </w:tcPr>
          <w:p w14:paraId="6043EC9D">
            <w:pPr>
              <w:jc w:val="center"/>
              <w:rPr>
                <w:rFonts w:eastAsia="等线"/>
                <w:color w:val="000000"/>
                <w:sz w:val="18"/>
                <w:szCs w:val="18"/>
                <w:lang w:val="en-US" w:eastAsia="zh-CN" w:bidi="ar"/>
              </w:rPr>
            </w:pPr>
            <w:r>
              <w:rPr>
                <w:rFonts w:hint="eastAsia" w:eastAsia="等线"/>
                <w:color w:val="000000"/>
                <w:sz w:val="18"/>
                <w:szCs w:val="18"/>
                <w:lang w:val="en-US" w:eastAsia="zh-CN" w:bidi="ar"/>
              </w:rPr>
              <w:t xml:space="preserve">7.1 </w:t>
            </w:r>
          </w:p>
        </w:tc>
      </w:tr>
      <w:tr w14:paraId="5DB23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jc w:val="center"/>
        </w:trPr>
        <w:tc>
          <w:tcPr>
            <w:tcW w:w="2960" w:type="dxa"/>
            <w:vAlign w:val="bottom"/>
          </w:tcPr>
          <w:p w14:paraId="2BC57418">
            <w:pPr>
              <w:jc w:val="center"/>
              <w:rPr>
                <w:rFonts w:eastAsia="等线"/>
                <w:color w:val="000000"/>
                <w:sz w:val="18"/>
                <w:szCs w:val="18"/>
                <w:lang w:val="en-US" w:eastAsia="zh-CN"/>
              </w:rPr>
            </w:pPr>
            <w:r>
              <w:rPr>
                <w:rFonts w:eastAsia="等线"/>
                <w:color w:val="000000"/>
                <w:sz w:val="18"/>
                <w:szCs w:val="18"/>
                <w:lang w:val="en-US" w:eastAsia="zh-CN" w:bidi="ar"/>
              </w:rPr>
              <w:t>pathloss+ penetration loss</w:t>
            </w:r>
            <w:r>
              <w:rPr>
                <w:rFonts w:eastAsia="等线"/>
                <w:color w:val="000000"/>
                <w:sz w:val="18"/>
                <w:szCs w:val="18"/>
                <w:lang w:val="en-US" w:eastAsia="zh-CN" w:bidi="ar"/>
              </w:rPr>
              <w:br w:type="textWrapping"/>
            </w:r>
            <w:r>
              <w:rPr>
                <w:rFonts w:eastAsia="等线"/>
                <w:color w:val="000000"/>
                <w:sz w:val="18"/>
                <w:szCs w:val="18"/>
                <w:lang w:val="en-US" w:eastAsia="zh-CN" w:bidi="ar"/>
              </w:rPr>
              <w:t>low loss model (dB)</w:t>
            </w:r>
          </w:p>
        </w:tc>
        <w:tc>
          <w:tcPr>
            <w:tcW w:w="1270" w:type="dxa"/>
            <w:noWrap/>
            <w:vAlign w:val="center"/>
          </w:tcPr>
          <w:p w14:paraId="51037703">
            <w:pPr>
              <w:jc w:val="center"/>
              <w:rPr>
                <w:rFonts w:eastAsia="等线"/>
                <w:color w:val="000000"/>
                <w:sz w:val="18"/>
                <w:szCs w:val="18"/>
                <w:lang w:val="en-US" w:eastAsia="zh-CN" w:bidi="ar"/>
              </w:rPr>
            </w:pPr>
            <w:r>
              <w:rPr>
                <w:rFonts w:hint="eastAsia" w:eastAsia="等线"/>
                <w:color w:val="000000"/>
                <w:sz w:val="18"/>
                <w:szCs w:val="18"/>
                <w:lang w:val="en-US" w:eastAsia="zh-CN" w:bidi="ar"/>
              </w:rPr>
              <w:t xml:space="preserve">11.5 </w:t>
            </w:r>
          </w:p>
        </w:tc>
        <w:tc>
          <w:tcPr>
            <w:tcW w:w="1270" w:type="dxa"/>
            <w:noWrap/>
            <w:vAlign w:val="center"/>
          </w:tcPr>
          <w:p w14:paraId="0CF99412">
            <w:pPr>
              <w:jc w:val="center"/>
              <w:rPr>
                <w:rFonts w:eastAsia="等线"/>
                <w:color w:val="000000"/>
                <w:sz w:val="18"/>
                <w:szCs w:val="18"/>
                <w:lang w:val="en-US" w:eastAsia="zh-CN" w:bidi="ar"/>
              </w:rPr>
            </w:pPr>
            <w:r>
              <w:rPr>
                <w:rFonts w:hint="eastAsia" w:eastAsia="等线"/>
                <w:color w:val="000000"/>
                <w:sz w:val="18"/>
                <w:szCs w:val="18"/>
                <w:lang w:val="en-US" w:eastAsia="zh-CN" w:bidi="ar"/>
              </w:rPr>
              <w:t xml:space="preserve">8.0 </w:t>
            </w:r>
          </w:p>
        </w:tc>
      </w:tr>
      <w:tr w14:paraId="42ABE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2960" w:type="dxa"/>
            <w:vAlign w:val="bottom"/>
          </w:tcPr>
          <w:p w14:paraId="183BFF08">
            <w:pPr>
              <w:jc w:val="center"/>
              <w:rPr>
                <w:rFonts w:eastAsia="等线"/>
                <w:color w:val="000000"/>
                <w:sz w:val="18"/>
                <w:szCs w:val="18"/>
                <w:lang w:val="en-US" w:eastAsia="zh-CN"/>
              </w:rPr>
            </w:pPr>
            <w:r>
              <w:rPr>
                <w:rFonts w:eastAsia="等线"/>
                <w:color w:val="000000"/>
                <w:sz w:val="18"/>
                <w:szCs w:val="18"/>
                <w:lang w:val="en-US" w:eastAsia="zh-CN" w:bidi="ar"/>
              </w:rPr>
              <w:t>pathloss+ penetration loss</w:t>
            </w:r>
            <w:r>
              <w:rPr>
                <w:rFonts w:eastAsia="等线"/>
                <w:color w:val="000000"/>
                <w:sz w:val="18"/>
                <w:szCs w:val="18"/>
                <w:lang w:val="en-US" w:eastAsia="zh-CN" w:bidi="ar"/>
              </w:rPr>
              <w:br w:type="textWrapping"/>
            </w:r>
            <w:r>
              <w:rPr>
                <w:rFonts w:eastAsia="等线"/>
                <w:color w:val="000000"/>
                <w:sz w:val="18"/>
                <w:szCs w:val="18"/>
                <w:lang w:val="en-US" w:eastAsia="zh-CN" w:bidi="ar"/>
              </w:rPr>
              <w:t>high loss model (dB)</w:t>
            </w:r>
          </w:p>
        </w:tc>
        <w:tc>
          <w:tcPr>
            <w:tcW w:w="1270" w:type="dxa"/>
            <w:noWrap/>
            <w:vAlign w:val="center"/>
          </w:tcPr>
          <w:p w14:paraId="50B39419">
            <w:pPr>
              <w:jc w:val="center"/>
              <w:rPr>
                <w:rFonts w:eastAsia="等线"/>
                <w:color w:val="000000"/>
                <w:sz w:val="18"/>
                <w:szCs w:val="18"/>
                <w:lang w:val="en-US" w:eastAsia="zh-CN" w:bidi="ar"/>
              </w:rPr>
            </w:pPr>
            <w:r>
              <w:rPr>
                <w:rFonts w:hint="eastAsia" w:eastAsia="等线"/>
                <w:color w:val="000000"/>
                <w:sz w:val="18"/>
                <w:szCs w:val="18"/>
                <w:lang w:val="en-US" w:eastAsia="zh-CN" w:bidi="ar"/>
              </w:rPr>
              <w:t xml:space="preserve">17.2 </w:t>
            </w:r>
          </w:p>
        </w:tc>
        <w:tc>
          <w:tcPr>
            <w:tcW w:w="1270" w:type="dxa"/>
            <w:noWrap/>
            <w:vAlign w:val="center"/>
          </w:tcPr>
          <w:p w14:paraId="144553C8">
            <w:pPr>
              <w:jc w:val="center"/>
              <w:rPr>
                <w:rFonts w:eastAsia="等线"/>
                <w:color w:val="000000"/>
                <w:sz w:val="18"/>
                <w:szCs w:val="18"/>
                <w:lang w:val="en-US" w:eastAsia="zh-CN" w:bidi="ar"/>
              </w:rPr>
            </w:pPr>
            <w:r>
              <w:rPr>
                <w:rFonts w:hint="eastAsia" w:eastAsia="等线"/>
                <w:color w:val="000000"/>
                <w:sz w:val="18"/>
                <w:szCs w:val="18"/>
                <w:lang w:val="en-US" w:eastAsia="zh-CN" w:bidi="ar"/>
              </w:rPr>
              <w:t xml:space="preserve">11.6 </w:t>
            </w:r>
          </w:p>
        </w:tc>
      </w:tr>
    </w:tbl>
    <w:p w14:paraId="586A4782">
      <w:pPr>
        <w:adjustRightInd w:val="0"/>
        <w:snapToGrid w:val="0"/>
        <w:jc w:val="both"/>
        <w:rPr>
          <w:bCs/>
          <w:iCs/>
          <w:lang w:val="en-US" w:eastAsia="zh-CN"/>
        </w:rPr>
      </w:pPr>
      <w:r>
        <w:rPr>
          <w:bCs/>
          <w:iCs/>
          <w:lang w:val="en-US" w:eastAsia="zh-CN" w:bidi="ar"/>
        </w:rPr>
        <w:t xml:space="preserve">Larger number of the antenna elements can compensate parts of the additional loss, but which may not be enough. Both traffic channel and common control channels should be considered for the coverage evaluations. The additional gain provided by the larger antenna array is listed below. </w:t>
      </w:r>
    </w:p>
    <w:p w14:paraId="0046337A">
      <w:pPr>
        <w:pStyle w:val="15"/>
        <w:spacing w:before="120" w:beforeAutospacing="0" w:after="180" w:afterAutospacing="0"/>
        <w:jc w:val="center"/>
        <w:rPr>
          <w:bCs/>
          <w:sz w:val="18"/>
          <w:szCs w:val="18"/>
          <w:lang w:bidi="ar"/>
        </w:rPr>
      </w:pPr>
      <w:r>
        <w:rPr>
          <w:bCs/>
          <w:sz w:val="18"/>
          <w:szCs w:val="18"/>
          <w:lang w:bidi="ar"/>
        </w:rPr>
        <w:t>Table Additional gain brought by higher antenna element number</w:t>
      </w:r>
    </w:p>
    <w:tbl>
      <w:tblPr>
        <w:tblStyle w:val="54"/>
        <w:tblW w:w="10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4132"/>
        <w:gridCol w:w="1024"/>
        <w:gridCol w:w="1024"/>
        <w:gridCol w:w="874"/>
        <w:gridCol w:w="874"/>
      </w:tblGrid>
      <w:tr w14:paraId="60C98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821" w:type="dxa"/>
            <w:gridSpan w:val="2"/>
            <w:tcBorders>
              <w:top w:val="single" w:color="auto" w:sz="2" w:space="0"/>
              <w:bottom w:val="single" w:color="auto" w:sz="2" w:space="0"/>
            </w:tcBorders>
            <w:noWrap/>
          </w:tcPr>
          <w:p w14:paraId="20317C5B">
            <w:pPr>
              <w:overflowPunct w:val="0"/>
              <w:autoSpaceDE w:val="0"/>
              <w:autoSpaceDN w:val="0"/>
              <w:adjustRightInd w:val="0"/>
              <w:rPr>
                <w:sz w:val="18"/>
                <w:szCs w:val="18"/>
              </w:rPr>
            </w:pPr>
          </w:p>
        </w:tc>
        <w:tc>
          <w:tcPr>
            <w:tcW w:w="1024" w:type="dxa"/>
            <w:noWrap/>
          </w:tcPr>
          <w:p w14:paraId="257C68E8">
            <w:pPr>
              <w:overflowPunct w:val="0"/>
              <w:autoSpaceDE w:val="0"/>
              <w:autoSpaceDN w:val="0"/>
              <w:adjustRightInd w:val="0"/>
              <w:jc w:val="center"/>
              <w:rPr>
                <w:rFonts w:eastAsia="等线"/>
                <w:color w:val="000000"/>
                <w:sz w:val="18"/>
                <w:szCs w:val="18"/>
                <w:lang w:val="en-US" w:eastAsia="zh-CN"/>
              </w:rPr>
            </w:pPr>
            <w:r>
              <w:rPr>
                <w:rFonts w:eastAsia="等线"/>
                <w:color w:val="000000"/>
                <w:sz w:val="18"/>
                <w:szCs w:val="18"/>
                <w:lang w:val="en-US" w:eastAsia="zh-CN" w:bidi="ar"/>
              </w:rPr>
              <w:t>2.6GHz</w:t>
            </w:r>
          </w:p>
        </w:tc>
        <w:tc>
          <w:tcPr>
            <w:tcW w:w="1024" w:type="dxa"/>
            <w:noWrap/>
          </w:tcPr>
          <w:p w14:paraId="30D156D6">
            <w:pPr>
              <w:overflowPunct w:val="0"/>
              <w:autoSpaceDE w:val="0"/>
              <w:autoSpaceDN w:val="0"/>
              <w:adjustRightInd w:val="0"/>
              <w:jc w:val="center"/>
              <w:rPr>
                <w:rFonts w:eastAsia="等线"/>
                <w:color w:val="000000"/>
                <w:sz w:val="18"/>
                <w:szCs w:val="18"/>
                <w:lang w:val="en-US" w:eastAsia="zh-CN"/>
              </w:rPr>
            </w:pPr>
            <w:r>
              <w:rPr>
                <w:rFonts w:eastAsia="等线"/>
                <w:color w:val="000000"/>
                <w:sz w:val="18"/>
                <w:szCs w:val="18"/>
                <w:lang w:val="en-US" w:eastAsia="zh-CN" w:bidi="ar"/>
              </w:rPr>
              <w:t>3.5GHz</w:t>
            </w:r>
          </w:p>
        </w:tc>
        <w:tc>
          <w:tcPr>
            <w:tcW w:w="874" w:type="dxa"/>
            <w:noWrap/>
          </w:tcPr>
          <w:p w14:paraId="69FD1F50">
            <w:pPr>
              <w:overflowPunct w:val="0"/>
              <w:autoSpaceDE w:val="0"/>
              <w:autoSpaceDN w:val="0"/>
              <w:adjustRightInd w:val="0"/>
              <w:jc w:val="center"/>
              <w:rPr>
                <w:rFonts w:eastAsia="等线"/>
                <w:color w:val="000000"/>
                <w:sz w:val="18"/>
                <w:szCs w:val="18"/>
                <w:lang w:val="en-US" w:eastAsia="zh-CN"/>
              </w:rPr>
            </w:pPr>
            <w:r>
              <w:rPr>
                <w:rFonts w:hint="eastAsia" w:eastAsia="等线"/>
                <w:color w:val="000000"/>
                <w:sz w:val="18"/>
                <w:szCs w:val="18"/>
                <w:lang w:val="en-US" w:eastAsia="zh-CN" w:bidi="ar"/>
              </w:rPr>
              <w:t>8.4</w:t>
            </w:r>
            <w:r>
              <w:rPr>
                <w:rFonts w:eastAsia="等线"/>
                <w:color w:val="000000"/>
                <w:sz w:val="18"/>
                <w:szCs w:val="18"/>
                <w:lang w:val="en-US" w:eastAsia="zh-CN" w:bidi="ar"/>
              </w:rPr>
              <w:t>GHz</w:t>
            </w:r>
          </w:p>
        </w:tc>
        <w:tc>
          <w:tcPr>
            <w:tcW w:w="874" w:type="dxa"/>
            <w:noWrap/>
          </w:tcPr>
          <w:p w14:paraId="2EA73C85">
            <w:pPr>
              <w:overflowPunct w:val="0"/>
              <w:autoSpaceDE w:val="0"/>
              <w:autoSpaceDN w:val="0"/>
              <w:adjustRightInd w:val="0"/>
              <w:jc w:val="center"/>
              <w:rPr>
                <w:rFonts w:eastAsia="等线"/>
                <w:color w:val="000000"/>
                <w:sz w:val="18"/>
                <w:szCs w:val="18"/>
                <w:lang w:val="en-US" w:eastAsia="zh-CN"/>
              </w:rPr>
            </w:pPr>
            <w:r>
              <w:rPr>
                <w:rFonts w:hint="eastAsia" w:eastAsia="等线"/>
                <w:color w:val="000000"/>
                <w:sz w:val="18"/>
                <w:szCs w:val="18"/>
                <w:lang w:val="en-US" w:eastAsia="zh-CN" w:bidi="ar"/>
              </w:rPr>
              <w:t>8.4</w:t>
            </w:r>
            <w:r>
              <w:rPr>
                <w:rFonts w:eastAsia="等线"/>
                <w:color w:val="000000"/>
                <w:sz w:val="18"/>
                <w:szCs w:val="18"/>
                <w:lang w:val="en-US" w:eastAsia="zh-CN" w:bidi="ar"/>
              </w:rPr>
              <w:t>GHz</w:t>
            </w:r>
          </w:p>
        </w:tc>
      </w:tr>
      <w:tr w14:paraId="15B41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821" w:type="dxa"/>
            <w:gridSpan w:val="2"/>
            <w:tcBorders>
              <w:top w:val="single" w:color="auto" w:sz="2" w:space="0"/>
              <w:bottom w:val="single" w:color="auto" w:sz="2" w:space="0"/>
            </w:tcBorders>
            <w:noWrap/>
          </w:tcPr>
          <w:p w14:paraId="2E9387BC">
            <w:pPr>
              <w:overflowPunct w:val="0"/>
              <w:autoSpaceDE w:val="0"/>
              <w:autoSpaceDN w:val="0"/>
              <w:adjustRightInd w:val="0"/>
              <w:rPr>
                <w:rFonts w:eastAsia="等线"/>
                <w:color w:val="000000"/>
                <w:sz w:val="18"/>
                <w:szCs w:val="18"/>
                <w:lang w:val="en-US" w:eastAsia="zh-CN"/>
              </w:rPr>
            </w:pPr>
            <w:r>
              <w:rPr>
                <w:rFonts w:eastAsia="等线"/>
                <w:color w:val="000000"/>
                <w:sz w:val="18"/>
                <w:szCs w:val="18"/>
                <w:lang w:val="en-US" w:eastAsia="zh-CN" w:bidi="ar"/>
              </w:rPr>
              <w:t>BS antenna elements</w:t>
            </w:r>
          </w:p>
        </w:tc>
        <w:tc>
          <w:tcPr>
            <w:tcW w:w="1024" w:type="dxa"/>
            <w:noWrap/>
          </w:tcPr>
          <w:p w14:paraId="6CCAF2CA">
            <w:pPr>
              <w:overflowPunct w:val="0"/>
              <w:autoSpaceDE w:val="0"/>
              <w:autoSpaceDN w:val="0"/>
              <w:adjustRightInd w:val="0"/>
              <w:jc w:val="center"/>
              <w:rPr>
                <w:rFonts w:eastAsia="等线"/>
                <w:color w:val="000000"/>
                <w:sz w:val="18"/>
                <w:szCs w:val="18"/>
                <w:lang w:val="en-US" w:eastAsia="zh-CN"/>
              </w:rPr>
            </w:pPr>
            <w:r>
              <w:rPr>
                <w:rFonts w:eastAsia="等线"/>
                <w:color w:val="000000"/>
                <w:sz w:val="18"/>
                <w:szCs w:val="18"/>
                <w:lang w:val="en-US" w:eastAsia="zh-CN" w:bidi="ar"/>
              </w:rPr>
              <w:t>192</w:t>
            </w:r>
          </w:p>
        </w:tc>
        <w:tc>
          <w:tcPr>
            <w:tcW w:w="1024" w:type="dxa"/>
            <w:noWrap/>
          </w:tcPr>
          <w:p w14:paraId="40D111C4">
            <w:pPr>
              <w:overflowPunct w:val="0"/>
              <w:autoSpaceDE w:val="0"/>
              <w:autoSpaceDN w:val="0"/>
              <w:adjustRightInd w:val="0"/>
              <w:jc w:val="center"/>
              <w:rPr>
                <w:rFonts w:eastAsia="等线"/>
                <w:color w:val="000000"/>
                <w:sz w:val="18"/>
                <w:szCs w:val="18"/>
                <w:lang w:val="en-US" w:eastAsia="zh-CN"/>
              </w:rPr>
            </w:pPr>
            <w:r>
              <w:rPr>
                <w:rFonts w:eastAsia="等线"/>
                <w:color w:val="000000"/>
                <w:sz w:val="18"/>
                <w:szCs w:val="18"/>
                <w:lang w:val="en-US" w:eastAsia="zh-CN" w:bidi="ar"/>
              </w:rPr>
              <w:t>192</w:t>
            </w:r>
          </w:p>
        </w:tc>
        <w:tc>
          <w:tcPr>
            <w:tcW w:w="874" w:type="dxa"/>
            <w:noWrap/>
          </w:tcPr>
          <w:p w14:paraId="2FA352B6">
            <w:pPr>
              <w:overflowPunct w:val="0"/>
              <w:autoSpaceDE w:val="0"/>
              <w:autoSpaceDN w:val="0"/>
              <w:adjustRightInd w:val="0"/>
              <w:jc w:val="center"/>
              <w:rPr>
                <w:rFonts w:eastAsia="等线"/>
                <w:color w:val="000000"/>
                <w:sz w:val="18"/>
                <w:szCs w:val="18"/>
                <w:lang w:val="en-US" w:eastAsia="zh-CN"/>
              </w:rPr>
            </w:pPr>
            <w:r>
              <w:rPr>
                <w:rFonts w:eastAsia="等线"/>
                <w:color w:val="000000"/>
                <w:sz w:val="18"/>
                <w:szCs w:val="18"/>
                <w:lang w:val="en-US" w:eastAsia="zh-CN" w:bidi="ar"/>
              </w:rPr>
              <w:t>1024</w:t>
            </w:r>
          </w:p>
        </w:tc>
        <w:tc>
          <w:tcPr>
            <w:tcW w:w="874" w:type="dxa"/>
            <w:noWrap/>
          </w:tcPr>
          <w:p w14:paraId="27A8E709">
            <w:pPr>
              <w:overflowPunct w:val="0"/>
              <w:autoSpaceDE w:val="0"/>
              <w:autoSpaceDN w:val="0"/>
              <w:adjustRightInd w:val="0"/>
              <w:jc w:val="center"/>
              <w:rPr>
                <w:rFonts w:eastAsia="等线"/>
                <w:color w:val="000000"/>
                <w:sz w:val="18"/>
                <w:szCs w:val="18"/>
                <w:lang w:val="en-US" w:eastAsia="zh-CN"/>
              </w:rPr>
            </w:pPr>
            <w:r>
              <w:rPr>
                <w:rFonts w:eastAsia="等线"/>
                <w:color w:val="000000"/>
                <w:sz w:val="18"/>
                <w:szCs w:val="18"/>
                <w:lang w:val="en-US" w:eastAsia="zh-CN" w:bidi="ar"/>
              </w:rPr>
              <w:t>2048</w:t>
            </w:r>
          </w:p>
        </w:tc>
      </w:tr>
      <w:tr w14:paraId="031AA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821" w:type="dxa"/>
            <w:gridSpan w:val="2"/>
            <w:tcBorders>
              <w:top w:val="single" w:color="auto" w:sz="2" w:space="0"/>
              <w:bottom w:val="single" w:color="auto" w:sz="2" w:space="0"/>
            </w:tcBorders>
            <w:noWrap/>
          </w:tcPr>
          <w:p w14:paraId="383EFD81">
            <w:pPr>
              <w:overflowPunct w:val="0"/>
              <w:autoSpaceDE w:val="0"/>
              <w:autoSpaceDN w:val="0"/>
              <w:adjustRightInd w:val="0"/>
              <w:rPr>
                <w:rFonts w:eastAsia="等线"/>
                <w:color w:val="000000"/>
                <w:sz w:val="18"/>
                <w:szCs w:val="18"/>
                <w:lang w:val="en-US" w:eastAsia="zh-CN"/>
              </w:rPr>
            </w:pPr>
            <w:r>
              <w:rPr>
                <w:rFonts w:eastAsia="等线"/>
                <w:color w:val="000000"/>
                <w:sz w:val="18"/>
                <w:szCs w:val="18"/>
                <w:lang w:val="en-US" w:eastAsia="zh-CN" w:bidi="ar"/>
              </w:rPr>
              <w:t>Antenna array gain for traffic channel</w:t>
            </w:r>
          </w:p>
        </w:tc>
        <w:tc>
          <w:tcPr>
            <w:tcW w:w="1024" w:type="dxa"/>
            <w:noWrap/>
          </w:tcPr>
          <w:p w14:paraId="638FFD7A">
            <w:pPr>
              <w:overflowPunct w:val="0"/>
              <w:autoSpaceDE w:val="0"/>
              <w:autoSpaceDN w:val="0"/>
              <w:adjustRightInd w:val="0"/>
              <w:jc w:val="center"/>
              <w:rPr>
                <w:rFonts w:eastAsia="等线"/>
                <w:color w:val="000000"/>
                <w:sz w:val="18"/>
                <w:szCs w:val="18"/>
                <w:lang w:val="en-US" w:eastAsia="zh-CN"/>
              </w:rPr>
            </w:pPr>
            <w:r>
              <w:rPr>
                <w:rFonts w:eastAsia="等线"/>
                <w:color w:val="000000"/>
                <w:sz w:val="18"/>
                <w:szCs w:val="18"/>
                <w:lang w:val="en-US" w:eastAsia="zh-CN" w:bidi="ar"/>
              </w:rPr>
              <w:t>22.83</w:t>
            </w:r>
          </w:p>
        </w:tc>
        <w:tc>
          <w:tcPr>
            <w:tcW w:w="1024" w:type="dxa"/>
            <w:noWrap/>
          </w:tcPr>
          <w:p w14:paraId="25FC1354">
            <w:pPr>
              <w:overflowPunct w:val="0"/>
              <w:autoSpaceDE w:val="0"/>
              <w:autoSpaceDN w:val="0"/>
              <w:adjustRightInd w:val="0"/>
              <w:jc w:val="center"/>
              <w:rPr>
                <w:rFonts w:eastAsia="等线"/>
                <w:color w:val="000000"/>
                <w:sz w:val="18"/>
                <w:szCs w:val="18"/>
                <w:lang w:val="en-US" w:eastAsia="zh-CN"/>
              </w:rPr>
            </w:pPr>
            <w:r>
              <w:rPr>
                <w:rFonts w:eastAsia="等线"/>
                <w:color w:val="000000"/>
                <w:sz w:val="18"/>
                <w:szCs w:val="18"/>
                <w:lang w:val="en-US" w:eastAsia="zh-CN" w:bidi="ar"/>
              </w:rPr>
              <w:t>22.83</w:t>
            </w:r>
          </w:p>
        </w:tc>
        <w:tc>
          <w:tcPr>
            <w:tcW w:w="874" w:type="dxa"/>
            <w:noWrap/>
          </w:tcPr>
          <w:p w14:paraId="527E4778">
            <w:pPr>
              <w:overflowPunct w:val="0"/>
              <w:autoSpaceDE w:val="0"/>
              <w:autoSpaceDN w:val="0"/>
              <w:adjustRightInd w:val="0"/>
              <w:jc w:val="center"/>
              <w:rPr>
                <w:rFonts w:eastAsia="等线"/>
                <w:color w:val="000000"/>
                <w:sz w:val="18"/>
                <w:szCs w:val="18"/>
                <w:lang w:val="en-US" w:eastAsia="zh-CN"/>
              </w:rPr>
            </w:pPr>
            <w:r>
              <w:rPr>
                <w:rFonts w:eastAsia="等线"/>
                <w:color w:val="000000"/>
                <w:sz w:val="18"/>
                <w:szCs w:val="18"/>
                <w:lang w:val="en-US" w:eastAsia="zh-CN" w:bidi="ar"/>
              </w:rPr>
              <w:t>30.10</w:t>
            </w:r>
          </w:p>
        </w:tc>
        <w:tc>
          <w:tcPr>
            <w:tcW w:w="874" w:type="dxa"/>
            <w:noWrap/>
          </w:tcPr>
          <w:p w14:paraId="5188AB26">
            <w:pPr>
              <w:overflowPunct w:val="0"/>
              <w:autoSpaceDE w:val="0"/>
              <w:autoSpaceDN w:val="0"/>
              <w:adjustRightInd w:val="0"/>
              <w:jc w:val="center"/>
              <w:rPr>
                <w:rFonts w:eastAsia="等线"/>
                <w:color w:val="000000"/>
                <w:sz w:val="18"/>
                <w:szCs w:val="18"/>
                <w:lang w:val="en-US" w:eastAsia="zh-CN"/>
              </w:rPr>
            </w:pPr>
            <w:r>
              <w:rPr>
                <w:rFonts w:eastAsia="等线"/>
                <w:color w:val="000000"/>
                <w:sz w:val="18"/>
                <w:szCs w:val="18"/>
                <w:lang w:val="en-US" w:eastAsia="zh-CN" w:bidi="ar"/>
              </w:rPr>
              <w:t>33.11</w:t>
            </w:r>
          </w:p>
        </w:tc>
      </w:tr>
      <w:tr w14:paraId="02B3C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trPr>
        <w:tc>
          <w:tcPr>
            <w:tcW w:w="6821" w:type="dxa"/>
            <w:gridSpan w:val="2"/>
            <w:tcBorders>
              <w:top w:val="single" w:color="auto" w:sz="2" w:space="0"/>
            </w:tcBorders>
          </w:tcPr>
          <w:p w14:paraId="2FB29D64">
            <w:pPr>
              <w:overflowPunct w:val="0"/>
              <w:autoSpaceDE w:val="0"/>
              <w:autoSpaceDN w:val="0"/>
              <w:adjustRightInd w:val="0"/>
              <w:rPr>
                <w:rFonts w:eastAsia="等线"/>
                <w:color w:val="000000"/>
                <w:sz w:val="18"/>
                <w:szCs w:val="18"/>
                <w:lang w:val="en-US" w:eastAsia="zh-CN"/>
              </w:rPr>
            </w:pPr>
            <w:r>
              <w:rPr>
                <w:rFonts w:eastAsia="等线"/>
                <w:color w:val="000000"/>
                <w:sz w:val="18"/>
                <w:szCs w:val="18"/>
                <w:lang w:val="en-US" w:eastAsia="zh-CN" w:bidi="ar"/>
              </w:rPr>
              <w:t>Additional gain from BS antenna array for traffic channel</w:t>
            </w:r>
          </w:p>
        </w:tc>
        <w:tc>
          <w:tcPr>
            <w:tcW w:w="1024" w:type="dxa"/>
            <w:noWrap/>
          </w:tcPr>
          <w:p w14:paraId="724CE2C3">
            <w:pPr>
              <w:overflowPunct w:val="0"/>
              <w:autoSpaceDE w:val="0"/>
              <w:autoSpaceDN w:val="0"/>
              <w:adjustRightInd w:val="0"/>
              <w:rPr>
                <w:sz w:val="18"/>
                <w:szCs w:val="18"/>
              </w:rPr>
            </w:pPr>
          </w:p>
        </w:tc>
        <w:tc>
          <w:tcPr>
            <w:tcW w:w="1024" w:type="dxa"/>
            <w:noWrap/>
          </w:tcPr>
          <w:p w14:paraId="0AA45718">
            <w:pPr>
              <w:overflowPunct w:val="0"/>
              <w:autoSpaceDE w:val="0"/>
              <w:autoSpaceDN w:val="0"/>
              <w:adjustRightInd w:val="0"/>
              <w:rPr>
                <w:sz w:val="18"/>
                <w:szCs w:val="18"/>
              </w:rPr>
            </w:pPr>
          </w:p>
        </w:tc>
        <w:tc>
          <w:tcPr>
            <w:tcW w:w="874" w:type="dxa"/>
            <w:noWrap/>
          </w:tcPr>
          <w:p w14:paraId="5DADD7C2">
            <w:pPr>
              <w:overflowPunct w:val="0"/>
              <w:autoSpaceDE w:val="0"/>
              <w:autoSpaceDN w:val="0"/>
              <w:adjustRightInd w:val="0"/>
              <w:jc w:val="center"/>
              <w:rPr>
                <w:rFonts w:eastAsia="等线"/>
                <w:color w:val="000000"/>
                <w:sz w:val="18"/>
                <w:szCs w:val="18"/>
                <w:lang w:val="en-US" w:eastAsia="zh-CN"/>
              </w:rPr>
            </w:pPr>
            <w:r>
              <w:rPr>
                <w:rFonts w:eastAsia="等线"/>
                <w:color w:val="000000"/>
                <w:sz w:val="18"/>
                <w:szCs w:val="18"/>
                <w:lang w:val="en-US" w:eastAsia="zh-CN" w:bidi="ar"/>
              </w:rPr>
              <w:t>7.27</w:t>
            </w:r>
          </w:p>
        </w:tc>
        <w:tc>
          <w:tcPr>
            <w:tcW w:w="874" w:type="dxa"/>
            <w:noWrap/>
          </w:tcPr>
          <w:p w14:paraId="713B1579">
            <w:pPr>
              <w:overflowPunct w:val="0"/>
              <w:autoSpaceDE w:val="0"/>
              <w:autoSpaceDN w:val="0"/>
              <w:adjustRightInd w:val="0"/>
              <w:jc w:val="center"/>
              <w:rPr>
                <w:rFonts w:eastAsia="等线"/>
                <w:color w:val="000000"/>
                <w:sz w:val="18"/>
                <w:szCs w:val="18"/>
                <w:lang w:val="en-US" w:eastAsia="zh-CN"/>
              </w:rPr>
            </w:pPr>
            <w:r>
              <w:rPr>
                <w:rFonts w:eastAsia="等线"/>
                <w:color w:val="000000"/>
                <w:sz w:val="18"/>
                <w:szCs w:val="18"/>
                <w:lang w:val="en-US" w:eastAsia="zh-CN" w:bidi="ar"/>
              </w:rPr>
              <w:t>10.28</w:t>
            </w:r>
          </w:p>
        </w:tc>
      </w:tr>
      <w:tr w14:paraId="370C6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trPr>
        <w:tc>
          <w:tcPr>
            <w:tcW w:w="2689" w:type="dxa"/>
            <w:vMerge w:val="restart"/>
          </w:tcPr>
          <w:p w14:paraId="45FF45E2">
            <w:pPr>
              <w:overflowPunct w:val="0"/>
              <w:autoSpaceDE w:val="0"/>
              <w:autoSpaceDN w:val="0"/>
              <w:adjustRightInd w:val="0"/>
              <w:rPr>
                <w:rFonts w:eastAsia="等线"/>
                <w:color w:val="000000"/>
                <w:sz w:val="18"/>
                <w:szCs w:val="18"/>
                <w:lang w:val="en-US" w:eastAsia="zh-CN"/>
              </w:rPr>
            </w:pPr>
            <w:r>
              <w:rPr>
                <w:rFonts w:eastAsia="等线"/>
                <w:color w:val="000000"/>
                <w:sz w:val="18"/>
                <w:szCs w:val="18"/>
                <w:lang w:val="en-US" w:eastAsia="zh-CN" w:bidi="ar"/>
              </w:rPr>
              <w:t>Additional gain from BS antenna array</w:t>
            </w:r>
            <w:r>
              <w:rPr>
                <w:rFonts w:eastAsia="等线"/>
                <w:color w:val="000000"/>
                <w:sz w:val="18"/>
                <w:szCs w:val="18"/>
                <w:lang w:val="en-US" w:eastAsia="zh-CN"/>
              </w:rPr>
              <w:t xml:space="preserve"> for common channel</w:t>
            </w:r>
          </w:p>
        </w:tc>
        <w:tc>
          <w:tcPr>
            <w:tcW w:w="4132" w:type="dxa"/>
          </w:tcPr>
          <w:p w14:paraId="6D28BE60">
            <w:pPr>
              <w:overflowPunct w:val="0"/>
              <w:autoSpaceDE w:val="0"/>
              <w:autoSpaceDN w:val="0"/>
              <w:adjustRightInd w:val="0"/>
              <w:rPr>
                <w:rFonts w:eastAsia="等线"/>
                <w:color w:val="000000"/>
                <w:sz w:val="18"/>
                <w:szCs w:val="18"/>
                <w:lang w:val="en-US" w:eastAsia="zh-CN"/>
              </w:rPr>
            </w:pPr>
            <w:r>
              <w:rPr>
                <w:rFonts w:eastAsia="等线"/>
                <w:color w:val="000000"/>
                <w:sz w:val="18"/>
                <w:szCs w:val="18"/>
                <w:lang w:val="en-US" w:eastAsia="zh-CN" w:bidi="ar"/>
              </w:rPr>
              <w:t xml:space="preserve">Option 1: </w:t>
            </w:r>
            <w:r>
              <w:rPr>
                <w:rFonts w:hint="eastAsia" w:eastAsia="等线"/>
                <w:color w:val="000000"/>
                <w:sz w:val="18"/>
                <w:szCs w:val="18"/>
                <w:lang w:val="en-US" w:eastAsia="zh-CN" w:bidi="ar"/>
              </w:rPr>
              <w:t>3</w:t>
            </w:r>
            <w:r>
              <w:rPr>
                <w:rFonts w:eastAsia="等线"/>
                <w:color w:val="000000"/>
                <w:sz w:val="18"/>
                <w:szCs w:val="18"/>
                <w:lang w:val="en-US" w:eastAsia="zh-CN" w:bidi="ar"/>
              </w:rPr>
              <w:t>dB loss compared with traffic channel</w:t>
            </w:r>
          </w:p>
        </w:tc>
        <w:tc>
          <w:tcPr>
            <w:tcW w:w="1024" w:type="dxa"/>
            <w:noWrap/>
          </w:tcPr>
          <w:p w14:paraId="4F1C6076">
            <w:pPr>
              <w:overflowPunct w:val="0"/>
              <w:autoSpaceDE w:val="0"/>
              <w:autoSpaceDN w:val="0"/>
              <w:adjustRightInd w:val="0"/>
              <w:rPr>
                <w:sz w:val="18"/>
                <w:szCs w:val="18"/>
              </w:rPr>
            </w:pPr>
          </w:p>
        </w:tc>
        <w:tc>
          <w:tcPr>
            <w:tcW w:w="1024" w:type="dxa"/>
            <w:noWrap/>
          </w:tcPr>
          <w:p w14:paraId="0EAD64D0">
            <w:pPr>
              <w:overflowPunct w:val="0"/>
              <w:autoSpaceDE w:val="0"/>
              <w:autoSpaceDN w:val="0"/>
              <w:adjustRightInd w:val="0"/>
              <w:rPr>
                <w:sz w:val="18"/>
                <w:szCs w:val="18"/>
              </w:rPr>
            </w:pPr>
          </w:p>
        </w:tc>
        <w:tc>
          <w:tcPr>
            <w:tcW w:w="874" w:type="dxa"/>
            <w:noWrap/>
          </w:tcPr>
          <w:p w14:paraId="2D014027">
            <w:pPr>
              <w:overflowPunct w:val="0"/>
              <w:autoSpaceDE w:val="0"/>
              <w:autoSpaceDN w:val="0"/>
              <w:adjustRightInd w:val="0"/>
              <w:jc w:val="center"/>
              <w:rPr>
                <w:rFonts w:eastAsia="等线"/>
                <w:color w:val="000000"/>
                <w:sz w:val="18"/>
                <w:szCs w:val="18"/>
                <w:lang w:val="en-US" w:eastAsia="zh-CN"/>
              </w:rPr>
            </w:pPr>
            <w:r>
              <w:rPr>
                <w:rFonts w:eastAsia="等线"/>
                <w:color w:val="000000"/>
                <w:sz w:val="18"/>
                <w:szCs w:val="18"/>
                <w:lang w:val="en-US" w:eastAsia="zh-CN" w:bidi="ar"/>
              </w:rPr>
              <w:t>4.27</w:t>
            </w:r>
          </w:p>
        </w:tc>
        <w:tc>
          <w:tcPr>
            <w:tcW w:w="874" w:type="dxa"/>
            <w:noWrap/>
          </w:tcPr>
          <w:p w14:paraId="2406E1AD">
            <w:pPr>
              <w:overflowPunct w:val="0"/>
              <w:autoSpaceDE w:val="0"/>
              <w:autoSpaceDN w:val="0"/>
              <w:adjustRightInd w:val="0"/>
              <w:jc w:val="center"/>
              <w:rPr>
                <w:rFonts w:eastAsia="等线"/>
                <w:color w:val="000000"/>
                <w:sz w:val="18"/>
                <w:szCs w:val="18"/>
                <w:lang w:val="en-US" w:eastAsia="zh-CN"/>
              </w:rPr>
            </w:pPr>
            <w:r>
              <w:rPr>
                <w:rFonts w:eastAsia="等线"/>
                <w:color w:val="000000"/>
                <w:sz w:val="18"/>
                <w:szCs w:val="18"/>
                <w:lang w:val="en-US" w:eastAsia="zh-CN" w:bidi="ar"/>
              </w:rPr>
              <w:t>7.28</w:t>
            </w:r>
          </w:p>
        </w:tc>
      </w:tr>
      <w:tr w14:paraId="2172A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trPr>
        <w:tc>
          <w:tcPr>
            <w:tcW w:w="2689" w:type="dxa"/>
            <w:vMerge w:val="continue"/>
          </w:tcPr>
          <w:p w14:paraId="717BDE47">
            <w:pPr>
              <w:overflowPunct w:val="0"/>
              <w:autoSpaceDE w:val="0"/>
              <w:autoSpaceDN w:val="0"/>
              <w:adjustRightInd w:val="0"/>
              <w:rPr>
                <w:rFonts w:eastAsia="等线"/>
                <w:color w:val="000000"/>
                <w:sz w:val="18"/>
                <w:szCs w:val="18"/>
                <w:lang w:val="en-US" w:eastAsia="zh-CN"/>
              </w:rPr>
            </w:pPr>
          </w:p>
        </w:tc>
        <w:tc>
          <w:tcPr>
            <w:tcW w:w="4132" w:type="dxa"/>
          </w:tcPr>
          <w:p w14:paraId="380B3970">
            <w:pPr>
              <w:overflowPunct w:val="0"/>
              <w:autoSpaceDE w:val="0"/>
              <w:autoSpaceDN w:val="0"/>
              <w:adjustRightInd w:val="0"/>
              <w:rPr>
                <w:rFonts w:eastAsia="等线"/>
                <w:color w:val="000000"/>
                <w:sz w:val="18"/>
                <w:szCs w:val="18"/>
                <w:lang w:val="en-US" w:eastAsia="zh-CN"/>
              </w:rPr>
            </w:pPr>
            <w:r>
              <w:rPr>
                <w:rFonts w:eastAsia="等线"/>
                <w:color w:val="000000"/>
                <w:sz w:val="18"/>
                <w:szCs w:val="18"/>
                <w:lang w:val="en-US" w:eastAsia="zh-CN" w:bidi="ar"/>
              </w:rPr>
              <w:t xml:space="preserve">Option 2: </w:t>
            </w:r>
            <w:r>
              <w:rPr>
                <w:rFonts w:hint="eastAsia" w:eastAsia="等线"/>
                <w:color w:val="000000"/>
                <w:sz w:val="18"/>
                <w:szCs w:val="18"/>
                <w:lang w:val="en-US" w:eastAsia="zh-CN" w:bidi="ar"/>
              </w:rPr>
              <w:t>6</w:t>
            </w:r>
            <w:r>
              <w:rPr>
                <w:rFonts w:eastAsia="等线"/>
                <w:color w:val="000000"/>
                <w:sz w:val="18"/>
                <w:szCs w:val="18"/>
                <w:lang w:val="en-US" w:eastAsia="zh-CN" w:bidi="ar"/>
              </w:rPr>
              <w:t>dB loss compared with traffic channel</w:t>
            </w:r>
          </w:p>
        </w:tc>
        <w:tc>
          <w:tcPr>
            <w:tcW w:w="1024" w:type="dxa"/>
            <w:noWrap/>
          </w:tcPr>
          <w:p w14:paraId="21A74A0B">
            <w:pPr>
              <w:overflowPunct w:val="0"/>
              <w:autoSpaceDE w:val="0"/>
              <w:autoSpaceDN w:val="0"/>
              <w:adjustRightInd w:val="0"/>
              <w:rPr>
                <w:sz w:val="18"/>
                <w:szCs w:val="18"/>
              </w:rPr>
            </w:pPr>
          </w:p>
        </w:tc>
        <w:tc>
          <w:tcPr>
            <w:tcW w:w="1024" w:type="dxa"/>
            <w:noWrap/>
          </w:tcPr>
          <w:p w14:paraId="29D03EFF">
            <w:pPr>
              <w:overflowPunct w:val="0"/>
              <w:autoSpaceDE w:val="0"/>
              <w:autoSpaceDN w:val="0"/>
              <w:adjustRightInd w:val="0"/>
              <w:rPr>
                <w:sz w:val="18"/>
                <w:szCs w:val="18"/>
              </w:rPr>
            </w:pPr>
          </w:p>
        </w:tc>
        <w:tc>
          <w:tcPr>
            <w:tcW w:w="874" w:type="dxa"/>
            <w:noWrap/>
          </w:tcPr>
          <w:p w14:paraId="350D7C8D">
            <w:pPr>
              <w:overflowPunct w:val="0"/>
              <w:autoSpaceDE w:val="0"/>
              <w:autoSpaceDN w:val="0"/>
              <w:adjustRightInd w:val="0"/>
              <w:jc w:val="center"/>
              <w:rPr>
                <w:rFonts w:eastAsia="等线"/>
                <w:color w:val="000000"/>
                <w:sz w:val="18"/>
                <w:szCs w:val="18"/>
                <w:lang w:val="en-US" w:eastAsia="zh-CN"/>
              </w:rPr>
            </w:pPr>
            <w:r>
              <w:rPr>
                <w:rFonts w:eastAsia="等线"/>
                <w:color w:val="000000"/>
                <w:sz w:val="18"/>
                <w:szCs w:val="18"/>
                <w:lang w:val="en-US" w:eastAsia="zh-CN" w:bidi="ar"/>
              </w:rPr>
              <w:t>1.27</w:t>
            </w:r>
          </w:p>
        </w:tc>
        <w:tc>
          <w:tcPr>
            <w:tcW w:w="874" w:type="dxa"/>
            <w:noWrap/>
          </w:tcPr>
          <w:p w14:paraId="617004BD">
            <w:pPr>
              <w:overflowPunct w:val="0"/>
              <w:autoSpaceDE w:val="0"/>
              <w:autoSpaceDN w:val="0"/>
              <w:adjustRightInd w:val="0"/>
              <w:jc w:val="center"/>
              <w:rPr>
                <w:rFonts w:eastAsia="等线"/>
                <w:color w:val="000000"/>
                <w:sz w:val="18"/>
                <w:szCs w:val="18"/>
                <w:lang w:val="en-US" w:eastAsia="zh-CN"/>
              </w:rPr>
            </w:pPr>
            <w:r>
              <w:rPr>
                <w:rFonts w:eastAsia="等线"/>
                <w:color w:val="000000"/>
                <w:sz w:val="18"/>
                <w:szCs w:val="18"/>
                <w:lang w:val="en-US" w:eastAsia="zh-CN" w:bidi="ar"/>
              </w:rPr>
              <w:t>4.28</w:t>
            </w:r>
          </w:p>
        </w:tc>
      </w:tr>
    </w:tbl>
    <w:p w14:paraId="466A15D3">
      <w:pPr>
        <w:pStyle w:val="15"/>
        <w:spacing w:before="120" w:beforeAutospacing="0" w:after="180" w:afterAutospacing="0"/>
        <w:jc w:val="center"/>
        <w:rPr>
          <w:bCs/>
          <w:sz w:val="18"/>
          <w:szCs w:val="18"/>
          <w:lang w:bidi="ar"/>
        </w:rPr>
      </w:pPr>
      <w:r>
        <w:rPr>
          <w:bCs/>
          <w:sz w:val="18"/>
          <w:szCs w:val="18"/>
          <w:lang w:bidi="ar"/>
        </w:rPr>
        <w:t xml:space="preserve">Table Preliminary coverage gap for </w:t>
      </w:r>
      <w:r>
        <w:rPr>
          <w:rFonts w:hint="eastAsia" w:eastAsia="宋体"/>
          <w:bCs/>
          <w:sz w:val="18"/>
          <w:szCs w:val="18"/>
          <w:lang w:val="en-US" w:eastAsia="zh-CN" w:bidi="ar"/>
        </w:rPr>
        <w:t>8.4</w:t>
      </w:r>
      <w:r>
        <w:rPr>
          <w:bCs/>
          <w:sz w:val="18"/>
          <w:szCs w:val="18"/>
          <w:lang w:bidi="ar"/>
        </w:rPr>
        <w:t>GHz with 2048 antenna elements</w:t>
      </w:r>
    </w:p>
    <w:tbl>
      <w:tblPr>
        <w:tblStyle w:val="16"/>
        <w:tblW w:w="7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39"/>
        <w:gridCol w:w="1092"/>
        <w:gridCol w:w="1430"/>
        <w:gridCol w:w="1879"/>
      </w:tblGrid>
      <w:tr w14:paraId="5C276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840" w:type="dxa"/>
            <w:gridSpan w:val="4"/>
            <w:noWrap/>
            <w:vAlign w:val="bottom"/>
          </w:tcPr>
          <w:p w14:paraId="6ED428A0">
            <w:pPr>
              <w:jc w:val="center"/>
              <w:rPr>
                <w:rFonts w:eastAsia="等线"/>
                <w:color w:val="000000"/>
                <w:sz w:val="18"/>
                <w:szCs w:val="18"/>
                <w:lang w:val="en-US" w:eastAsia="zh-CN"/>
              </w:rPr>
            </w:pPr>
            <w:r>
              <w:rPr>
                <w:rFonts w:hint="eastAsia" w:eastAsia="等线"/>
                <w:color w:val="000000"/>
                <w:sz w:val="18"/>
                <w:szCs w:val="18"/>
                <w:lang w:val="en-US" w:eastAsia="zh-CN" w:bidi="ar"/>
              </w:rPr>
              <w:t>8.4</w:t>
            </w:r>
            <w:r>
              <w:rPr>
                <w:rFonts w:eastAsia="等线"/>
                <w:color w:val="000000"/>
                <w:sz w:val="18"/>
                <w:szCs w:val="18"/>
                <w:lang w:val="en-US" w:eastAsia="zh-CN" w:bidi="ar"/>
              </w:rPr>
              <w:t>GHz-2048 antenna element-coverage gap</w:t>
            </w:r>
          </w:p>
        </w:tc>
      </w:tr>
      <w:tr w14:paraId="55CE8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4531" w:type="dxa"/>
            <w:gridSpan w:val="2"/>
            <w:noWrap/>
            <w:vAlign w:val="bottom"/>
          </w:tcPr>
          <w:p w14:paraId="434D69E5">
            <w:pPr>
              <w:jc w:val="center"/>
              <w:rPr>
                <w:rFonts w:eastAsia="等线"/>
                <w:color w:val="000000"/>
                <w:sz w:val="18"/>
                <w:szCs w:val="18"/>
                <w:lang w:val="en-US" w:eastAsia="zh-CN"/>
              </w:rPr>
            </w:pPr>
            <w:r>
              <w:rPr>
                <w:rFonts w:eastAsia="等线"/>
                <w:color w:val="000000"/>
                <w:sz w:val="18"/>
                <w:szCs w:val="18"/>
                <w:lang w:val="en-US" w:eastAsia="zh-CN" w:bidi="ar"/>
              </w:rPr>
              <w:t>Coverage gap compared with 3.5GHz</w:t>
            </w:r>
          </w:p>
        </w:tc>
        <w:tc>
          <w:tcPr>
            <w:tcW w:w="1430" w:type="dxa"/>
            <w:noWrap/>
            <w:vAlign w:val="bottom"/>
          </w:tcPr>
          <w:p w14:paraId="0BE45F78">
            <w:pPr>
              <w:rPr>
                <w:rFonts w:eastAsia="等线"/>
                <w:color w:val="000000"/>
                <w:sz w:val="18"/>
                <w:szCs w:val="18"/>
                <w:lang w:val="en-US" w:eastAsia="zh-CN"/>
              </w:rPr>
            </w:pPr>
            <w:r>
              <w:rPr>
                <w:rFonts w:eastAsia="等线"/>
                <w:color w:val="000000"/>
                <w:sz w:val="18"/>
                <w:szCs w:val="18"/>
                <w:lang w:val="en-US" w:eastAsia="zh-CN" w:bidi="ar"/>
              </w:rPr>
              <w:t>　</w:t>
            </w:r>
          </w:p>
        </w:tc>
        <w:tc>
          <w:tcPr>
            <w:tcW w:w="1879" w:type="dxa"/>
            <w:noWrap/>
            <w:vAlign w:val="bottom"/>
          </w:tcPr>
          <w:p w14:paraId="532F39F0">
            <w:pPr>
              <w:rPr>
                <w:rFonts w:eastAsia="等线"/>
                <w:color w:val="000000"/>
                <w:sz w:val="18"/>
                <w:szCs w:val="18"/>
                <w:lang w:val="en-US" w:eastAsia="zh-CN"/>
              </w:rPr>
            </w:pPr>
            <w:r>
              <w:rPr>
                <w:rFonts w:eastAsia="等线"/>
                <w:color w:val="000000"/>
                <w:sz w:val="18"/>
                <w:szCs w:val="18"/>
                <w:lang w:val="en-US" w:eastAsia="zh-CN" w:bidi="ar"/>
              </w:rPr>
              <w:t>　</w:t>
            </w:r>
          </w:p>
        </w:tc>
      </w:tr>
      <w:tr w14:paraId="6940C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439" w:type="dxa"/>
            <w:noWrap/>
            <w:vAlign w:val="bottom"/>
          </w:tcPr>
          <w:p w14:paraId="6E299586">
            <w:pPr>
              <w:rPr>
                <w:sz w:val="18"/>
                <w:szCs w:val="18"/>
                <w:lang w:eastAsia="zh-CN"/>
              </w:rPr>
            </w:pPr>
          </w:p>
        </w:tc>
        <w:tc>
          <w:tcPr>
            <w:tcW w:w="1092" w:type="dxa"/>
            <w:noWrap/>
            <w:vAlign w:val="bottom"/>
          </w:tcPr>
          <w:p w14:paraId="4C5A2B3E">
            <w:pPr>
              <w:rPr>
                <w:rFonts w:eastAsia="等线"/>
                <w:color w:val="000000"/>
                <w:sz w:val="18"/>
                <w:szCs w:val="18"/>
                <w:lang w:val="en-US" w:eastAsia="zh-CN"/>
              </w:rPr>
            </w:pPr>
            <w:r>
              <w:rPr>
                <w:rFonts w:eastAsia="等线"/>
                <w:color w:val="000000"/>
                <w:sz w:val="18"/>
                <w:szCs w:val="18"/>
                <w:lang w:val="en-US" w:eastAsia="zh-CN" w:bidi="ar"/>
              </w:rPr>
              <w:t>O2O</w:t>
            </w:r>
          </w:p>
        </w:tc>
        <w:tc>
          <w:tcPr>
            <w:tcW w:w="1430" w:type="dxa"/>
            <w:noWrap/>
            <w:vAlign w:val="bottom"/>
          </w:tcPr>
          <w:p w14:paraId="3A39C337">
            <w:pPr>
              <w:rPr>
                <w:rFonts w:eastAsia="等线"/>
                <w:color w:val="000000"/>
                <w:sz w:val="18"/>
                <w:szCs w:val="18"/>
                <w:lang w:val="en-US" w:eastAsia="zh-CN"/>
              </w:rPr>
            </w:pPr>
            <w:r>
              <w:rPr>
                <w:rFonts w:eastAsia="等线"/>
                <w:color w:val="000000"/>
                <w:sz w:val="18"/>
                <w:szCs w:val="18"/>
                <w:lang w:val="en-US" w:eastAsia="zh-CN" w:bidi="ar"/>
              </w:rPr>
              <w:t>O2I-low loss</w:t>
            </w:r>
          </w:p>
        </w:tc>
        <w:tc>
          <w:tcPr>
            <w:tcW w:w="1879" w:type="dxa"/>
            <w:noWrap/>
            <w:vAlign w:val="bottom"/>
          </w:tcPr>
          <w:p w14:paraId="5502D8B7">
            <w:pPr>
              <w:rPr>
                <w:rFonts w:eastAsia="等线"/>
                <w:color w:val="000000"/>
                <w:sz w:val="18"/>
                <w:szCs w:val="18"/>
                <w:lang w:val="en-US" w:eastAsia="zh-CN"/>
              </w:rPr>
            </w:pPr>
            <w:r>
              <w:rPr>
                <w:rFonts w:eastAsia="等线"/>
                <w:color w:val="000000"/>
                <w:sz w:val="18"/>
                <w:szCs w:val="18"/>
                <w:lang w:val="en-US" w:eastAsia="zh-CN" w:bidi="ar"/>
              </w:rPr>
              <w:t>O2I-high loss</w:t>
            </w:r>
          </w:p>
        </w:tc>
      </w:tr>
      <w:tr w14:paraId="5F9DF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439" w:type="dxa"/>
            <w:noWrap/>
            <w:vAlign w:val="bottom"/>
          </w:tcPr>
          <w:p w14:paraId="74FD1402">
            <w:pPr>
              <w:rPr>
                <w:rFonts w:eastAsia="等线"/>
                <w:color w:val="000000"/>
                <w:sz w:val="18"/>
                <w:szCs w:val="18"/>
                <w:lang w:val="en-US" w:eastAsia="zh-CN"/>
              </w:rPr>
            </w:pPr>
            <w:r>
              <w:rPr>
                <w:rFonts w:eastAsia="等线"/>
                <w:color w:val="000000"/>
                <w:sz w:val="18"/>
                <w:szCs w:val="18"/>
                <w:lang w:val="en-US" w:eastAsia="zh-CN" w:bidi="ar"/>
              </w:rPr>
              <w:t>Traffic channel</w:t>
            </w:r>
          </w:p>
        </w:tc>
        <w:tc>
          <w:tcPr>
            <w:tcW w:w="1092" w:type="dxa"/>
            <w:noWrap/>
            <w:vAlign w:val="bottom"/>
          </w:tcPr>
          <w:p w14:paraId="2BF589E3">
            <w:pPr>
              <w:jc w:val="center"/>
              <w:rPr>
                <w:rFonts w:eastAsia="等线"/>
                <w:color w:val="000000"/>
                <w:sz w:val="18"/>
                <w:szCs w:val="18"/>
                <w:lang w:val="en-US" w:eastAsia="zh-CN"/>
              </w:rPr>
            </w:pPr>
            <w:r>
              <w:rPr>
                <w:rFonts w:eastAsia="等线"/>
                <w:color w:val="000000"/>
                <w:sz w:val="18"/>
                <w:szCs w:val="18"/>
                <w:lang w:val="en-US" w:eastAsia="zh-CN" w:bidi="ar"/>
              </w:rPr>
              <w:t>-</w:t>
            </w:r>
            <w:r>
              <w:rPr>
                <w:rFonts w:hint="eastAsia" w:eastAsia="等线"/>
                <w:color w:val="000000"/>
                <w:sz w:val="18"/>
                <w:szCs w:val="18"/>
                <w:lang w:val="en-US" w:eastAsia="zh-CN" w:bidi="ar"/>
              </w:rPr>
              <w:t>3</w:t>
            </w:r>
          </w:p>
        </w:tc>
        <w:tc>
          <w:tcPr>
            <w:tcW w:w="1430" w:type="dxa"/>
            <w:noWrap/>
            <w:vAlign w:val="bottom"/>
          </w:tcPr>
          <w:p w14:paraId="05B7985E">
            <w:pPr>
              <w:jc w:val="center"/>
              <w:rPr>
                <w:rFonts w:hint="default" w:eastAsia="等线"/>
                <w:color w:val="000000"/>
                <w:sz w:val="18"/>
                <w:szCs w:val="18"/>
                <w:lang w:val="en-US" w:eastAsia="zh-CN"/>
              </w:rPr>
            </w:pPr>
            <w:r>
              <w:rPr>
                <w:rFonts w:eastAsia="等线"/>
                <w:color w:val="000000"/>
                <w:sz w:val="18"/>
                <w:szCs w:val="18"/>
                <w:lang w:val="en-US" w:eastAsia="zh-CN" w:bidi="ar"/>
              </w:rPr>
              <w:t>-</w:t>
            </w:r>
            <w:r>
              <w:rPr>
                <w:rFonts w:hint="eastAsia" w:eastAsia="等线"/>
                <w:color w:val="000000"/>
                <w:sz w:val="18"/>
                <w:szCs w:val="18"/>
                <w:lang w:val="en-US" w:eastAsia="zh-CN" w:bidi="ar"/>
              </w:rPr>
              <w:t>2.1</w:t>
            </w:r>
          </w:p>
        </w:tc>
        <w:tc>
          <w:tcPr>
            <w:tcW w:w="1879" w:type="dxa"/>
            <w:noWrap/>
            <w:vAlign w:val="bottom"/>
          </w:tcPr>
          <w:p w14:paraId="6F5D0BE3">
            <w:pPr>
              <w:jc w:val="center"/>
              <w:rPr>
                <w:rFonts w:hint="default" w:eastAsia="等线"/>
                <w:color w:val="000000"/>
                <w:sz w:val="18"/>
                <w:szCs w:val="18"/>
                <w:lang w:val="en-US" w:eastAsia="zh-CN"/>
              </w:rPr>
            </w:pPr>
            <w:r>
              <w:rPr>
                <w:rFonts w:hint="eastAsia" w:eastAsia="等线"/>
                <w:color w:val="000000"/>
                <w:sz w:val="18"/>
                <w:szCs w:val="18"/>
                <w:lang w:val="en-US" w:eastAsia="zh-CN"/>
              </w:rPr>
              <w:t>1.5</w:t>
            </w:r>
          </w:p>
        </w:tc>
      </w:tr>
      <w:tr w14:paraId="5A15D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439" w:type="dxa"/>
            <w:noWrap/>
            <w:vAlign w:val="bottom"/>
          </w:tcPr>
          <w:p w14:paraId="4A1C9E98">
            <w:pPr>
              <w:rPr>
                <w:rFonts w:eastAsia="等线"/>
                <w:color w:val="000000"/>
                <w:sz w:val="18"/>
                <w:szCs w:val="18"/>
                <w:lang w:val="en-US" w:eastAsia="zh-CN"/>
              </w:rPr>
            </w:pPr>
            <w:r>
              <w:rPr>
                <w:rFonts w:eastAsia="等线"/>
                <w:color w:val="000000"/>
                <w:sz w:val="18"/>
                <w:szCs w:val="18"/>
                <w:lang w:val="en-US" w:eastAsia="zh-CN" w:bidi="ar"/>
              </w:rPr>
              <w:t>Common control channel with option 1</w:t>
            </w:r>
          </w:p>
        </w:tc>
        <w:tc>
          <w:tcPr>
            <w:tcW w:w="1092" w:type="dxa"/>
            <w:noWrap/>
            <w:vAlign w:val="bottom"/>
          </w:tcPr>
          <w:p w14:paraId="46FD0F60">
            <w:pPr>
              <w:jc w:val="center"/>
              <w:rPr>
                <w:rFonts w:hint="default" w:eastAsia="等线"/>
                <w:color w:val="000000"/>
                <w:sz w:val="18"/>
                <w:szCs w:val="18"/>
                <w:lang w:val="en-US" w:eastAsia="zh-CN"/>
              </w:rPr>
            </w:pPr>
            <w:r>
              <w:rPr>
                <w:rFonts w:hint="eastAsia" w:eastAsia="等线"/>
                <w:color w:val="000000"/>
                <w:sz w:val="18"/>
                <w:szCs w:val="18"/>
                <w:lang w:val="en-US" w:eastAsia="zh-CN" w:bidi="ar"/>
              </w:rPr>
              <w:t>-0.2</w:t>
            </w:r>
          </w:p>
        </w:tc>
        <w:tc>
          <w:tcPr>
            <w:tcW w:w="1430" w:type="dxa"/>
            <w:noWrap/>
            <w:vAlign w:val="bottom"/>
          </w:tcPr>
          <w:p w14:paraId="7543ADC3">
            <w:pPr>
              <w:jc w:val="center"/>
              <w:rPr>
                <w:rFonts w:hint="default" w:eastAsia="等线"/>
                <w:color w:val="000000"/>
                <w:sz w:val="18"/>
                <w:szCs w:val="18"/>
                <w:lang w:val="en-US" w:eastAsia="zh-CN"/>
              </w:rPr>
            </w:pPr>
            <w:r>
              <w:rPr>
                <w:rFonts w:hint="eastAsia" w:eastAsia="等线"/>
                <w:color w:val="000000"/>
                <w:sz w:val="18"/>
                <w:szCs w:val="18"/>
                <w:lang w:val="en-US" w:eastAsia="zh-CN"/>
              </w:rPr>
              <w:t>0.9</w:t>
            </w:r>
          </w:p>
        </w:tc>
        <w:tc>
          <w:tcPr>
            <w:tcW w:w="1879" w:type="dxa"/>
            <w:noWrap/>
            <w:vAlign w:val="bottom"/>
          </w:tcPr>
          <w:p w14:paraId="406E1484">
            <w:pPr>
              <w:jc w:val="center"/>
              <w:rPr>
                <w:rFonts w:hint="default" w:eastAsia="等线"/>
                <w:color w:val="000000"/>
                <w:sz w:val="18"/>
                <w:szCs w:val="18"/>
                <w:lang w:val="en-US" w:eastAsia="zh-CN"/>
              </w:rPr>
            </w:pPr>
            <w:r>
              <w:rPr>
                <w:rFonts w:hint="eastAsia" w:eastAsia="等线"/>
                <w:color w:val="000000"/>
                <w:sz w:val="18"/>
                <w:szCs w:val="18"/>
                <w:lang w:val="en-US" w:eastAsia="zh-CN"/>
              </w:rPr>
              <w:t>4.5</w:t>
            </w:r>
          </w:p>
        </w:tc>
      </w:tr>
      <w:tr w14:paraId="669F8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439" w:type="dxa"/>
            <w:noWrap/>
            <w:vAlign w:val="bottom"/>
          </w:tcPr>
          <w:p w14:paraId="13DB7CE8">
            <w:pPr>
              <w:rPr>
                <w:rFonts w:eastAsia="等线"/>
                <w:color w:val="000000"/>
                <w:sz w:val="18"/>
                <w:szCs w:val="18"/>
                <w:lang w:val="en-US" w:eastAsia="zh-CN"/>
              </w:rPr>
            </w:pPr>
            <w:r>
              <w:rPr>
                <w:rFonts w:eastAsia="等线"/>
                <w:color w:val="000000"/>
                <w:sz w:val="18"/>
                <w:szCs w:val="18"/>
                <w:lang w:val="en-US" w:eastAsia="zh-CN" w:bidi="ar"/>
              </w:rPr>
              <w:t>Common control channel with option 2</w:t>
            </w:r>
          </w:p>
        </w:tc>
        <w:tc>
          <w:tcPr>
            <w:tcW w:w="1092" w:type="dxa"/>
            <w:noWrap/>
            <w:vAlign w:val="bottom"/>
          </w:tcPr>
          <w:p w14:paraId="66538481">
            <w:pPr>
              <w:jc w:val="center"/>
              <w:rPr>
                <w:rFonts w:hint="default" w:eastAsia="等线"/>
                <w:color w:val="000000"/>
                <w:sz w:val="18"/>
                <w:szCs w:val="18"/>
                <w:lang w:val="en-US" w:eastAsia="zh-CN"/>
              </w:rPr>
            </w:pPr>
            <w:r>
              <w:rPr>
                <w:rFonts w:hint="eastAsia" w:eastAsia="等线"/>
                <w:color w:val="000000"/>
                <w:sz w:val="18"/>
                <w:szCs w:val="18"/>
                <w:lang w:val="en-US" w:eastAsia="zh-CN"/>
              </w:rPr>
              <w:t>3</w:t>
            </w:r>
          </w:p>
        </w:tc>
        <w:tc>
          <w:tcPr>
            <w:tcW w:w="1430" w:type="dxa"/>
            <w:noWrap/>
            <w:vAlign w:val="bottom"/>
          </w:tcPr>
          <w:p w14:paraId="2D0F39DB">
            <w:pPr>
              <w:jc w:val="center"/>
              <w:rPr>
                <w:rFonts w:hint="default" w:eastAsia="等线"/>
                <w:color w:val="000000"/>
                <w:sz w:val="18"/>
                <w:szCs w:val="18"/>
                <w:lang w:val="en-US" w:eastAsia="zh-CN"/>
              </w:rPr>
            </w:pPr>
            <w:r>
              <w:rPr>
                <w:rFonts w:hint="eastAsia" w:eastAsia="等线"/>
                <w:color w:val="000000"/>
                <w:sz w:val="18"/>
                <w:szCs w:val="18"/>
                <w:lang w:val="en-US" w:eastAsia="zh-CN"/>
              </w:rPr>
              <w:t>4</w:t>
            </w:r>
          </w:p>
        </w:tc>
        <w:tc>
          <w:tcPr>
            <w:tcW w:w="1879" w:type="dxa"/>
            <w:noWrap/>
            <w:vAlign w:val="bottom"/>
          </w:tcPr>
          <w:p w14:paraId="3C2B5D1A">
            <w:pPr>
              <w:jc w:val="center"/>
              <w:rPr>
                <w:rFonts w:hint="default" w:eastAsia="等线"/>
                <w:color w:val="000000"/>
                <w:sz w:val="18"/>
                <w:szCs w:val="18"/>
                <w:lang w:val="en-US" w:eastAsia="zh-CN"/>
              </w:rPr>
            </w:pPr>
            <w:r>
              <w:rPr>
                <w:rFonts w:hint="eastAsia" w:eastAsia="等线"/>
                <w:color w:val="000000"/>
                <w:sz w:val="18"/>
                <w:szCs w:val="18"/>
                <w:lang w:val="en-US" w:eastAsia="zh-CN"/>
              </w:rPr>
              <w:t>7.5</w:t>
            </w:r>
          </w:p>
        </w:tc>
      </w:tr>
    </w:tbl>
    <w:p w14:paraId="114A04AC">
      <w:pPr>
        <w:jc w:val="both"/>
        <w:rPr>
          <w:sz w:val="18"/>
          <w:szCs w:val="18"/>
          <w:lang w:val="en-US" w:eastAsia="zh-CN" w:bidi="ar"/>
        </w:rPr>
      </w:pPr>
      <w:r>
        <w:rPr>
          <w:sz w:val="18"/>
          <w:szCs w:val="18"/>
          <w:lang w:val="en-US" w:eastAsia="zh-CN" w:bidi="ar"/>
        </w:rPr>
        <w:t xml:space="preserve">* No additional gain from UE side is considered including higher number of antenna element or higher transmit power. </w:t>
      </w:r>
    </w:p>
    <w:p w14:paraId="6FE04EB8">
      <w:pPr>
        <w:rPr>
          <w:rFonts w:hint="default" w:eastAsiaTheme="minorEastAsia"/>
          <w:lang w:val="en-US" w:eastAsia="zh-CN"/>
        </w:rPr>
      </w:pPr>
      <w:bookmarkStart w:id="12" w:name="OLE_LINK89"/>
      <w:r>
        <w:rPr>
          <w:rFonts w:hint="eastAsia" w:eastAsiaTheme="minorEastAsia"/>
          <w:lang w:val="en-US" w:eastAsia="zh-CN"/>
        </w:rPr>
        <w:t>For hand held UE, based on above initial analysis, it seems the coverage gap is less if assume larger antenna element number at BS side and can be compensated by certain UL coverage enhancement scheme especially when comparable with 3.5GHz rather than using better RF front architecture, e.g. re-transmission or lower PAPR with less MPR performance. It seems legacy FR1 RF front end can be used for 8.4GHz.</w:t>
      </w:r>
    </w:p>
    <w:p w14:paraId="74C68426">
      <w:pPr>
        <w:pStyle w:val="26"/>
        <w:numPr>
          <w:ilvl w:val="0"/>
          <w:numId w:val="0"/>
        </w:numPr>
        <w:spacing w:after="180"/>
        <w:rPr>
          <w:rFonts w:hint="default" w:ascii="Times New Roman" w:hAnsi="Times New Roman" w:eastAsiaTheme="minorEastAsia"/>
          <w:b/>
          <w:bCs/>
          <w:lang w:val="en-US" w:eastAsia="zh-CN"/>
        </w:rPr>
      </w:pPr>
      <w:r>
        <w:rPr>
          <w:rFonts w:hint="eastAsia" w:ascii="Times New Roman" w:hAnsi="Times New Roman" w:eastAsiaTheme="minorEastAsia"/>
          <w:b/>
          <w:bCs/>
          <w:lang w:val="en-US" w:eastAsia="zh-CN"/>
        </w:rPr>
        <w:t xml:space="preserve">Observation 2: with larger antenna element number at gNB side, the UL coverage of 8.4GHz is </w:t>
      </w:r>
      <w:r>
        <w:rPr>
          <w:rFonts w:hint="eastAsia" w:eastAsiaTheme="minorEastAsia"/>
          <w:b/>
          <w:bCs/>
          <w:lang w:val="en-US" w:eastAsia="zh-CN"/>
        </w:rPr>
        <w:t xml:space="preserve">almost </w:t>
      </w:r>
      <w:r>
        <w:rPr>
          <w:rFonts w:hint="eastAsia" w:ascii="Times New Roman" w:hAnsi="Times New Roman" w:eastAsiaTheme="minorEastAsia"/>
          <w:b/>
          <w:bCs/>
          <w:lang w:val="en-US" w:eastAsia="zh-CN"/>
        </w:rPr>
        <w:t>comparable with 3.5GHz at least for O2O scenario.</w:t>
      </w:r>
    </w:p>
    <w:bookmarkEnd w:id="12"/>
    <w:p w14:paraId="1FC1CB48">
      <w:pPr>
        <w:pStyle w:val="3"/>
        <w:bidi w:val="0"/>
        <w:rPr>
          <w:rFonts w:hint="eastAsia"/>
          <w:lang w:val="en-US" w:eastAsia="zh-CN"/>
        </w:rPr>
      </w:pPr>
      <w:r>
        <w:rPr>
          <w:rFonts w:hint="eastAsia"/>
          <w:lang w:val="en-US" w:eastAsia="zh-CN"/>
        </w:rPr>
        <w:t>Band/band combination definition and simplification</w:t>
      </w:r>
    </w:p>
    <w:p w14:paraId="14EA00C1">
      <w:pPr>
        <w:pStyle w:val="26"/>
        <w:numPr>
          <w:ilvl w:val="0"/>
          <w:numId w:val="0"/>
        </w:numPr>
        <w:tabs>
          <w:tab w:val="left" w:pos="-420"/>
        </w:tabs>
        <w:spacing w:before="0"/>
        <w:rPr>
          <w:rFonts w:hint="eastAsia" w:eastAsia="宋体" w:cs="Times New Roman"/>
          <w:b w:val="0"/>
          <w:bCs w:val="0"/>
          <w:sz w:val="20"/>
          <w:szCs w:val="20"/>
          <w:lang w:val="en-US" w:eastAsia="zh-CN" w:bidi="ar-SA"/>
        </w:rPr>
      </w:pPr>
      <w:r>
        <w:rPr>
          <w:rFonts w:hint="eastAsia" w:eastAsia="宋体" w:cs="Times New Roman"/>
          <w:b w:val="0"/>
          <w:bCs w:val="0"/>
          <w:sz w:val="20"/>
          <w:szCs w:val="20"/>
          <w:lang w:val="en-US" w:eastAsia="zh-CN" w:bidi="ar-SA"/>
        </w:rPr>
        <w:t xml:space="preserve">During 5G stage, RAN 4 specified 70+ single bands and 10000+ band combinations numbers for CA, EN-DC, NE-DC, NR-DC, SUL which introduce huge workload for RAN4 requirement definition and RAN5 testing. As a results, increasing the RF front end complexity for UE when it has to support as much band combination as possible. </w:t>
      </w:r>
    </w:p>
    <w:p w14:paraId="281D2D15">
      <w:pPr>
        <w:pStyle w:val="26"/>
        <w:numPr>
          <w:ilvl w:val="0"/>
          <w:numId w:val="0"/>
        </w:numPr>
        <w:tabs>
          <w:tab w:val="left" w:pos="-420"/>
        </w:tabs>
        <w:spacing w:before="0"/>
        <w:rPr>
          <w:rFonts w:hint="eastAsia" w:eastAsia="宋体" w:cs="Times New Roman"/>
          <w:b w:val="0"/>
          <w:bCs w:val="0"/>
          <w:sz w:val="20"/>
          <w:szCs w:val="20"/>
          <w:lang w:val="en-US" w:eastAsia="zh-CN" w:bidi="ar-SA"/>
        </w:rPr>
      </w:pPr>
      <w:r>
        <w:rPr>
          <w:rFonts w:hint="eastAsia" w:eastAsia="宋体" w:cs="Times New Roman"/>
          <w:b w:val="0"/>
          <w:bCs w:val="0"/>
          <w:sz w:val="20"/>
          <w:szCs w:val="20"/>
          <w:lang w:val="en-US" w:eastAsia="zh-CN" w:bidi="ar-SA"/>
        </w:rPr>
        <w:t>Following options are proposed to simplify RAN4 and RAN5 workload of band combinations:</w:t>
      </w:r>
    </w:p>
    <w:p w14:paraId="06BE0189">
      <w:pPr>
        <w:pStyle w:val="26"/>
        <w:numPr>
          <w:ilvl w:val="0"/>
          <w:numId w:val="5"/>
        </w:numPr>
        <w:tabs>
          <w:tab w:val="left" w:pos="-420"/>
        </w:tabs>
        <w:spacing w:before="0"/>
        <w:ind w:left="720" w:leftChars="0" w:hanging="360" w:firstLineChars="0"/>
        <w:rPr>
          <w:rFonts w:hint="default" w:ascii="Times New Roman" w:hAnsi="Times New Roman" w:eastAsia="宋体" w:cs="Times New Roman"/>
          <w:b w:val="0"/>
          <w:bCs w:val="0"/>
          <w:sz w:val="20"/>
          <w:szCs w:val="20"/>
          <w:lang w:val="en-US" w:eastAsia="zh-CN" w:bidi="ar-SA"/>
        </w:rPr>
      </w:pPr>
      <w:r>
        <w:rPr>
          <w:rFonts w:hint="eastAsia" w:eastAsia="宋体" w:cs="Times New Roman"/>
          <w:b w:val="0"/>
          <w:bCs w:val="0"/>
          <w:sz w:val="20"/>
          <w:szCs w:val="20"/>
          <w:lang w:val="en-US" w:eastAsia="zh-CN" w:bidi="ar-SA"/>
        </w:rPr>
        <w:t>Option 1: use band group concept. For the bands belong to the same band group, switching instead CA is suggested. For the bands cross band group, the CA is suggested. This is something like what is done for the LBCA WID which use switching instead of CA for less than 1GHz spectrum. And RAN4 can further study the applicable frequency range, e.g. further check whether can extend the upper frequency to 2GHz. The main benefit is to reduce RF front end complexity and reduce insertion loss caused by duplexer to enlarge UL/DL coverage.</w:t>
      </w:r>
    </w:p>
    <w:p w14:paraId="7432A3D2">
      <w:pPr>
        <w:pStyle w:val="26"/>
        <w:numPr>
          <w:ilvl w:val="0"/>
          <w:numId w:val="5"/>
        </w:numPr>
        <w:tabs>
          <w:tab w:val="left" w:pos="-420"/>
        </w:tabs>
        <w:spacing w:before="0"/>
        <w:ind w:left="720" w:leftChars="0" w:hanging="360" w:firstLineChars="0"/>
        <w:rPr>
          <w:rFonts w:hint="default" w:ascii="Times New Roman" w:hAnsi="Times New Roman" w:eastAsia="宋体" w:cs="Times New Roman"/>
          <w:b w:val="0"/>
          <w:bCs w:val="0"/>
          <w:sz w:val="20"/>
          <w:szCs w:val="20"/>
          <w:lang w:val="en-US" w:eastAsia="zh-CN" w:bidi="ar-SA"/>
        </w:rPr>
      </w:pPr>
      <w:r>
        <w:rPr>
          <w:rFonts w:hint="eastAsia" w:eastAsia="宋体" w:cs="Times New Roman"/>
          <w:b w:val="0"/>
          <w:bCs w:val="0"/>
          <w:sz w:val="20"/>
          <w:szCs w:val="20"/>
          <w:lang w:val="en-US" w:eastAsia="zh-CN" w:bidi="ar-SA"/>
        </w:rPr>
        <w:t>Option 2:reuse current 5G RF requirements for 6G for the legacy band/band combinations and further study the method to reduce conformance testing workload.</w:t>
      </w:r>
    </w:p>
    <w:p w14:paraId="7BF488BB">
      <w:pPr>
        <w:pStyle w:val="26"/>
        <w:numPr>
          <w:ilvl w:val="0"/>
          <w:numId w:val="0"/>
        </w:numPr>
        <w:tabs>
          <w:tab w:val="left" w:pos="-420"/>
        </w:tabs>
        <w:spacing w:before="0"/>
        <w:rPr>
          <w:rFonts w:hint="default" w:eastAsia="宋体" w:cs="Times New Roman"/>
          <w:b w:val="0"/>
          <w:bCs w:val="0"/>
          <w:sz w:val="20"/>
          <w:szCs w:val="20"/>
          <w:lang w:val="en-US" w:eastAsia="zh-CN" w:bidi="ar-SA"/>
        </w:rPr>
      </w:pPr>
      <w:r>
        <w:rPr>
          <w:rFonts w:hint="eastAsia" w:eastAsia="宋体" w:cs="Times New Roman"/>
          <w:b w:val="0"/>
          <w:bCs w:val="0"/>
          <w:sz w:val="20"/>
          <w:szCs w:val="20"/>
          <w:lang w:val="en-US" w:eastAsia="zh-CN" w:bidi="ar-SA"/>
        </w:rPr>
        <w:t xml:space="preserve">For option 1, the band group could be categorized by current UE RF front duplex applicable frequency range. If only switching is supported for bands within the group, then the number of RFRE and transceiver could be reduced. One issue for option 1 is whether it is applicable only for the 6GR new bands or both NR legacy bands and new bands. Based on the survey of global spectrum status, it seems the number of new bands is limited. If option 1 is applicable for both legacy bands and new spectrum. some exception, e.g. intra-group CA should be allowed especially for the bands that operators have strong demands.  </w:t>
      </w:r>
    </w:p>
    <w:p w14:paraId="0E331C8F">
      <w:pPr>
        <w:pStyle w:val="26"/>
        <w:numPr>
          <w:ilvl w:val="0"/>
          <w:numId w:val="0"/>
        </w:numPr>
        <w:tabs>
          <w:tab w:val="left" w:pos="-420"/>
        </w:tabs>
        <w:spacing w:before="0"/>
        <w:rPr>
          <w:rFonts w:hint="eastAsia" w:eastAsia="宋体" w:cs="Times New Roman"/>
          <w:b/>
          <w:bCs/>
          <w:sz w:val="20"/>
          <w:szCs w:val="20"/>
          <w:lang w:val="en-US" w:eastAsia="zh-CN" w:bidi="ar-SA"/>
        </w:rPr>
      </w:pPr>
      <w:r>
        <w:rPr>
          <w:rFonts w:hint="eastAsia" w:eastAsia="宋体" w:cs="Times New Roman"/>
          <w:b/>
          <w:bCs/>
          <w:sz w:val="20"/>
          <w:szCs w:val="20"/>
          <w:lang w:val="en-US" w:eastAsia="zh-CN" w:bidi="ar-SA"/>
        </w:rPr>
        <w:t>Proposal 1: RAN4 can further study the options to reduce band combination workload and reduce RF front end complexity based on following options:</w:t>
      </w:r>
    </w:p>
    <w:p w14:paraId="6219CCB1">
      <w:pPr>
        <w:pStyle w:val="26"/>
        <w:numPr>
          <w:ilvl w:val="0"/>
          <w:numId w:val="5"/>
        </w:numPr>
        <w:tabs>
          <w:tab w:val="left" w:pos="-420"/>
        </w:tabs>
        <w:spacing w:before="0"/>
        <w:ind w:left="720" w:leftChars="0" w:hanging="360" w:firstLineChars="0"/>
        <w:rPr>
          <w:rFonts w:hint="default" w:ascii="Times New Roman" w:hAnsi="Times New Roman" w:eastAsia="宋体" w:cs="Times New Roman"/>
          <w:b/>
          <w:bCs/>
          <w:sz w:val="20"/>
          <w:szCs w:val="20"/>
          <w:lang w:val="en-US" w:eastAsia="zh-CN" w:bidi="ar-SA"/>
        </w:rPr>
      </w:pPr>
      <w:r>
        <w:rPr>
          <w:rFonts w:hint="eastAsia" w:eastAsia="宋体" w:cs="Times New Roman"/>
          <w:b/>
          <w:bCs/>
          <w:sz w:val="20"/>
          <w:szCs w:val="20"/>
          <w:lang w:val="en-US" w:eastAsia="zh-CN" w:bidi="ar-SA"/>
        </w:rPr>
        <w:t xml:space="preserve">Option 1: use band group concept. For the bands belong to the same band group, switching instead CA is suggested. For the bands cross band group, the CA is suggested. </w:t>
      </w:r>
    </w:p>
    <w:p w14:paraId="1CC2211F">
      <w:pPr>
        <w:pStyle w:val="26"/>
        <w:numPr>
          <w:ilvl w:val="1"/>
          <w:numId w:val="5"/>
        </w:numPr>
        <w:tabs>
          <w:tab w:val="left" w:pos="-420"/>
        </w:tabs>
        <w:spacing w:before="0"/>
        <w:ind w:left="1440" w:leftChars="0" w:hanging="360" w:firstLineChars="0"/>
        <w:rPr>
          <w:rFonts w:hint="default" w:ascii="Times New Roman" w:hAnsi="Times New Roman" w:eastAsia="宋体" w:cs="Times New Roman"/>
          <w:b/>
          <w:bCs/>
          <w:sz w:val="20"/>
          <w:szCs w:val="20"/>
          <w:lang w:val="en-US" w:eastAsia="zh-CN" w:bidi="ar-SA"/>
        </w:rPr>
      </w:pPr>
      <w:r>
        <w:rPr>
          <w:rFonts w:hint="eastAsia" w:eastAsia="宋体" w:cs="Times New Roman"/>
          <w:b/>
          <w:bCs/>
          <w:sz w:val="20"/>
          <w:szCs w:val="20"/>
          <w:lang w:val="en-US" w:eastAsia="zh-CN" w:bidi="ar-SA"/>
        </w:rPr>
        <w:t xml:space="preserve">Exception should be allowed to allow intra-group CA especially for the bands that operators have strong demands. </w:t>
      </w:r>
    </w:p>
    <w:p w14:paraId="0E1C369C">
      <w:pPr>
        <w:pStyle w:val="26"/>
        <w:numPr>
          <w:ilvl w:val="0"/>
          <w:numId w:val="5"/>
        </w:numPr>
        <w:tabs>
          <w:tab w:val="left" w:pos="-420"/>
        </w:tabs>
        <w:spacing w:before="0"/>
        <w:ind w:left="720" w:leftChars="0" w:hanging="360" w:firstLineChars="0"/>
        <w:rPr>
          <w:rFonts w:hint="default" w:eastAsia="宋体" w:cs="Times New Roman"/>
          <w:b w:val="0"/>
          <w:bCs w:val="0"/>
          <w:sz w:val="20"/>
          <w:szCs w:val="20"/>
          <w:lang w:val="en-US" w:eastAsia="zh-CN" w:bidi="ar-SA"/>
        </w:rPr>
      </w:pPr>
      <w:r>
        <w:rPr>
          <w:rFonts w:hint="eastAsia" w:eastAsia="宋体" w:cs="Times New Roman"/>
          <w:b/>
          <w:bCs/>
          <w:sz w:val="20"/>
          <w:szCs w:val="20"/>
          <w:lang w:val="en-US" w:eastAsia="zh-CN" w:bidi="ar-SA"/>
        </w:rPr>
        <w:t>Option 2:reuse current 5G RF requirements for 6G for the legacy band/band combinations and further study the method to reduce conformance testing workload.</w:t>
      </w:r>
    </w:p>
    <w:bookmarkEnd w:id="11"/>
    <w:p w14:paraId="1CF59D43">
      <w:pPr>
        <w:pStyle w:val="2"/>
        <w:rPr>
          <w:rFonts w:eastAsia="宋体"/>
          <w:lang w:eastAsia="zh-CN"/>
        </w:rPr>
      </w:pPr>
      <w:r>
        <w:rPr>
          <w:rFonts w:hint="eastAsia" w:eastAsia="宋体"/>
          <w:lang w:eastAsia="zh-CN"/>
        </w:rPr>
        <w:t>Conclusion</w:t>
      </w:r>
    </w:p>
    <w:p w14:paraId="2D368AE8">
      <w:pPr>
        <w:rPr>
          <w:rFonts w:eastAsia="宋体"/>
          <w:sz w:val="22"/>
          <w:szCs w:val="22"/>
          <w:lang w:eastAsia="zh-CN"/>
        </w:rPr>
      </w:pPr>
      <w:r>
        <w:rPr>
          <w:rFonts w:eastAsia="宋体"/>
          <w:sz w:val="22"/>
          <w:szCs w:val="22"/>
          <w:lang w:eastAsia="zh-CN"/>
        </w:rPr>
        <w:t>This contribution makes the following observations and proposals.</w:t>
      </w:r>
    </w:p>
    <w:p w14:paraId="66FE260F">
      <w:pPr>
        <w:numPr>
          <w:ilvl w:val="0"/>
          <w:numId w:val="4"/>
        </w:numPr>
        <w:ind w:left="420" w:leftChars="0" w:hanging="420" w:firstLineChars="0"/>
        <w:jc w:val="both"/>
        <w:rPr>
          <w:rFonts w:hint="eastAsia" w:eastAsia="宋体"/>
          <w:lang w:val="en-US" w:eastAsia="zh-CN"/>
        </w:rPr>
      </w:pPr>
      <w:r>
        <w:rPr>
          <w:rFonts w:hint="eastAsia" w:eastAsia="宋体"/>
          <w:lang w:val="en-GB" w:eastAsia="zh-CN"/>
        </w:rPr>
        <w:t xml:space="preserve">6 425 – 7 125 MHz range </w:t>
      </w:r>
      <w:r>
        <w:rPr>
          <w:rFonts w:hint="eastAsia" w:eastAsia="宋体"/>
          <w:lang w:val="en-US" w:eastAsia="zh-CN"/>
        </w:rPr>
        <w:t xml:space="preserve">has been identified as IMT spectrum regional </w:t>
      </w:r>
      <w:r>
        <w:rPr>
          <w:rFonts w:hint="eastAsia" w:eastAsia="宋体"/>
          <w:lang w:val="en-GB" w:eastAsia="zh-CN"/>
        </w:rPr>
        <w:t>at WRC-23</w:t>
      </w:r>
      <w:r>
        <w:rPr>
          <w:rFonts w:hint="eastAsia" w:eastAsia="宋体"/>
          <w:lang w:val="en-US" w:eastAsia="zh-CN"/>
        </w:rPr>
        <w:t xml:space="preserve">. Despite its previous strong opposition, India has shifted its position and now offers support IMT identification for 6425-7125MHz. </w:t>
      </w:r>
    </w:p>
    <w:p w14:paraId="2CD2529D">
      <w:pPr>
        <w:numPr>
          <w:ilvl w:val="0"/>
          <w:numId w:val="4"/>
        </w:numPr>
        <w:ind w:left="420" w:leftChars="0" w:hanging="420" w:firstLineChars="0"/>
        <w:jc w:val="both"/>
        <w:rPr>
          <w:rFonts w:hint="default" w:eastAsia="宋体"/>
          <w:lang w:val="en-US" w:eastAsia="zh-CN"/>
        </w:rPr>
      </w:pPr>
      <w:r>
        <w:rPr>
          <w:rFonts w:hint="eastAsia" w:eastAsia="宋体"/>
          <w:lang w:val="en-US" w:eastAsia="zh-CN"/>
        </w:rPr>
        <w:t>4400-4800MHz: the major proponents is Russia. US tends to abandon 7125-8400MHz and shift its position to support these frequency range</w:t>
      </w:r>
    </w:p>
    <w:p w14:paraId="7812E0A6">
      <w:pPr>
        <w:numPr>
          <w:ilvl w:val="0"/>
          <w:numId w:val="4"/>
        </w:numPr>
        <w:ind w:left="420" w:leftChars="0" w:hanging="420" w:firstLineChars="0"/>
        <w:jc w:val="both"/>
        <w:rPr>
          <w:rFonts w:hint="default" w:eastAsia="宋体"/>
          <w:lang w:val="en-US" w:eastAsia="zh-CN"/>
        </w:rPr>
      </w:pPr>
      <w:r>
        <w:rPr>
          <w:rFonts w:hint="eastAsia" w:eastAsia="宋体"/>
          <w:lang w:val="en-US" w:eastAsia="zh-CN"/>
        </w:rPr>
        <w:t>7125-8400MHz: this frequency range was opposed by many countries and regional groups, including CEPT, due to strategic usages. These strategic usages are, and will remain, critical in all of this frequency band. Besides, this frequency range is intensively used by a large number of government satellite systems for down-links (i.e. 7 250-7 750 MHz) and up-links (i.e. 7 900-8400 MHz). The upper part of the band (i.e. 8 025-8 400 MHz) is also used for the downlink of Earth observation data by a large majority of Earth Observation satellites. On the other side, Japan and Korea tends to support such frequency range.</w:t>
      </w:r>
    </w:p>
    <w:p w14:paraId="0D0B2F8E">
      <w:pPr>
        <w:numPr>
          <w:ilvl w:val="0"/>
          <w:numId w:val="4"/>
        </w:numPr>
        <w:ind w:left="420" w:leftChars="0" w:hanging="420" w:firstLineChars="0"/>
        <w:jc w:val="both"/>
        <w:rPr>
          <w:rFonts w:hint="default" w:eastAsia="宋体"/>
          <w:lang w:val="en-US" w:eastAsia="zh-CN"/>
        </w:rPr>
      </w:pPr>
      <w:r>
        <w:rPr>
          <w:rFonts w:hint="eastAsia" w:eastAsia="宋体"/>
          <w:lang w:val="en-US" w:eastAsia="zh-CN"/>
        </w:rPr>
        <w:t>14.8-15.35GHz: now no countries/groups strongly support such bands</w:t>
      </w:r>
    </w:p>
    <w:p w14:paraId="61F53615">
      <w:pPr>
        <w:jc w:val="both"/>
        <w:rPr>
          <w:rFonts w:hint="eastAsia"/>
          <w:b/>
          <w:bCs/>
          <w:lang w:val="en-US" w:eastAsia="zh-CN"/>
        </w:rPr>
      </w:pPr>
      <w:r>
        <w:rPr>
          <w:rFonts w:hint="eastAsia" w:eastAsia="宋体"/>
          <w:b/>
          <w:bCs/>
          <w:lang w:val="en-US" w:eastAsia="zh-CN"/>
        </w:rPr>
        <w:t xml:space="preserve">Observation 1: above list the </w:t>
      </w:r>
      <w:r>
        <w:rPr>
          <w:rFonts w:hint="eastAsia"/>
          <w:b/>
          <w:bCs/>
          <w:lang w:val="en-US" w:eastAsia="zh-CN"/>
        </w:rPr>
        <w:t>regulatory status survey of 6425-7125MHz, 4400-4800MHz, 7125-8400MHz and 14.8-15.35GHz.</w:t>
      </w:r>
    </w:p>
    <w:p w14:paraId="0F4A8587">
      <w:pPr>
        <w:pStyle w:val="26"/>
        <w:numPr>
          <w:ilvl w:val="0"/>
          <w:numId w:val="0"/>
        </w:numPr>
        <w:spacing w:after="180"/>
        <w:rPr>
          <w:rFonts w:hint="default" w:ascii="Times New Roman" w:hAnsi="Times New Roman" w:eastAsiaTheme="minorEastAsia"/>
          <w:b/>
          <w:bCs/>
          <w:lang w:val="en-US" w:eastAsia="zh-CN"/>
        </w:rPr>
      </w:pPr>
      <w:r>
        <w:rPr>
          <w:rFonts w:hint="eastAsia" w:ascii="Times New Roman" w:hAnsi="Times New Roman" w:eastAsiaTheme="minorEastAsia"/>
          <w:b/>
          <w:bCs/>
          <w:lang w:val="en-US" w:eastAsia="zh-CN"/>
        </w:rPr>
        <w:t xml:space="preserve">Observation 2: with larger antenna element number at gNB side, the UL coverage of 8.4GHz is </w:t>
      </w:r>
      <w:r>
        <w:rPr>
          <w:rFonts w:hint="eastAsia" w:eastAsiaTheme="minorEastAsia"/>
          <w:b/>
          <w:bCs/>
          <w:lang w:val="en-US" w:eastAsia="zh-CN"/>
        </w:rPr>
        <w:t xml:space="preserve">almost </w:t>
      </w:r>
      <w:r>
        <w:rPr>
          <w:rFonts w:hint="eastAsia" w:ascii="Times New Roman" w:hAnsi="Times New Roman" w:eastAsiaTheme="minorEastAsia"/>
          <w:b/>
          <w:bCs/>
          <w:lang w:val="en-US" w:eastAsia="zh-CN"/>
        </w:rPr>
        <w:t>comparable with 3.5GHz at least for O2O scenario.</w:t>
      </w:r>
    </w:p>
    <w:p w14:paraId="387EDB63">
      <w:pPr>
        <w:pStyle w:val="26"/>
        <w:numPr>
          <w:ilvl w:val="0"/>
          <w:numId w:val="0"/>
        </w:numPr>
        <w:tabs>
          <w:tab w:val="left" w:pos="-420"/>
        </w:tabs>
        <w:spacing w:before="0"/>
        <w:rPr>
          <w:rFonts w:hint="eastAsia" w:eastAsia="宋体" w:cs="Times New Roman"/>
          <w:b/>
          <w:bCs/>
          <w:sz w:val="20"/>
          <w:szCs w:val="20"/>
          <w:lang w:val="en-US" w:eastAsia="zh-CN" w:bidi="ar-SA"/>
        </w:rPr>
      </w:pPr>
      <w:r>
        <w:rPr>
          <w:rFonts w:hint="eastAsia" w:eastAsia="宋体" w:cs="Times New Roman"/>
          <w:b/>
          <w:bCs/>
          <w:sz w:val="20"/>
          <w:szCs w:val="20"/>
          <w:lang w:val="en-US" w:eastAsia="zh-CN" w:bidi="ar-SA"/>
        </w:rPr>
        <w:t>Proposal 1: RAN4 can further study the options to reduce band combination workload and reduce RF front end complexity based on following options:</w:t>
      </w:r>
    </w:p>
    <w:p w14:paraId="1B32D7D9">
      <w:pPr>
        <w:pStyle w:val="26"/>
        <w:numPr>
          <w:ilvl w:val="0"/>
          <w:numId w:val="5"/>
        </w:numPr>
        <w:tabs>
          <w:tab w:val="left" w:pos="-420"/>
        </w:tabs>
        <w:spacing w:before="0"/>
        <w:ind w:left="720" w:leftChars="0" w:hanging="360" w:firstLineChars="0"/>
        <w:rPr>
          <w:rFonts w:hint="default" w:ascii="Times New Roman" w:hAnsi="Times New Roman" w:eastAsia="宋体" w:cs="Times New Roman"/>
          <w:b/>
          <w:bCs/>
          <w:sz w:val="20"/>
          <w:szCs w:val="20"/>
          <w:lang w:val="en-US" w:eastAsia="zh-CN" w:bidi="ar-SA"/>
        </w:rPr>
      </w:pPr>
      <w:r>
        <w:rPr>
          <w:rFonts w:hint="eastAsia" w:eastAsia="宋体" w:cs="Times New Roman"/>
          <w:b/>
          <w:bCs/>
          <w:sz w:val="20"/>
          <w:szCs w:val="20"/>
          <w:lang w:val="en-US" w:eastAsia="zh-CN" w:bidi="ar-SA"/>
        </w:rPr>
        <w:t xml:space="preserve">Option 1: use band group concept. For the bands belong to the same band group, switching instead CA is suggested. For the bands cross band group, the CA is suggested. </w:t>
      </w:r>
    </w:p>
    <w:p w14:paraId="3F24BF8E">
      <w:pPr>
        <w:pStyle w:val="26"/>
        <w:numPr>
          <w:ilvl w:val="1"/>
          <w:numId w:val="5"/>
        </w:numPr>
        <w:tabs>
          <w:tab w:val="left" w:pos="-420"/>
        </w:tabs>
        <w:spacing w:before="0"/>
        <w:ind w:left="1440" w:leftChars="0" w:hanging="360" w:firstLineChars="0"/>
        <w:rPr>
          <w:rFonts w:hint="default" w:ascii="Times New Roman" w:hAnsi="Times New Roman" w:eastAsia="宋体" w:cs="Times New Roman"/>
          <w:b/>
          <w:bCs/>
          <w:sz w:val="20"/>
          <w:szCs w:val="20"/>
          <w:lang w:val="en-US" w:eastAsia="zh-CN" w:bidi="ar-SA"/>
        </w:rPr>
      </w:pPr>
      <w:r>
        <w:rPr>
          <w:rFonts w:hint="eastAsia" w:eastAsia="宋体" w:cs="Times New Roman"/>
          <w:b/>
          <w:bCs/>
          <w:sz w:val="20"/>
          <w:szCs w:val="20"/>
          <w:lang w:val="en-US" w:eastAsia="zh-CN" w:bidi="ar-SA"/>
        </w:rPr>
        <w:t xml:space="preserve">Exception should be allowed to allow intra-group CA especially for the bands that operators have strong demands. </w:t>
      </w:r>
    </w:p>
    <w:p w14:paraId="18588480">
      <w:pPr>
        <w:pStyle w:val="26"/>
        <w:numPr>
          <w:ilvl w:val="0"/>
          <w:numId w:val="5"/>
        </w:numPr>
        <w:tabs>
          <w:tab w:val="left" w:pos="-420"/>
        </w:tabs>
        <w:spacing w:before="0"/>
        <w:ind w:left="720" w:leftChars="0" w:hanging="360" w:firstLineChars="0"/>
        <w:rPr>
          <w:rFonts w:hint="eastAsia" w:eastAsia="宋体"/>
          <w:b/>
          <w:bCs/>
          <w:sz w:val="20"/>
          <w:szCs w:val="20"/>
          <w:lang w:val="en-US" w:eastAsia="zh-CN"/>
        </w:rPr>
      </w:pPr>
      <w:r>
        <w:rPr>
          <w:rFonts w:hint="eastAsia" w:eastAsia="宋体" w:cs="Times New Roman"/>
          <w:b/>
          <w:bCs/>
          <w:sz w:val="20"/>
          <w:szCs w:val="20"/>
          <w:lang w:val="en-US" w:eastAsia="zh-CN" w:bidi="ar-SA"/>
        </w:rPr>
        <w:t>Option 2:reuse current 5G RF requirements for 6G for the legacy band/band combinations and further study the method to reduce conformance testing workload.</w:t>
      </w:r>
    </w:p>
    <w:p w14:paraId="5EEE4E53">
      <w:pPr>
        <w:pStyle w:val="2"/>
        <w:ind w:left="0" w:firstLine="0"/>
      </w:pPr>
      <w:r>
        <w:t>References</w:t>
      </w:r>
    </w:p>
    <w:bookmarkEnd w:id="3"/>
    <w:bookmarkEnd w:id="4"/>
    <w:bookmarkEnd w:id="5"/>
    <w:p w14:paraId="5021D1EB">
      <w:pPr>
        <w:pStyle w:val="50"/>
        <w:numPr>
          <w:ilvl w:val="0"/>
          <w:numId w:val="6"/>
        </w:numPr>
        <w:ind w:firstLineChars="0"/>
        <w:rPr>
          <w:rFonts w:hint="eastAsia" w:eastAsia="Malgun Gothic"/>
          <w:sz w:val="20"/>
          <w:szCs w:val="20"/>
          <w:lang w:val="en-US" w:eastAsia="zh-CN"/>
        </w:rPr>
      </w:pPr>
      <w:r>
        <w:rPr>
          <w:rFonts w:hint="eastAsia" w:eastAsia="Malgun Gothic"/>
          <w:sz w:val="20"/>
          <w:szCs w:val="20"/>
          <w:lang w:val="en-US" w:eastAsia="zh-CN"/>
        </w:rPr>
        <w:t>RP-251881, New SID: Study on 6G Radio, NTT DOCOMO</w:t>
      </w:r>
    </w:p>
    <w:p w14:paraId="7500290A">
      <w:pPr>
        <w:pStyle w:val="50"/>
        <w:numPr>
          <w:ilvl w:val="0"/>
          <w:numId w:val="6"/>
        </w:numPr>
        <w:ind w:firstLineChars="0"/>
        <w:rPr>
          <w:rFonts w:hint="eastAsia" w:eastAsia="Malgun Gothic"/>
          <w:sz w:val="20"/>
          <w:szCs w:val="20"/>
          <w:lang w:val="en-US" w:eastAsia="zh-CN"/>
        </w:rPr>
      </w:pPr>
      <w:r>
        <w:rPr>
          <w:rFonts w:hint="eastAsia" w:eastAsia="Malgun Gothic"/>
          <w:sz w:val="20"/>
          <w:szCs w:val="20"/>
          <w:lang w:val="en-US" w:eastAsia="zh-CN"/>
        </w:rPr>
        <w:t>R4-2514626 WF on 6G Spectrum_v4, Feature lead (Nokia)</w:t>
      </w:r>
    </w:p>
    <w:sectPr>
      <w:pgSz w:w="11906" w:h="16838"/>
      <w:pgMar w:top="1418"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Roboto Condensed">
    <w:altName w:val="Segoe Print"/>
    <w:panose1 w:val="00000000000000000000"/>
    <w:charset w:val="00"/>
    <w:family w:val="auto"/>
    <w:pitch w:val="default"/>
    <w:sig w:usb0="00000000" w:usb1="00000000" w:usb2="00000021"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auto"/>
    <w:pitch w:val="default"/>
    <w:sig w:usb0="E00006FF" w:usb1="420024FF" w:usb2="02000000" w:usb3="00000000" w:csb0="2000019F" w:csb1="00000000"/>
  </w:font>
  <w:font w:name="Batang">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5C2D7E"/>
    <w:multiLevelType w:val="multilevel"/>
    <w:tmpl w:val="AC5C2D7E"/>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ambria Math"/>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C5DCC3BA"/>
    <w:multiLevelType w:val="multilevel"/>
    <w:tmpl w:val="C5DCC3BA"/>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00DB08AA"/>
    <w:multiLevelType w:val="multilevel"/>
    <w:tmpl w:val="00DB08A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3C3607DB"/>
    <w:multiLevelType w:val="multilevel"/>
    <w:tmpl w:val="3C3607DB"/>
    <w:lvl w:ilvl="0" w:tentative="0">
      <w:start w:val="0"/>
      <w:numFmt w:val="bullet"/>
      <w:lvlText w:val="-"/>
      <w:lvlJc w:val="left"/>
      <w:pPr>
        <w:ind w:left="720" w:hanging="360"/>
      </w:pPr>
      <w:rPr>
        <w:rFonts w:hint="default" w:ascii="Times" w:hAnsi="Times" w:eastAsia="Batang" w:cs="等线"/>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5E872652"/>
    <w:multiLevelType w:val="multilevel"/>
    <w:tmpl w:val="5E872652"/>
    <w:lvl w:ilvl="0" w:tentative="0">
      <w:start w:val="4"/>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5"/>
  </w:num>
  <w:num w:numId="3">
    <w:abstractNumId w:val="4"/>
  </w:num>
  <w:num w:numId="4">
    <w:abstractNumId w:val="0"/>
  </w:num>
  <w:num w:numId="5">
    <w:abstractNumId w:val="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90E94"/>
    <w:rsid w:val="000964E7"/>
    <w:rsid w:val="000A0775"/>
    <w:rsid w:val="000A2233"/>
    <w:rsid w:val="000A7686"/>
    <w:rsid w:val="000B5858"/>
    <w:rsid w:val="000C1100"/>
    <w:rsid w:val="000C2DEB"/>
    <w:rsid w:val="000C65C1"/>
    <w:rsid w:val="000D1056"/>
    <w:rsid w:val="000D362A"/>
    <w:rsid w:val="000D59C0"/>
    <w:rsid w:val="000E28E8"/>
    <w:rsid w:val="000F0044"/>
    <w:rsid w:val="000F3E72"/>
    <w:rsid w:val="001000AF"/>
    <w:rsid w:val="00100503"/>
    <w:rsid w:val="0010439D"/>
    <w:rsid w:val="001225F6"/>
    <w:rsid w:val="00141BF1"/>
    <w:rsid w:val="00144123"/>
    <w:rsid w:val="00151501"/>
    <w:rsid w:val="00156BDE"/>
    <w:rsid w:val="0016273C"/>
    <w:rsid w:val="0017092D"/>
    <w:rsid w:val="00171AE5"/>
    <w:rsid w:val="0017229F"/>
    <w:rsid w:val="0017301E"/>
    <w:rsid w:val="00174A6C"/>
    <w:rsid w:val="0018719D"/>
    <w:rsid w:val="001A0504"/>
    <w:rsid w:val="001A13BD"/>
    <w:rsid w:val="001A31E8"/>
    <w:rsid w:val="001A4FDB"/>
    <w:rsid w:val="001A6522"/>
    <w:rsid w:val="001A7715"/>
    <w:rsid w:val="001B1FFA"/>
    <w:rsid w:val="001B2F4D"/>
    <w:rsid w:val="001B7F80"/>
    <w:rsid w:val="001D0CF9"/>
    <w:rsid w:val="001D73F4"/>
    <w:rsid w:val="001F268F"/>
    <w:rsid w:val="001F301B"/>
    <w:rsid w:val="002065BE"/>
    <w:rsid w:val="002119D0"/>
    <w:rsid w:val="002120CF"/>
    <w:rsid w:val="002126DF"/>
    <w:rsid w:val="0021327A"/>
    <w:rsid w:val="00232A3A"/>
    <w:rsid w:val="00235E80"/>
    <w:rsid w:val="00237655"/>
    <w:rsid w:val="002466E6"/>
    <w:rsid w:val="0025118E"/>
    <w:rsid w:val="00253104"/>
    <w:rsid w:val="00254A3E"/>
    <w:rsid w:val="0025623D"/>
    <w:rsid w:val="00273899"/>
    <w:rsid w:val="002771F0"/>
    <w:rsid w:val="00283EEB"/>
    <w:rsid w:val="00284F05"/>
    <w:rsid w:val="00291198"/>
    <w:rsid w:val="00296956"/>
    <w:rsid w:val="002A0710"/>
    <w:rsid w:val="002A2DBB"/>
    <w:rsid w:val="002B23F3"/>
    <w:rsid w:val="002B7027"/>
    <w:rsid w:val="002B773B"/>
    <w:rsid w:val="002C05CA"/>
    <w:rsid w:val="002C214A"/>
    <w:rsid w:val="002C7400"/>
    <w:rsid w:val="002D33AE"/>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509D"/>
    <w:rsid w:val="00346573"/>
    <w:rsid w:val="00352079"/>
    <w:rsid w:val="00360871"/>
    <w:rsid w:val="003617E6"/>
    <w:rsid w:val="00362343"/>
    <w:rsid w:val="003667CC"/>
    <w:rsid w:val="00374E84"/>
    <w:rsid w:val="003752D5"/>
    <w:rsid w:val="00376F87"/>
    <w:rsid w:val="003777F7"/>
    <w:rsid w:val="003778C3"/>
    <w:rsid w:val="00391F24"/>
    <w:rsid w:val="0039780B"/>
    <w:rsid w:val="003A07AB"/>
    <w:rsid w:val="003A26B0"/>
    <w:rsid w:val="003A54A1"/>
    <w:rsid w:val="003B1667"/>
    <w:rsid w:val="003E3026"/>
    <w:rsid w:val="003E3E59"/>
    <w:rsid w:val="003E6418"/>
    <w:rsid w:val="003F2BF5"/>
    <w:rsid w:val="00413E93"/>
    <w:rsid w:val="00415CDF"/>
    <w:rsid w:val="00415E36"/>
    <w:rsid w:val="00420E3E"/>
    <w:rsid w:val="00422143"/>
    <w:rsid w:val="00430BAC"/>
    <w:rsid w:val="004361BC"/>
    <w:rsid w:val="0044202D"/>
    <w:rsid w:val="00451F93"/>
    <w:rsid w:val="00451FF9"/>
    <w:rsid w:val="00454687"/>
    <w:rsid w:val="004602EC"/>
    <w:rsid w:val="00477307"/>
    <w:rsid w:val="00493AAB"/>
    <w:rsid w:val="00495278"/>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30EB1"/>
    <w:rsid w:val="00541302"/>
    <w:rsid w:val="00542FA2"/>
    <w:rsid w:val="00546426"/>
    <w:rsid w:val="005531D9"/>
    <w:rsid w:val="00555D67"/>
    <w:rsid w:val="00556899"/>
    <w:rsid w:val="0056006F"/>
    <w:rsid w:val="00564887"/>
    <w:rsid w:val="00577049"/>
    <w:rsid w:val="00577EBD"/>
    <w:rsid w:val="0058296D"/>
    <w:rsid w:val="005859C3"/>
    <w:rsid w:val="0059447C"/>
    <w:rsid w:val="005B27AF"/>
    <w:rsid w:val="005E1A39"/>
    <w:rsid w:val="005F4EBD"/>
    <w:rsid w:val="005F6D46"/>
    <w:rsid w:val="0060177A"/>
    <w:rsid w:val="0060186C"/>
    <w:rsid w:val="006079A2"/>
    <w:rsid w:val="00614A0F"/>
    <w:rsid w:val="00616F03"/>
    <w:rsid w:val="0061761F"/>
    <w:rsid w:val="00622125"/>
    <w:rsid w:val="00624CB3"/>
    <w:rsid w:val="0062664E"/>
    <w:rsid w:val="00630879"/>
    <w:rsid w:val="00630A72"/>
    <w:rsid w:val="0063320D"/>
    <w:rsid w:val="00635045"/>
    <w:rsid w:val="00637645"/>
    <w:rsid w:val="00645DC2"/>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E73F6"/>
    <w:rsid w:val="006F6ED1"/>
    <w:rsid w:val="00705BEE"/>
    <w:rsid w:val="007060DC"/>
    <w:rsid w:val="00707BF3"/>
    <w:rsid w:val="00712AD1"/>
    <w:rsid w:val="00714B51"/>
    <w:rsid w:val="00723368"/>
    <w:rsid w:val="0073076F"/>
    <w:rsid w:val="0073092F"/>
    <w:rsid w:val="007364D2"/>
    <w:rsid w:val="007458DE"/>
    <w:rsid w:val="00750529"/>
    <w:rsid w:val="0075367C"/>
    <w:rsid w:val="00761F45"/>
    <w:rsid w:val="007702CD"/>
    <w:rsid w:val="0077796A"/>
    <w:rsid w:val="00783B45"/>
    <w:rsid w:val="00784BF9"/>
    <w:rsid w:val="007901E0"/>
    <w:rsid w:val="007A2A2C"/>
    <w:rsid w:val="007A587E"/>
    <w:rsid w:val="007B0485"/>
    <w:rsid w:val="007B0711"/>
    <w:rsid w:val="007B3929"/>
    <w:rsid w:val="007B7157"/>
    <w:rsid w:val="007B763D"/>
    <w:rsid w:val="007C1BED"/>
    <w:rsid w:val="007C1F25"/>
    <w:rsid w:val="007C23FA"/>
    <w:rsid w:val="007C259F"/>
    <w:rsid w:val="007C2E12"/>
    <w:rsid w:val="007D35B8"/>
    <w:rsid w:val="007F33E8"/>
    <w:rsid w:val="007F5719"/>
    <w:rsid w:val="007F621B"/>
    <w:rsid w:val="00814100"/>
    <w:rsid w:val="008176B8"/>
    <w:rsid w:val="00820D1D"/>
    <w:rsid w:val="00820D79"/>
    <w:rsid w:val="008435D0"/>
    <w:rsid w:val="0084640C"/>
    <w:rsid w:val="00861A4E"/>
    <w:rsid w:val="00862D16"/>
    <w:rsid w:val="008663E0"/>
    <w:rsid w:val="008667B3"/>
    <w:rsid w:val="00867EB3"/>
    <w:rsid w:val="00867FFB"/>
    <w:rsid w:val="008764B3"/>
    <w:rsid w:val="0088309E"/>
    <w:rsid w:val="008948AC"/>
    <w:rsid w:val="008973D0"/>
    <w:rsid w:val="008B0CF9"/>
    <w:rsid w:val="008B61B0"/>
    <w:rsid w:val="008D4DFB"/>
    <w:rsid w:val="008F11B8"/>
    <w:rsid w:val="00902D98"/>
    <w:rsid w:val="00902EC7"/>
    <w:rsid w:val="009042CF"/>
    <w:rsid w:val="009047DA"/>
    <w:rsid w:val="00912105"/>
    <w:rsid w:val="0091378B"/>
    <w:rsid w:val="0092371F"/>
    <w:rsid w:val="00925DD3"/>
    <w:rsid w:val="00926C05"/>
    <w:rsid w:val="009323D9"/>
    <w:rsid w:val="009326BC"/>
    <w:rsid w:val="00940F7E"/>
    <w:rsid w:val="00941732"/>
    <w:rsid w:val="00952E01"/>
    <w:rsid w:val="00960331"/>
    <w:rsid w:val="0096218E"/>
    <w:rsid w:val="00965A9D"/>
    <w:rsid w:val="00971EF6"/>
    <w:rsid w:val="009744A5"/>
    <w:rsid w:val="00975529"/>
    <w:rsid w:val="00975937"/>
    <w:rsid w:val="00975AF0"/>
    <w:rsid w:val="00981D79"/>
    <w:rsid w:val="00983AC1"/>
    <w:rsid w:val="00986CF4"/>
    <w:rsid w:val="009901B4"/>
    <w:rsid w:val="009910ED"/>
    <w:rsid w:val="009943F7"/>
    <w:rsid w:val="00995A64"/>
    <w:rsid w:val="009A013E"/>
    <w:rsid w:val="009A0198"/>
    <w:rsid w:val="009A1D83"/>
    <w:rsid w:val="009B09EF"/>
    <w:rsid w:val="009B3A72"/>
    <w:rsid w:val="009D3A64"/>
    <w:rsid w:val="009D5C85"/>
    <w:rsid w:val="009D720A"/>
    <w:rsid w:val="009E2EAA"/>
    <w:rsid w:val="009F5CB3"/>
    <w:rsid w:val="009F6F0E"/>
    <w:rsid w:val="00A1119C"/>
    <w:rsid w:val="00A16C93"/>
    <w:rsid w:val="00A17370"/>
    <w:rsid w:val="00A23701"/>
    <w:rsid w:val="00A318B7"/>
    <w:rsid w:val="00A411BC"/>
    <w:rsid w:val="00A51E72"/>
    <w:rsid w:val="00A52B0B"/>
    <w:rsid w:val="00A562D4"/>
    <w:rsid w:val="00A569F2"/>
    <w:rsid w:val="00A6190B"/>
    <w:rsid w:val="00A70DC6"/>
    <w:rsid w:val="00A7332D"/>
    <w:rsid w:val="00A76F60"/>
    <w:rsid w:val="00A82246"/>
    <w:rsid w:val="00AA1FD9"/>
    <w:rsid w:val="00AA3448"/>
    <w:rsid w:val="00AB0796"/>
    <w:rsid w:val="00AB4B16"/>
    <w:rsid w:val="00AC438B"/>
    <w:rsid w:val="00AC5500"/>
    <w:rsid w:val="00AD1848"/>
    <w:rsid w:val="00AF186B"/>
    <w:rsid w:val="00AF5184"/>
    <w:rsid w:val="00AF6434"/>
    <w:rsid w:val="00B0279E"/>
    <w:rsid w:val="00B04297"/>
    <w:rsid w:val="00B06C06"/>
    <w:rsid w:val="00B11AA1"/>
    <w:rsid w:val="00B243CE"/>
    <w:rsid w:val="00B31185"/>
    <w:rsid w:val="00B31885"/>
    <w:rsid w:val="00B318BA"/>
    <w:rsid w:val="00B3283A"/>
    <w:rsid w:val="00B32C8F"/>
    <w:rsid w:val="00B35B4D"/>
    <w:rsid w:val="00B36822"/>
    <w:rsid w:val="00B5148D"/>
    <w:rsid w:val="00B55E72"/>
    <w:rsid w:val="00B56535"/>
    <w:rsid w:val="00B65977"/>
    <w:rsid w:val="00B67C47"/>
    <w:rsid w:val="00B701EC"/>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D5076"/>
    <w:rsid w:val="00BD6CF9"/>
    <w:rsid w:val="00BE5DB7"/>
    <w:rsid w:val="00BE63F3"/>
    <w:rsid w:val="00BF2727"/>
    <w:rsid w:val="00BF4E6D"/>
    <w:rsid w:val="00C066A0"/>
    <w:rsid w:val="00C0790A"/>
    <w:rsid w:val="00C2373F"/>
    <w:rsid w:val="00C301EC"/>
    <w:rsid w:val="00C3301A"/>
    <w:rsid w:val="00C343FC"/>
    <w:rsid w:val="00C3547B"/>
    <w:rsid w:val="00C40C59"/>
    <w:rsid w:val="00C435BE"/>
    <w:rsid w:val="00C466C4"/>
    <w:rsid w:val="00C5425B"/>
    <w:rsid w:val="00C74B7C"/>
    <w:rsid w:val="00C76EE9"/>
    <w:rsid w:val="00C92A28"/>
    <w:rsid w:val="00C93434"/>
    <w:rsid w:val="00C9476F"/>
    <w:rsid w:val="00CA2352"/>
    <w:rsid w:val="00CA6A99"/>
    <w:rsid w:val="00CA7703"/>
    <w:rsid w:val="00CB375D"/>
    <w:rsid w:val="00CB6DC1"/>
    <w:rsid w:val="00CC295D"/>
    <w:rsid w:val="00CD4BFE"/>
    <w:rsid w:val="00CD526F"/>
    <w:rsid w:val="00CE0009"/>
    <w:rsid w:val="00D0549C"/>
    <w:rsid w:val="00D15B03"/>
    <w:rsid w:val="00D16BEC"/>
    <w:rsid w:val="00D170AB"/>
    <w:rsid w:val="00D22244"/>
    <w:rsid w:val="00D2426F"/>
    <w:rsid w:val="00D27914"/>
    <w:rsid w:val="00D43C75"/>
    <w:rsid w:val="00D44BE8"/>
    <w:rsid w:val="00D52A15"/>
    <w:rsid w:val="00D53B35"/>
    <w:rsid w:val="00D673D6"/>
    <w:rsid w:val="00D739A9"/>
    <w:rsid w:val="00D77230"/>
    <w:rsid w:val="00D84D55"/>
    <w:rsid w:val="00D947E3"/>
    <w:rsid w:val="00DA4C6D"/>
    <w:rsid w:val="00DA5360"/>
    <w:rsid w:val="00DA5592"/>
    <w:rsid w:val="00DA59DB"/>
    <w:rsid w:val="00DB2CB9"/>
    <w:rsid w:val="00DC21A6"/>
    <w:rsid w:val="00DD0020"/>
    <w:rsid w:val="00DE587B"/>
    <w:rsid w:val="00DE6371"/>
    <w:rsid w:val="00DF3083"/>
    <w:rsid w:val="00DF49A6"/>
    <w:rsid w:val="00E010F9"/>
    <w:rsid w:val="00E02121"/>
    <w:rsid w:val="00E025AE"/>
    <w:rsid w:val="00E05BC3"/>
    <w:rsid w:val="00E07D24"/>
    <w:rsid w:val="00E128B9"/>
    <w:rsid w:val="00E14613"/>
    <w:rsid w:val="00E25775"/>
    <w:rsid w:val="00E44370"/>
    <w:rsid w:val="00E57E3D"/>
    <w:rsid w:val="00E65B40"/>
    <w:rsid w:val="00E67E53"/>
    <w:rsid w:val="00E67EBF"/>
    <w:rsid w:val="00E83332"/>
    <w:rsid w:val="00E92A03"/>
    <w:rsid w:val="00E93BBA"/>
    <w:rsid w:val="00E94B1A"/>
    <w:rsid w:val="00E97B91"/>
    <w:rsid w:val="00EA5DE2"/>
    <w:rsid w:val="00EA6725"/>
    <w:rsid w:val="00EA7742"/>
    <w:rsid w:val="00EC036C"/>
    <w:rsid w:val="00ED5086"/>
    <w:rsid w:val="00ED710C"/>
    <w:rsid w:val="00ED7E0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6206"/>
    <w:rsid w:val="00F63CED"/>
    <w:rsid w:val="00F66653"/>
    <w:rsid w:val="00F67320"/>
    <w:rsid w:val="00F6772F"/>
    <w:rsid w:val="00F739F4"/>
    <w:rsid w:val="00F811B5"/>
    <w:rsid w:val="00F85D87"/>
    <w:rsid w:val="00F91B3D"/>
    <w:rsid w:val="00F94A38"/>
    <w:rsid w:val="00F96B51"/>
    <w:rsid w:val="00F97A81"/>
    <w:rsid w:val="00FB6FCF"/>
    <w:rsid w:val="00FB7051"/>
    <w:rsid w:val="00FC5BEE"/>
    <w:rsid w:val="00FC5D6A"/>
    <w:rsid w:val="00FD33E0"/>
    <w:rsid w:val="00FD66EF"/>
    <w:rsid w:val="00FE337C"/>
    <w:rsid w:val="00FE3AE2"/>
    <w:rsid w:val="00FE40BB"/>
    <w:rsid w:val="00FE4FAF"/>
    <w:rsid w:val="00FE6338"/>
    <w:rsid w:val="00FF13CE"/>
    <w:rsid w:val="00FF1DC3"/>
    <w:rsid w:val="00FF6292"/>
    <w:rsid w:val="01207B0A"/>
    <w:rsid w:val="01785675"/>
    <w:rsid w:val="017C1E4A"/>
    <w:rsid w:val="02252C42"/>
    <w:rsid w:val="022C02C9"/>
    <w:rsid w:val="02886B37"/>
    <w:rsid w:val="02B7624C"/>
    <w:rsid w:val="02D2752A"/>
    <w:rsid w:val="02D45932"/>
    <w:rsid w:val="02DA6AD2"/>
    <w:rsid w:val="02DE3CC3"/>
    <w:rsid w:val="03056149"/>
    <w:rsid w:val="035C7C85"/>
    <w:rsid w:val="038A6C36"/>
    <w:rsid w:val="03E87038"/>
    <w:rsid w:val="03EA4358"/>
    <w:rsid w:val="045643A0"/>
    <w:rsid w:val="045A72EA"/>
    <w:rsid w:val="04C9495C"/>
    <w:rsid w:val="04D66338"/>
    <w:rsid w:val="04E9263C"/>
    <w:rsid w:val="04E946B9"/>
    <w:rsid w:val="05333EBB"/>
    <w:rsid w:val="054908B9"/>
    <w:rsid w:val="055943D7"/>
    <w:rsid w:val="056A6870"/>
    <w:rsid w:val="05762682"/>
    <w:rsid w:val="058A4BA6"/>
    <w:rsid w:val="05AB50DB"/>
    <w:rsid w:val="062C0CFF"/>
    <w:rsid w:val="069E5968"/>
    <w:rsid w:val="06DA35FE"/>
    <w:rsid w:val="07521F93"/>
    <w:rsid w:val="07B55BE9"/>
    <w:rsid w:val="07BA57F7"/>
    <w:rsid w:val="07D72EEC"/>
    <w:rsid w:val="08107DC8"/>
    <w:rsid w:val="08FD0690"/>
    <w:rsid w:val="090135A2"/>
    <w:rsid w:val="093D4FB7"/>
    <w:rsid w:val="095D498D"/>
    <w:rsid w:val="09C51A18"/>
    <w:rsid w:val="09D7525B"/>
    <w:rsid w:val="0A0B6909"/>
    <w:rsid w:val="0A2F3646"/>
    <w:rsid w:val="0B09160F"/>
    <w:rsid w:val="0B0A4BEC"/>
    <w:rsid w:val="0B416FFB"/>
    <w:rsid w:val="0B6423BD"/>
    <w:rsid w:val="0B6F074F"/>
    <w:rsid w:val="0B86071C"/>
    <w:rsid w:val="0BBF534B"/>
    <w:rsid w:val="0BED7F40"/>
    <w:rsid w:val="0C005169"/>
    <w:rsid w:val="0C3D20A1"/>
    <w:rsid w:val="0C743634"/>
    <w:rsid w:val="0C747FFC"/>
    <w:rsid w:val="0C7C0C8C"/>
    <w:rsid w:val="0C946333"/>
    <w:rsid w:val="0CC95508"/>
    <w:rsid w:val="0CDA7707"/>
    <w:rsid w:val="0D13527A"/>
    <w:rsid w:val="0DCF28BA"/>
    <w:rsid w:val="0DEB68E4"/>
    <w:rsid w:val="0DF453A6"/>
    <w:rsid w:val="0F131023"/>
    <w:rsid w:val="0F2862EC"/>
    <w:rsid w:val="0F372FF9"/>
    <w:rsid w:val="0F6251CC"/>
    <w:rsid w:val="0F673852"/>
    <w:rsid w:val="0FC21BD9"/>
    <w:rsid w:val="101F0E02"/>
    <w:rsid w:val="10487BBA"/>
    <w:rsid w:val="104D01F0"/>
    <w:rsid w:val="10AA0E51"/>
    <w:rsid w:val="10BF2868"/>
    <w:rsid w:val="11036AF6"/>
    <w:rsid w:val="115C61ED"/>
    <w:rsid w:val="119274DC"/>
    <w:rsid w:val="1206614F"/>
    <w:rsid w:val="1220184D"/>
    <w:rsid w:val="12E3738C"/>
    <w:rsid w:val="13C058C2"/>
    <w:rsid w:val="13E968BA"/>
    <w:rsid w:val="13F56E49"/>
    <w:rsid w:val="14050867"/>
    <w:rsid w:val="14131750"/>
    <w:rsid w:val="144D6A10"/>
    <w:rsid w:val="14752984"/>
    <w:rsid w:val="14D13334"/>
    <w:rsid w:val="15076B7F"/>
    <w:rsid w:val="152378BB"/>
    <w:rsid w:val="1549557C"/>
    <w:rsid w:val="1552040A"/>
    <w:rsid w:val="15807C55"/>
    <w:rsid w:val="15E346C1"/>
    <w:rsid w:val="15E476A1"/>
    <w:rsid w:val="15E95D50"/>
    <w:rsid w:val="15FC682A"/>
    <w:rsid w:val="16161084"/>
    <w:rsid w:val="17193D80"/>
    <w:rsid w:val="1720040C"/>
    <w:rsid w:val="17A440D7"/>
    <w:rsid w:val="182A67AD"/>
    <w:rsid w:val="18D06773"/>
    <w:rsid w:val="18E402E6"/>
    <w:rsid w:val="19652BCB"/>
    <w:rsid w:val="19977D8A"/>
    <w:rsid w:val="19A86DB6"/>
    <w:rsid w:val="19E913AB"/>
    <w:rsid w:val="19ED659F"/>
    <w:rsid w:val="1A0A1CE0"/>
    <w:rsid w:val="1A1104E0"/>
    <w:rsid w:val="1A2972F9"/>
    <w:rsid w:val="1A4646AB"/>
    <w:rsid w:val="1A605254"/>
    <w:rsid w:val="1AB53DE8"/>
    <w:rsid w:val="1B4C57EB"/>
    <w:rsid w:val="1B7C6CA6"/>
    <w:rsid w:val="1BB81089"/>
    <w:rsid w:val="1C811553"/>
    <w:rsid w:val="1C8B6E63"/>
    <w:rsid w:val="1CCB2BC8"/>
    <w:rsid w:val="1D104B3E"/>
    <w:rsid w:val="1E7D4AC8"/>
    <w:rsid w:val="1E82371B"/>
    <w:rsid w:val="1EE24244"/>
    <w:rsid w:val="1F1330A4"/>
    <w:rsid w:val="1F211421"/>
    <w:rsid w:val="1F3F164B"/>
    <w:rsid w:val="1F512AEE"/>
    <w:rsid w:val="1F5E4382"/>
    <w:rsid w:val="201F2242"/>
    <w:rsid w:val="204C400B"/>
    <w:rsid w:val="2093683A"/>
    <w:rsid w:val="20AA43B5"/>
    <w:rsid w:val="21F430C2"/>
    <w:rsid w:val="22C14D1E"/>
    <w:rsid w:val="232C6642"/>
    <w:rsid w:val="23537507"/>
    <w:rsid w:val="236A498B"/>
    <w:rsid w:val="23CA5246"/>
    <w:rsid w:val="23D14BD1"/>
    <w:rsid w:val="24E055E0"/>
    <w:rsid w:val="25003532"/>
    <w:rsid w:val="256107E0"/>
    <w:rsid w:val="25F51053"/>
    <w:rsid w:val="26256201"/>
    <w:rsid w:val="26270314"/>
    <w:rsid w:val="268A1547"/>
    <w:rsid w:val="27443F8F"/>
    <w:rsid w:val="27E466EC"/>
    <w:rsid w:val="27FA6A57"/>
    <w:rsid w:val="280B2576"/>
    <w:rsid w:val="282412E8"/>
    <w:rsid w:val="282F7679"/>
    <w:rsid w:val="2888557E"/>
    <w:rsid w:val="28E233CA"/>
    <w:rsid w:val="28EE4234"/>
    <w:rsid w:val="293D1DB5"/>
    <w:rsid w:val="29451A7D"/>
    <w:rsid w:val="294F0DD5"/>
    <w:rsid w:val="296D0386"/>
    <w:rsid w:val="298869B1"/>
    <w:rsid w:val="29B95BC6"/>
    <w:rsid w:val="29D458F2"/>
    <w:rsid w:val="29E85C82"/>
    <w:rsid w:val="29FD5367"/>
    <w:rsid w:val="2A82464A"/>
    <w:rsid w:val="2AB50F68"/>
    <w:rsid w:val="2ABC4FEF"/>
    <w:rsid w:val="2ABD16AC"/>
    <w:rsid w:val="2ACC37C5"/>
    <w:rsid w:val="2B3712F2"/>
    <w:rsid w:val="2B463C55"/>
    <w:rsid w:val="2BAA2CF4"/>
    <w:rsid w:val="2BDB094E"/>
    <w:rsid w:val="2BE11E2F"/>
    <w:rsid w:val="2BFE4851"/>
    <w:rsid w:val="2C6A44EB"/>
    <w:rsid w:val="2C9917B7"/>
    <w:rsid w:val="2D0852EE"/>
    <w:rsid w:val="2D3227EF"/>
    <w:rsid w:val="2D8D5C78"/>
    <w:rsid w:val="2D994BDD"/>
    <w:rsid w:val="2DBD1919"/>
    <w:rsid w:val="2EE6487F"/>
    <w:rsid w:val="2F1A0A62"/>
    <w:rsid w:val="2F3E6592"/>
    <w:rsid w:val="2FB055CC"/>
    <w:rsid w:val="2FE62223"/>
    <w:rsid w:val="3013786F"/>
    <w:rsid w:val="30853026"/>
    <w:rsid w:val="30A532D8"/>
    <w:rsid w:val="30FF4CDC"/>
    <w:rsid w:val="31216728"/>
    <w:rsid w:val="31250C93"/>
    <w:rsid w:val="31422411"/>
    <w:rsid w:val="31743165"/>
    <w:rsid w:val="31BB332E"/>
    <w:rsid w:val="332F3E0C"/>
    <w:rsid w:val="334B2535"/>
    <w:rsid w:val="34572B3B"/>
    <w:rsid w:val="34F62570"/>
    <w:rsid w:val="35092088"/>
    <w:rsid w:val="35C91817"/>
    <w:rsid w:val="36937C0A"/>
    <w:rsid w:val="36BC1970"/>
    <w:rsid w:val="375D41C0"/>
    <w:rsid w:val="37A6382D"/>
    <w:rsid w:val="37E312B6"/>
    <w:rsid w:val="380020AD"/>
    <w:rsid w:val="38091EFE"/>
    <w:rsid w:val="3869010C"/>
    <w:rsid w:val="38740EA5"/>
    <w:rsid w:val="389F7E73"/>
    <w:rsid w:val="38A15575"/>
    <w:rsid w:val="38A30A78"/>
    <w:rsid w:val="38DE53D9"/>
    <w:rsid w:val="38EB6C6E"/>
    <w:rsid w:val="3A675260"/>
    <w:rsid w:val="3A7E7084"/>
    <w:rsid w:val="3AC72CFB"/>
    <w:rsid w:val="3ADC741E"/>
    <w:rsid w:val="3B371030"/>
    <w:rsid w:val="3B5D4EDB"/>
    <w:rsid w:val="3BA548E8"/>
    <w:rsid w:val="3BA80C48"/>
    <w:rsid w:val="3C512802"/>
    <w:rsid w:val="3C985175"/>
    <w:rsid w:val="3CC75F2B"/>
    <w:rsid w:val="3CEE3985"/>
    <w:rsid w:val="3D6D113A"/>
    <w:rsid w:val="3DA63134"/>
    <w:rsid w:val="3DAF1ABE"/>
    <w:rsid w:val="3DE5069A"/>
    <w:rsid w:val="3DF210E6"/>
    <w:rsid w:val="3E286C4C"/>
    <w:rsid w:val="3E581FFA"/>
    <w:rsid w:val="3E846167"/>
    <w:rsid w:val="3EC61F3E"/>
    <w:rsid w:val="3EE33056"/>
    <w:rsid w:val="3F0142EA"/>
    <w:rsid w:val="3F067877"/>
    <w:rsid w:val="3F4C3465"/>
    <w:rsid w:val="3F675313"/>
    <w:rsid w:val="3F6F3890"/>
    <w:rsid w:val="3F7A6532"/>
    <w:rsid w:val="3F87756C"/>
    <w:rsid w:val="40227C45"/>
    <w:rsid w:val="40594B0F"/>
    <w:rsid w:val="41126927"/>
    <w:rsid w:val="415B6A48"/>
    <w:rsid w:val="42982C9D"/>
    <w:rsid w:val="42B04115"/>
    <w:rsid w:val="42D25330"/>
    <w:rsid w:val="42DC7E3D"/>
    <w:rsid w:val="4307643F"/>
    <w:rsid w:val="434929F0"/>
    <w:rsid w:val="4395737C"/>
    <w:rsid w:val="43CC05E0"/>
    <w:rsid w:val="44547A2A"/>
    <w:rsid w:val="44953938"/>
    <w:rsid w:val="44DE410B"/>
    <w:rsid w:val="450C745A"/>
    <w:rsid w:val="45481880"/>
    <w:rsid w:val="455B6F58"/>
    <w:rsid w:val="468160C4"/>
    <w:rsid w:val="468477C0"/>
    <w:rsid w:val="468C64C8"/>
    <w:rsid w:val="471C1137"/>
    <w:rsid w:val="47A21C10"/>
    <w:rsid w:val="47D772EC"/>
    <w:rsid w:val="488E6476"/>
    <w:rsid w:val="49C51095"/>
    <w:rsid w:val="49F0230F"/>
    <w:rsid w:val="4A531BFE"/>
    <w:rsid w:val="4A8150B2"/>
    <w:rsid w:val="4B1D294C"/>
    <w:rsid w:val="4B9D671D"/>
    <w:rsid w:val="4BF43082"/>
    <w:rsid w:val="4BFE6267"/>
    <w:rsid w:val="4C8E12FA"/>
    <w:rsid w:val="4CB64C6B"/>
    <w:rsid w:val="4D236C78"/>
    <w:rsid w:val="4DB72B71"/>
    <w:rsid w:val="4DD43DBE"/>
    <w:rsid w:val="4E04490D"/>
    <w:rsid w:val="4E3130D2"/>
    <w:rsid w:val="4E8251DC"/>
    <w:rsid w:val="4EB237AC"/>
    <w:rsid w:val="4ED22612"/>
    <w:rsid w:val="4EED5625"/>
    <w:rsid w:val="4F0963B9"/>
    <w:rsid w:val="4F9B2B2B"/>
    <w:rsid w:val="50E12D4A"/>
    <w:rsid w:val="51147713"/>
    <w:rsid w:val="516E10A7"/>
    <w:rsid w:val="51C63383"/>
    <w:rsid w:val="52016097"/>
    <w:rsid w:val="520E0F94"/>
    <w:rsid w:val="52551E4F"/>
    <w:rsid w:val="5291153F"/>
    <w:rsid w:val="53025871"/>
    <w:rsid w:val="536C5EBC"/>
    <w:rsid w:val="540216D9"/>
    <w:rsid w:val="5402188F"/>
    <w:rsid w:val="54471B54"/>
    <w:rsid w:val="54C06B56"/>
    <w:rsid w:val="552B18A4"/>
    <w:rsid w:val="55A453DA"/>
    <w:rsid w:val="55D1679A"/>
    <w:rsid w:val="55F42B14"/>
    <w:rsid w:val="56022A50"/>
    <w:rsid w:val="566118CC"/>
    <w:rsid w:val="56874282"/>
    <w:rsid w:val="56B75990"/>
    <w:rsid w:val="56DB4FAA"/>
    <w:rsid w:val="56E4241D"/>
    <w:rsid w:val="571C4FFB"/>
    <w:rsid w:val="575842A9"/>
    <w:rsid w:val="57892BAB"/>
    <w:rsid w:val="57C31A8B"/>
    <w:rsid w:val="585F1909"/>
    <w:rsid w:val="58E65065"/>
    <w:rsid w:val="59222CCC"/>
    <w:rsid w:val="59833FEA"/>
    <w:rsid w:val="59C31BDD"/>
    <w:rsid w:val="5AD73F22"/>
    <w:rsid w:val="5B902A45"/>
    <w:rsid w:val="5BAB48F4"/>
    <w:rsid w:val="5BAF32FA"/>
    <w:rsid w:val="5BDD0946"/>
    <w:rsid w:val="5C021A80"/>
    <w:rsid w:val="5CB71769"/>
    <w:rsid w:val="5D875E5C"/>
    <w:rsid w:val="5D9308DB"/>
    <w:rsid w:val="5DF53495"/>
    <w:rsid w:val="5DFF3AC4"/>
    <w:rsid w:val="5E047F4B"/>
    <w:rsid w:val="5E325597"/>
    <w:rsid w:val="5E5C63DC"/>
    <w:rsid w:val="5FB4440F"/>
    <w:rsid w:val="6055781B"/>
    <w:rsid w:val="607F5CFE"/>
    <w:rsid w:val="60913E6F"/>
    <w:rsid w:val="60AA6949"/>
    <w:rsid w:val="60B430B8"/>
    <w:rsid w:val="614D47DE"/>
    <w:rsid w:val="61CA0CA5"/>
    <w:rsid w:val="620A5BE8"/>
    <w:rsid w:val="628B743B"/>
    <w:rsid w:val="62C37595"/>
    <w:rsid w:val="63C6393F"/>
    <w:rsid w:val="64111BAB"/>
    <w:rsid w:val="64523523"/>
    <w:rsid w:val="65282282"/>
    <w:rsid w:val="657D3C94"/>
    <w:rsid w:val="65BF14FC"/>
    <w:rsid w:val="663E7013"/>
    <w:rsid w:val="67104F71"/>
    <w:rsid w:val="675D7CA3"/>
    <w:rsid w:val="67710EC2"/>
    <w:rsid w:val="67A96A9E"/>
    <w:rsid w:val="68686E38"/>
    <w:rsid w:val="68D370A0"/>
    <w:rsid w:val="68DC6DE2"/>
    <w:rsid w:val="69421884"/>
    <w:rsid w:val="69931E41"/>
    <w:rsid w:val="69D7242D"/>
    <w:rsid w:val="6A9C3978"/>
    <w:rsid w:val="6AB3359E"/>
    <w:rsid w:val="6B01589B"/>
    <w:rsid w:val="6B39736F"/>
    <w:rsid w:val="6BA14120"/>
    <w:rsid w:val="6C3A453E"/>
    <w:rsid w:val="6C465F32"/>
    <w:rsid w:val="6C5C14E9"/>
    <w:rsid w:val="6CC04577"/>
    <w:rsid w:val="6CC971BB"/>
    <w:rsid w:val="6D016666"/>
    <w:rsid w:val="6D876756"/>
    <w:rsid w:val="6D880F49"/>
    <w:rsid w:val="6D98425A"/>
    <w:rsid w:val="6DDF0252"/>
    <w:rsid w:val="6DE60F88"/>
    <w:rsid w:val="6DFC7777"/>
    <w:rsid w:val="6E0A3294"/>
    <w:rsid w:val="6FBA2FDB"/>
    <w:rsid w:val="6FC22F83"/>
    <w:rsid w:val="6FDB3A32"/>
    <w:rsid w:val="6FF84AE4"/>
    <w:rsid w:val="70903082"/>
    <w:rsid w:val="70B40C75"/>
    <w:rsid w:val="70D03D97"/>
    <w:rsid w:val="710E4B6B"/>
    <w:rsid w:val="71887009"/>
    <w:rsid w:val="71A36941"/>
    <w:rsid w:val="71BF1842"/>
    <w:rsid w:val="7202419A"/>
    <w:rsid w:val="720E21AB"/>
    <w:rsid w:val="722A1327"/>
    <w:rsid w:val="72596DA7"/>
    <w:rsid w:val="72FE0BBA"/>
    <w:rsid w:val="73433B31"/>
    <w:rsid w:val="73BC69EE"/>
    <w:rsid w:val="73C61F74"/>
    <w:rsid w:val="741F7660"/>
    <w:rsid w:val="74702842"/>
    <w:rsid w:val="74A71E6F"/>
    <w:rsid w:val="74BE5317"/>
    <w:rsid w:val="7519692A"/>
    <w:rsid w:val="752E12A0"/>
    <w:rsid w:val="75E91581"/>
    <w:rsid w:val="75ED6C8B"/>
    <w:rsid w:val="76017919"/>
    <w:rsid w:val="765E6EE2"/>
    <w:rsid w:val="76993250"/>
    <w:rsid w:val="76E42137"/>
    <w:rsid w:val="76E5271E"/>
    <w:rsid w:val="76EC20A9"/>
    <w:rsid w:val="771A18F3"/>
    <w:rsid w:val="774A7EC4"/>
    <w:rsid w:val="774E6582"/>
    <w:rsid w:val="778238A1"/>
    <w:rsid w:val="77A779CA"/>
    <w:rsid w:val="78630991"/>
    <w:rsid w:val="78BF024C"/>
    <w:rsid w:val="791F0D44"/>
    <w:rsid w:val="79784C56"/>
    <w:rsid w:val="79DE4B66"/>
    <w:rsid w:val="7A011336"/>
    <w:rsid w:val="7A450B26"/>
    <w:rsid w:val="7B2E412F"/>
    <w:rsid w:val="7B755B87"/>
    <w:rsid w:val="7B76251D"/>
    <w:rsid w:val="7B9954D3"/>
    <w:rsid w:val="7C0C417E"/>
    <w:rsid w:val="7CB34123"/>
    <w:rsid w:val="7D000D4E"/>
    <w:rsid w:val="7DAE5640"/>
    <w:rsid w:val="7E935188"/>
    <w:rsid w:val="7EB54B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23"/>
    <w:qFormat/>
    <w:uiPriority w:val="0"/>
    <w:pPr>
      <w:keepNext/>
      <w:keepLines/>
      <w:numPr>
        <w:ilvl w:val="0"/>
        <w:numId w:val="1"/>
      </w:numPr>
      <w:pBdr>
        <w:top w:val="single" w:color="auto" w:sz="12" w:space="3"/>
      </w:pBdr>
      <w:overflowPunct w:val="0"/>
      <w:autoSpaceDE w:val="0"/>
      <w:autoSpaceDN w:val="0"/>
      <w:adjustRightInd w:val="0"/>
      <w:spacing w:before="240" w:after="180"/>
      <w:ind w:left="432" w:hanging="432"/>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32"/>
    <w:unhideWhenUsed/>
    <w:qFormat/>
    <w:uiPriority w:val="9"/>
    <w:pPr>
      <w:keepNext/>
      <w:keepLines/>
      <w:numPr>
        <w:ilvl w:val="1"/>
      </w:numPr>
      <w:spacing w:before="260" w:after="260" w:line="416" w:lineRule="auto"/>
      <w:ind w:left="575" w:hanging="575"/>
      <w:outlineLvl w:val="1"/>
    </w:pPr>
    <w:rPr>
      <w:rFonts w:asciiTheme="majorHAnsi" w:hAnsiTheme="majorHAnsi" w:eastAsiaTheme="majorEastAsia" w:cstheme="majorBidi"/>
      <w:b/>
      <w:bCs/>
      <w:sz w:val="32"/>
      <w:szCs w:val="32"/>
    </w:rPr>
  </w:style>
  <w:style w:type="paragraph" w:styleId="4">
    <w:name w:val="heading 3"/>
    <w:basedOn w:val="3"/>
    <w:next w:val="1"/>
    <w:link w:val="41"/>
    <w:unhideWhenUsed/>
    <w:qFormat/>
    <w:uiPriority w:val="9"/>
    <w:pPr>
      <w:keepNext/>
      <w:keepLines/>
      <w:numPr>
        <w:ilvl w:val="2"/>
      </w:numPr>
      <w:spacing w:before="260" w:after="260" w:line="416" w:lineRule="auto"/>
      <w:ind w:left="720" w:hanging="720"/>
      <w:outlineLvl w:val="2"/>
    </w:pPr>
    <w:rPr>
      <w:sz w:val="32"/>
      <w:szCs w:val="32"/>
    </w:rPr>
  </w:style>
  <w:style w:type="paragraph" w:styleId="5">
    <w:name w:val="heading 4"/>
    <w:basedOn w:val="1"/>
    <w:next w:val="1"/>
    <w:semiHidden/>
    <w:unhideWhenUsed/>
    <w:qFormat/>
    <w:uiPriority w:val="9"/>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b/>
      <w:sz w:val="28"/>
    </w:rPr>
  </w:style>
  <w:style w:type="paragraph" w:styleId="6">
    <w:name w:val="heading 5"/>
    <w:basedOn w:val="1"/>
    <w:next w:val="1"/>
    <w:semiHidden/>
    <w:unhideWhenUsed/>
    <w:qFormat/>
    <w:uiPriority w:val="9"/>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9"/>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9"/>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27"/>
    <w:unhideWhenUsed/>
    <w:qFormat/>
    <w:uiPriority w:val="0"/>
  </w:style>
  <w:style w:type="paragraph" w:styleId="12">
    <w:name w:val="footer"/>
    <w:basedOn w:val="1"/>
    <w:link w:val="31"/>
    <w:unhideWhenUsed/>
    <w:qFormat/>
    <w:uiPriority w:val="99"/>
    <w:pPr>
      <w:tabs>
        <w:tab w:val="center" w:pos="4153"/>
        <w:tab w:val="right" w:pos="8306"/>
      </w:tabs>
      <w:snapToGrid w:val="0"/>
    </w:pPr>
    <w:rPr>
      <w:sz w:val="18"/>
      <w:szCs w:val="18"/>
    </w:rPr>
  </w:style>
  <w:style w:type="paragraph" w:styleId="13">
    <w:name w:val="header"/>
    <w:basedOn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List"/>
    <w:basedOn w:val="1"/>
    <w:qFormat/>
    <w:uiPriority w:val="0"/>
    <w:pPr>
      <w:ind w:left="568" w:hanging="284"/>
    </w:pPr>
  </w:style>
  <w:style w:type="paragraph" w:styleId="1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22"/>
    <w:rPr>
      <w:b/>
    </w:rPr>
  </w:style>
  <w:style w:type="character" w:styleId="20">
    <w:name w:val="HTML Code"/>
    <w:basedOn w:val="18"/>
    <w:semiHidden/>
    <w:unhideWhenUsed/>
    <w:qFormat/>
    <w:uiPriority w:val="99"/>
    <w:rPr>
      <w:rFonts w:ascii="Courier New" w:hAnsi="Courier New"/>
      <w:sz w:val="20"/>
    </w:rPr>
  </w:style>
  <w:style w:type="character" w:styleId="21">
    <w:name w:val="annotation reference"/>
    <w:basedOn w:val="18"/>
    <w:semiHidden/>
    <w:unhideWhenUsed/>
    <w:qFormat/>
    <w:uiPriority w:val="99"/>
    <w:rPr>
      <w:sz w:val="21"/>
      <w:szCs w:val="21"/>
    </w:rPr>
  </w:style>
  <w:style w:type="character" w:customStyle="1" w:styleId="22">
    <w:name w:val="标题 1 字符"/>
    <w:basedOn w:val="18"/>
    <w:qFormat/>
    <w:uiPriority w:val="9"/>
    <w:rPr>
      <w:rFonts w:ascii="Times New Roman" w:hAnsi="Times New Roman" w:eastAsia="Times New Roman" w:cs="Times New Roman"/>
      <w:b/>
      <w:bCs/>
      <w:kern w:val="44"/>
      <w:sz w:val="44"/>
      <w:szCs w:val="44"/>
      <w:lang w:val="en-GB" w:eastAsia="en-GB"/>
    </w:rPr>
  </w:style>
  <w:style w:type="character" w:customStyle="1" w:styleId="23">
    <w:name w:val="标题 1 字符1"/>
    <w:link w:val="2"/>
    <w:qFormat/>
    <w:uiPriority w:val="0"/>
    <w:rPr>
      <w:rFonts w:ascii="Arial" w:hAnsi="Arial" w:eastAsia="Times New Roman" w:cs="Times New Roman"/>
      <w:kern w:val="0"/>
      <w:sz w:val="36"/>
      <w:szCs w:val="20"/>
      <w:lang w:val="en-GB" w:eastAsia="en-GB"/>
    </w:rPr>
  </w:style>
  <w:style w:type="paragraph" w:customStyle="1" w:styleId="24">
    <w:name w:val="EX"/>
    <w:basedOn w:val="1"/>
    <w:link w:val="25"/>
    <w:qFormat/>
    <w:uiPriority w:val="0"/>
    <w:pPr>
      <w:keepLines/>
      <w:overflowPunct/>
      <w:autoSpaceDE/>
      <w:autoSpaceDN/>
      <w:adjustRightInd/>
      <w:ind w:left="1702" w:hanging="1418"/>
      <w:textAlignment w:val="auto"/>
    </w:pPr>
    <w:rPr>
      <w:rFonts w:eastAsia="MS Mincho"/>
      <w:lang w:eastAsia="en-US"/>
    </w:rPr>
  </w:style>
  <w:style w:type="character" w:customStyle="1" w:styleId="25">
    <w:name w:val="EX Char"/>
    <w:link w:val="24"/>
    <w:qFormat/>
    <w:uiPriority w:val="0"/>
    <w:rPr>
      <w:rFonts w:ascii="Times New Roman" w:hAnsi="Times New Roman" w:eastAsia="MS Mincho" w:cs="Times New Roman"/>
      <w:kern w:val="0"/>
      <w:sz w:val="20"/>
      <w:szCs w:val="20"/>
      <w:lang w:val="en-GB" w:eastAsia="en-US"/>
    </w:rPr>
  </w:style>
  <w:style w:type="paragraph" w:styleId="26">
    <w:name w:val="List Paragraph"/>
    <w:basedOn w:val="1"/>
    <w:link w:val="28"/>
    <w:qFormat/>
    <w:uiPriority w:val="34"/>
    <w:pPr>
      <w:ind w:firstLine="420" w:firstLineChars="200"/>
    </w:pPr>
  </w:style>
  <w:style w:type="character" w:customStyle="1" w:styleId="27">
    <w:name w:val="批注文字 字符"/>
    <w:basedOn w:val="18"/>
    <w:link w:val="11"/>
    <w:qFormat/>
    <w:uiPriority w:val="0"/>
    <w:rPr>
      <w:rFonts w:ascii="Times New Roman" w:hAnsi="Times New Roman" w:eastAsia="Times New Roman" w:cs="Times New Roman"/>
      <w:kern w:val="0"/>
      <w:sz w:val="20"/>
      <w:szCs w:val="20"/>
      <w:lang w:val="en-GB" w:eastAsia="en-GB"/>
    </w:rPr>
  </w:style>
  <w:style w:type="character" w:customStyle="1" w:styleId="28">
    <w:name w:val="列表段落 字符"/>
    <w:link w:val="26"/>
    <w:qFormat/>
    <w:locked/>
    <w:uiPriority w:val="34"/>
    <w:rPr>
      <w:rFonts w:ascii="Times New Roman" w:hAnsi="Times New Roman" w:eastAsia="Times New Roman" w:cs="Times New Roman"/>
      <w:kern w:val="0"/>
      <w:sz w:val="20"/>
      <w:szCs w:val="20"/>
      <w:lang w:val="en-GB" w:eastAsia="en-GB"/>
    </w:rPr>
  </w:style>
  <w:style w:type="paragraph" w:customStyle="1" w:styleId="29">
    <w:name w:val="NO"/>
    <w:basedOn w:val="1"/>
    <w:qFormat/>
    <w:uiPriority w:val="0"/>
    <w:pPr>
      <w:keepLines/>
      <w:ind w:left="1135" w:hanging="851"/>
      <w:textAlignment w:val="auto"/>
    </w:pPr>
    <w:rPr>
      <w:rFonts w:eastAsia="宋体"/>
    </w:rPr>
  </w:style>
  <w:style w:type="character" w:customStyle="1" w:styleId="30">
    <w:name w:val="页眉 字符"/>
    <w:basedOn w:val="18"/>
    <w:link w:val="13"/>
    <w:qFormat/>
    <w:uiPriority w:val="99"/>
    <w:rPr>
      <w:rFonts w:ascii="Times New Roman" w:hAnsi="Times New Roman" w:eastAsia="Times New Roman" w:cs="Times New Roman"/>
      <w:kern w:val="0"/>
      <w:sz w:val="18"/>
      <w:szCs w:val="18"/>
      <w:lang w:val="en-GB" w:eastAsia="en-GB"/>
    </w:rPr>
  </w:style>
  <w:style w:type="character" w:customStyle="1" w:styleId="31">
    <w:name w:val="页脚 字符"/>
    <w:basedOn w:val="18"/>
    <w:link w:val="12"/>
    <w:qFormat/>
    <w:uiPriority w:val="99"/>
    <w:rPr>
      <w:rFonts w:ascii="Times New Roman" w:hAnsi="Times New Roman" w:eastAsia="Times New Roman" w:cs="Times New Roman"/>
      <w:kern w:val="0"/>
      <w:sz w:val="18"/>
      <w:szCs w:val="18"/>
      <w:lang w:val="en-GB" w:eastAsia="en-GB"/>
    </w:rPr>
  </w:style>
  <w:style w:type="character" w:customStyle="1" w:styleId="32">
    <w:name w:val="标题 2 字符"/>
    <w:basedOn w:val="18"/>
    <w:link w:val="3"/>
    <w:semiHidden/>
    <w:qFormat/>
    <w:uiPriority w:val="9"/>
    <w:rPr>
      <w:rFonts w:asciiTheme="majorHAnsi" w:hAnsiTheme="majorHAnsi" w:eastAsiaTheme="majorEastAsia" w:cstheme="majorBidi"/>
      <w:b/>
      <w:bCs/>
      <w:kern w:val="0"/>
      <w:sz w:val="32"/>
      <w:szCs w:val="32"/>
      <w:lang w:val="en-GB" w:eastAsia="en-GB"/>
    </w:rPr>
  </w:style>
  <w:style w:type="paragraph" w:customStyle="1" w:styleId="33">
    <w:name w:val="Table Title"/>
    <w:basedOn w:val="1"/>
    <w:qFormat/>
    <w:uiPriority w:val="0"/>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34">
    <w:name w:val="无格式表格 21"/>
    <w:basedOn w:val="16"/>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35">
    <w:name w:val="网格表 1 浅色1"/>
    <w:basedOn w:val="16"/>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36">
    <w:name w:val="CR Cover Page"/>
    <w:qFormat/>
    <w:uiPriority w:val="0"/>
    <w:pPr>
      <w:spacing w:after="120"/>
    </w:pPr>
    <w:rPr>
      <w:rFonts w:ascii="Arial" w:hAnsi="Arial" w:cs="Times New Roman" w:eastAsiaTheme="minorEastAsia"/>
      <w:lang w:val="en-GB" w:eastAsia="en-US" w:bidi="ar-SA"/>
    </w:rPr>
  </w:style>
  <w:style w:type="paragraph" w:customStyle="1" w:styleId="37">
    <w:name w:val="B1"/>
    <w:basedOn w:val="14"/>
    <w:link w:val="39"/>
    <w:qFormat/>
    <w:uiPriority w:val="0"/>
    <w:pPr>
      <w:overflowPunct/>
      <w:autoSpaceDE/>
      <w:autoSpaceDN/>
      <w:adjustRightInd/>
      <w:ind w:left="568" w:hanging="284"/>
      <w:textAlignment w:val="auto"/>
    </w:pPr>
    <w:rPr>
      <w:rFonts w:eastAsiaTheme="minorEastAsia"/>
      <w:lang w:eastAsia="en-US"/>
    </w:rPr>
  </w:style>
  <w:style w:type="paragraph" w:customStyle="1" w:styleId="38">
    <w:name w:val="B2"/>
    <w:basedOn w:val="1"/>
    <w:link w:val="40"/>
    <w:qFormat/>
    <w:uiPriority w:val="0"/>
    <w:pPr>
      <w:overflowPunct/>
      <w:autoSpaceDE/>
      <w:autoSpaceDN/>
      <w:adjustRightInd/>
      <w:ind w:left="851" w:hanging="284"/>
      <w:textAlignment w:val="auto"/>
    </w:pPr>
    <w:rPr>
      <w:rFonts w:eastAsiaTheme="minorEastAsia"/>
      <w:lang w:eastAsia="en-US"/>
    </w:rPr>
  </w:style>
  <w:style w:type="character" w:customStyle="1" w:styleId="39">
    <w:name w:val="B1 Char"/>
    <w:link w:val="37"/>
    <w:qFormat/>
    <w:uiPriority w:val="0"/>
    <w:rPr>
      <w:rFonts w:ascii="Times New Roman" w:hAnsi="Times New Roman" w:cs="Times New Roman"/>
      <w:kern w:val="0"/>
      <w:sz w:val="20"/>
      <w:szCs w:val="20"/>
      <w:lang w:val="en-GB" w:eastAsia="en-US"/>
    </w:rPr>
  </w:style>
  <w:style w:type="character" w:customStyle="1" w:styleId="40">
    <w:name w:val="B2 Char"/>
    <w:link w:val="38"/>
    <w:qFormat/>
    <w:uiPriority w:val="0"/>
    <w:rPr>
      <w:rFonts w:ascii="Times New Roman" w:hAnsi="Times New Roman" w:cs="Times New Roman"/>
      <w:kern w:val="0"/>
      <w:sz w:val="20"/>
      <w:szCs w:val="20"/>
      <w:lang w:val="en-GB" w:eastAsia="en-US"/>
    </w:rPr>
  </w:style>
  <w:style w:type="character" w:customStyle="1" w:styleId="41">
    <w:name w:val="标题 3 字符"/>
    <w:basedOn w:val="18"/>
    <w:link w:val="4"/>
    <w:semiHidden/>
    <w:qFormat/>
    <w:uiPriority w:val="9"/>
    <w:rPr>
      <w:rFonts w:ascii="Times New Roman" w:hAnsi="Times New Roman" w:eastAsia="Times New Roman" w:cs="Times New Roman"/>
      <w:b/>
      <w:bCs/>
      <w:kern w:val="0"/>
      <w:sz w:val="32"/>
      <w:szCs w:val="32"/>
      <w:lang w:val="en-GB" w:eastAsia="en-GB"/>
    </w:rPr>
  </w:style>
  <w:style w:type="paragraph" w:customStyle="1" w:styleId="42">
    <w:name w:val="TAH"/>
    <w:basedOn w:val="43"/>
    <w:link w:val="46"/>
    <w:qFormat/>
    <w:uiPriority w:val="99"/>
    <w:rPr>
      <w:b/>
    </w:rPr>
  </w:style>
  <w:style w:type="paragraph" w:customStyle="1" w:styleId="43">
    <w:name w:val="TAC"/>
    <w:basedOn w:val="44"/>
    <w:link w:val="45"/>
    <w:qFormat/>
    <w:uiPriority w:val="99"/>
    <w:pPr>
      <w:overflowPunct/>
      <w:autoSpaceDE/>
      <w:autoSpaceDN/>
      <w:adjustRightInd/>
      <w:jc w:val="center"/>
      <w:textAlignment w:val="auto"/>
    </w:pPr>
    <w:rPr>
      <w:rFonts w:eastAsiaTheme="minorEastAsia"/>
      <w:lang w:eastAsia="en-US"/>
    </w:rPr>
  </w:style>
  <w:style w:type="paragraph" w:customStyle="1" w:styleId="44">
    <w:name w:val="TAL"/>
    <w:basedOn w:val="1"/>
    <w:qFormat/>
    <w:uiPriority w:val="0"/>
    <w:pPr>
      <w:keepNext/>
      <w:keepLines/>
      <w:spacing w:after="0"/>
    </w:pPr>
    <w:rPr>
      <w:rFonts w:ascii="Arial" w:hAnsi="Arial"/>
      <w:sz w:val="18"/>
    </w:rPr>
  </w:style>
  <w:style w:type="character" w:customStyle="1" w:styleId="45">
    <w:name w:val="TAC Char"/>
    <w:link w:val="43"/>
    <w:qFormat/>
    <w:uiPriority w:val="99"/>
    <w:rPr>
      <w:rFonts w:ascii="Arial" w:hAnsi="Arial" w:cs="Times New Roman"/>
      <w:kern w:val="0"/>
      <w:sz w:val="18"/>
      <w:szCs w:val="20"/>
      <w:lang w:val="en-GB" w:eastAsia="en-US"/>
    </w:rPr>
  </w:style>
  <w:style w:type="character" w:customStyle="1" w:styleId="46">
    <w:name w:val="TAH Car"/>
    <w:link w:val="42"/>
    <w:qFormat/>
    <w:uiPriority w:val="99"/>
    <w:rPr>
      <w:rFonts w:ascii="Arial" w:hAnsi="Arial" w:cs="Times New Roman"/>
      <w:b/>
      <w:kern w:val="0"/>
      <w:sz w:val="18"/>
      <w:szCs w:val="20"/>
      <w:lang w:val="en-GB" w:eastAsia="en-US"/>
    </w:rPr>
  </w:style>
  <w:style w:type="paragraph" w:customStyle="1" w:styleId="47">
    <w:name w:val="TAN"/>
    <w:basedOn w:val="44"/>
    <w:link w:val="48"/>
    <w:qFormat/>
    <w:uiPriority w:val="0"/>
    <w:pPr>
      <w:overflowPunct/>
      <w:autoSpaceDE/>
      <w:autoSpaceDN/>
      <w:adjustRightInd/>
      <w:ind w:left="851" w:hanging="851"/>
      <w:textAlignment w:val="auto"/>
    </w:pPr>
    <w:rPr>
      <w:rFonts w:eastAsiaTheme="minorEastAsia"/>
      <w:lang w:eastAsia="en-US"/>
    </w:rPr>
  </w:style>
  <w:style w:type="character" w:customStyle="1" w:styleId="48">
    <w:name w:val="TAN Char"/>
    <w:link w:val="47"/>
    <w:qFormat/>
    <w:uiPriority w:val="0"/>
    <w:rPr>
      <w:rFonts w:ascii="Arial" w:hAnsi="Arial" w:cs="Times New Roman"/>
      <w:kern w:val="0"/>
      <w:sz w:val="18"/>
      <w:szCs w:val="20"/>
      <w:lang w:val="en-GB" w:eastAsia="en-US"/>
    </w:rPr>
  </w:style>
  <w:style w:type="paragraph" w:customStyle="1" w:styleId="49">
    <w:name w:val="TH"/>
    <w:basedOn w:val="1"/>
    <w:qFormat/>
    <w:uiPriority w:val="0"/>
    <w:pPr>
      <w:keepNext/>
      <w:keepLines/>
      <w:spacing w:before="60"/>
      <w:jc w:val="center"/>
    </w:pPr>
    <w:rPr>
      <w:rFonts w:ascii="Arial" w:hAnsi="Arial"/>
      <w:b/>
    </w:rPr>
  </w:style>
  <w:style w:type="paragraph" w:customStyle="1" w:styleId="50">
    <w:name w:val="List Paragraph1"/>
    <w:basedOn w:val="1"/>
    <w:qFormat/>
    <w:uiPriority w:val="0"/>
    <w:pPr>
      <w:spacing w:before="100" w:beforeAutospacing="1"/>
      <w:ind w:firstLine="420" w:firstLineChars="200"/>
    </w:pPr>
    <w:rPr>
      <w:rFonts w:eastAsia="宋体"/>
      <w:sz w:val="24"/>
      <w:szCs w:val="24"/>
      <w:lang w:val="en-US" w:eastAsia="zh-CN"/>
    </w:rPr>
  </w:style>
  <w:style w:type="paragraph" w:customStyle="1" w:styleId="51">
    <w:name w:val="Status"/>
    <w:basedOn w:val="52"/>
    <w:qFormat/>
    <w:uiPriority w:val="0"/>
    <w:rPr>
      <w:b w:val="0"/>
    </w:rPr>
  </w:style>
  <w:style w:type="paragraph" w:styleId="52">
    <w:name w:val="Quote"/>
    <w:basedOn w:val="1"/>
    <w:next w:val="1"/>
    <w:qFormat/>
    <w:uiPriority w:val="0"/>
    <w:pPr>
      <w:spacing w:after="120"/>
      <w:ind w:left="792"/>
    </w:pPr>
    <w:rPr>
      <w:rFonts w:ascii="Roboto Condensed" w:hAnsi="Roboto Condensed"/>
      <w:b/>
      <w:color w:val="4472C4" w:themeColor="accent1"/>
      <w14:textFill>
        <w14:solidFill>
          <w14:schemeClr w14:val="accent1"/>
        </w14:solidFill>
      </w14:textFill>
    </w:rPr>
  </w:style>
  <w:style w:type="paragraph" w:customStyle="1" w:styleId="53">
    <w:name w:val="TF"/>
    <w:basedOn w:val="49"/>
    <w:qFormat/>
    <w:uiPriority w:val="0"/>
    <w:pPr>
      <w:keepNext w:val="0"/>
      <w:spacing w:before="0" w:after="240"/>
    </w:pPr>
  </w:style>
  <w:style w:type="table" w:customStyle="1" w:styleId="54">
    <w:name w:val="网格型1"/>
    <w:basedOn w:val="16"/>
    <w:qFormat/>
    <w:uiPriority w:val="0"/>
    <w:pPr>
      <w:overflowPunct w:val="0"/>
      <w:autoSpaceDE w:val="0"/>
      <w:autoSpaceDN w:val="0"/>
      <w:adjustRightIn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741</Words>
  <Characters>4447</Characters>
  <Lines>38</Lines>
  <Paragraphs>10</Paragraphs>
  <TotalTime>0</TotalTime>
  <ScaleCrop>false</ScaleCrop>
  <LinksUpToDate>false</LinksUpToDate>
  <CharactersWithSpaces>5141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2023-05-15T16:56:00Z</dcterms:created>
  <dc:creator>CAICT</dc:creator>
  <cp:lastModifiedBy>cmcc-chunxia Guo</cp:lastModifiedBy>
  <dcterms:modified xsi:type="dcterms:W3CDTF">2025-11-07T09:44:15Z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6E2D5D82DCB744C6BA04868101AABE01_13</vt:lpwstr>
  </property>
  <property fmtid="{D5CDD505-2E9C-101B-9397-08002B2CF9AE}" pid="4" name="KSOTemplateDocerSaveRecord">
    <vt:lpwstr>eyJoZGlkIjoiOTU4MjljY2YzMDI1NGE4ZjYxYjczNDgxZmJjYzMzMTQiLCJ1c2VySWQiOiI0OTE3MDIwNzMifQ==</vt:lpwstr>
  </property>
</Properties>
</file>