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1796FB7C" w:rsidR="00DD4DE2" w:rsidRPr="004338E9" w:rsidRDefault="00A03E3E" w:rsidP="00A5302A">
      <w:pPr>
        <w:pStyle w:val="a4"/>
        <w:tabs>
          <w:tab w:val="left" w:pos="2160"/>
        </w:tabs>
        <w:ind w:leftChars="100" w:left="2327" w:hanging="2127"/>
        <w:jc w:val="both"/>
        <w:rPr>
          <w:rFonts w:ascii="Times New Roman" w:hAnsi="Times New Roman"/>
          <w:noProof w:val="0"/>
          <w:sz w:val="28"/>
          <w:szCs w:val="28"/>
          <w:highlight w:val="yellow"/>
        </w:rPr>
      </w:pPr>
      <w:r w:rsidRPr="004338E9">
        <w:rPr>
          <w:rFonts w:ascii="Times New Roman" w:hAnsi="Times New Roman"/>
          <w:noProof w:val="0"/>
          <w:sz w:val="24"/>
          <w:szCs w:val="24"/>
        </w:rPr>
        <w:t xml:space="preserve">3GPP TSG-RAN </w:t>
      </w:r>
      <w:r w:rsidRPr="004338E9">
        <w:rPr>
          <w:rFonts w:ascii="Times New Roman" w:hAnsi="Times New Roman"/>
          <w:sz w:val="24"/>
          <w:szCs w:val="24"/>
        </w:rPr>
        <w:t xml:space="preserve">WG4 Meeting </w:t>
      </w:r>
      <w:r w:rsidR="00BB68C4" w:rsidRPr="004338E9">
        <w:rPr>
          <w:rFonts w:ascii="Times New Roman" w:hAnsi="Times New Roman"/>
          <w:sz w:val="24"/>
          <w:szCs w:val="24"/>
        </w:rPr>
        <w:t># 1</w:t>
      </w:r>
      <w:r w:rsidR="00695B98" w:rsidRPr="004338E9">
        <w:rPr>
          <w:rFonts w:ascii="Times New Roman" w:hAnsi="Times New Roman"/>
          <w:sz w:val="24"/>
          <w:szCs w:val="24"/>
        </w:rPr>
        <w:t>1</w:t>
      </w:r>
      <w:r w:rsidR="00C72DD5">
        <w:rPr>
          <w:rFonts w:ascii="Times New Roman" w:hAnsi="Times New Roman"/>
          <w:sz w:val="24"/>
          <w:szCs w:val="24"/>
        </w:rPr>
        <w:t>6bis</w:t>
      </w:r>
      <w:r w:rsidR="00DD4DE2" w:rsidRPr="004338E9">
        <w:rPr>
          <w:rFonts w:ascii="Times New Roman" w:hAnsi="Times New Roman"/>
          <w:sz w:val="24"/>
          <w:szCs w:val="24"/>
        </w:rPr>
        <w:tab/>
      </w:r>
      <w:r w:rsidR="00DD4DE2" w:rsidRPr="003E4ABD">
        <w:rPr>
          <w:rFonts w:ascii="Times New Roman" w:hAnsi="Times New Roman"/>
          <w:noProof w:val="0"/>
          <w:sz w:val="32"/>
          <w:szCs w:val="32"/>
        </w:rPr>
        <w:tab/>
        <w:t xml:space="preserve">    </w:t>
      </w:r>
      <w:r w:rsidR="00507A3F" w:rsidRPr="003E4ABD">
        <w:rPr>
          <w:rFonts w:ascii="Times New Roman" w:hAnsi="Times New Roman"/>
          <w:noProof w:val="0"/>
          <w:sz w:val="32"/>
          <w:szCs w:val="32"/>
        </w:rPr>
        <w:t xml:space="preserve">          </w:t>
      </w:r>
      <w:r w:rsidR="00713418" w:rsidRPr="003E4ABD">
        <w:rPr>
          <w:rFonts w:ascii="Times New Roman" w:hAnsi="Times New Roman"/>
          <w:noProof w:val="0"/>
          <w:sz w:val="32"/>
          <w:szCs w:val="32"/>
        </w:rPr>
        <w:t xml:space="preserve">    </w:t>
      </w:r>
      <w:r w:rsidR="001B74E4" w:rsidRPr="003E4ABD">
        <w:rPr>
          <w:rFonts w:ascii="Times New Roman" w:hAnsi="Times New Roman"/>
          <w:noProof w:val="0"/>
          <w:sz w:val="32"/>
          <w:szCs w:val="32"/>
        </w:rPr>
        <w:t xml:space="preserve">  </w:t>
      </w:r>
      <w:r w:rsidR="003E4ABD">
        <w:rPr>
          <w:rFonts w:ascii="Times New Roman" w:hAnsi="Times New Roman"/>
          <w:noProof w:val="0"/>
          <w:sz w:val="32"/>
          <w:szCs w:val="32"/>
        </w:rPr>
        <w:t xml:space="preserve"> </w:t>
      </w:r>
      <w:r w:rsidR="004338E9">
        <w:rPr>
          <w:rFonts w:ascii="Times New Roman" w:hAnsi="Times New Roman"/>
          <w:noProof w:val="0"/>
          <w:sz w:val="32"/>
          <w:szCs w:val="32"/>
        </w:rPr>
        <w:t xml:space="preserve">                   </w:t>
      </w:r>
      <w:r w:rsidR="00366425">
        <w:rPr>
          <w:rFonts w:ascii="Times New Roman" w:hAnsi="Times New Roman"/>
          <w:noProof w:val="0"/>
          <w:sz w:val="32"/>
          <w:szCs w:val="32"/>
        </w:rPr>
        <w:t xml:space="preserve"> </w:t>
      </w:r>
      <w:r w:rsidR="00810BDD" w:rsidRPr="00810BDD">
        <w:rPr>
          <w:rFonts w:ascii="Times New Roman" w:hAnsi="Times New Roman"/>
          <w:noProof w:val="0"/>
          <w:sz w:val="28"/>
          <w:szCs w:val="28"/>
        </w:rPr>
        <w:t>R4-2513467</w:t>
      </w:r>
    </w:p>
    <w:p w14:paraId="7CE02AE3" w14:textId="4A987AE1" w:rsidR="002616D0" w:rsidRDefault="00A363CF" w:rsidP="00A5302A">
      <w:pPr>
        <w:pStyle w:val="a6"/>
        <w:ind w:leftChars="100" w:left="200"/>
        <w:jc w:val="both"/>
        <w:rPr>
          <w:rFonts w:ascii="Times New Roman" w:hAnsi="Times New Roman"/>
          <w:i w:val="0"/>
          <w:sz w:val="24"/>
        </w:rPr>
      </w:pPr>
      <w:r w:rsidRPr="00A363CF">
        <w:rPr>
          <w:rFonts w:ascii="Times New Roman" w:hAnsi="Times New Roman"/>
          <w:i w:val="0"/>
          <w:sz w:val="24"/>
        </w:rPr>
        <w:t>Prague, Czech Republic, 13-17 October 2025</w:t>
      </w:r>
    </w:p>
    <w:p w14:paraId="503ABEAA" w14:textId="77777777" w:rsidR="00861E40" w:rsidRPr="002616D0" w:rsidRDefault="00861E40" w:rsidP="00A5302A">
      <w:pPr>
        <w:pStyle w:val="a6"/>
        <w:ind w:leftChars="100" w:left="200"/>
        <w:jc w:val="both"/>
        <w:rPr>
          <w:rFonts w:ascii="Times New Roman" w:eastAsiaTheme="minorEastAsia" w:hAnsi="Times New Roman"/>
          <w:noProof w:val="0"/>
        </w:rPr>
      </w:pPr>
    </w:p>
    <w:p w14:paraId="43098454" w14:textId="1D8853ED" w:rsidR="00AD7AC5" w:rsidRPr="00A5302A" w:rsidRDefault="00AD7AC5" w:rsidP="00A5302A">
      <w:pPr>
        <w:ind w:leftChars="100" w:left="200"/>
        <w:jc w:val="both"/>
        <w:rPr>
          <w:sz w:val="24"/>
          <w:lang w:val="en-US" w:eastAsia="zh-CN"/>
        </w:rPr>
      </w:pPr>
      <w:r w:rsidRPr="00A5302A">
        <w:rPr>
          <w:b/>
          <w:sz w:val="24"/>
          <w:lang w:val="en-US"/>
        </w:rPr>
        <w:t>Title:</w:t>
      </w:r>
      <w:r w:rsidRPr="00A5302A">
        <w:rPr>
          <w:sz w:val="24"/>
          <w:lang w:val="en-US"/>
        </w:rPr>
        <w:t xml:space="preserve"> </w:t>
      </w:r>
      <w:r w:rsidRPr="00A5302A">
        <w:rPr>
          <w:sz w:val="24"/>
          <w:lang w:val="en-US"/>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867962" w:rsidRPr="00A5302A">
        <w:rPr>
          <w:rFonts w:eastAsia="宋体"/>
          <w:sz w:val="24"/>
          <w:lang w:val="en-US" w:eastAsia="zh-CN"/>
        </w:rPr>
        <w:t xml:space="preserve">Discussion on FR2-1 L3 measurement delay by </w:t>
      </w:r>
      <w:proofErr w:type="spellStart"/>
      <w:r w:rsidR="00CE58E7">
        <w:rPr>
          <w:rFonts w:eastAsia="宋体"/>
          <w:sz w:val="24"/>
          <w:lang w:val="en-US" w:eastAsia="zh-CN"/>
        </w:rPr>
        <w:t>optimising</w:t>
      </w:r>
      <w:proofErr w:type="spellEnd"/>
      <w:r w:rsidR="00867962" w:rsidRPr="00A5302A">
        <w:rPr>
          <w:rFonts w:eastAsia="宋体"/>
          <w:sz w:val="24"/>
          <w:lang w:val="en-US" w:eastAsia="zh-CN"/>
        </w:rPr>
        <w:t xml:space="preserve"> CSSF outside gap in CA/DC</w:t>
      </w:r>
    </w:p>
    <w:p w14:paraId="5F2672BD" w14:textId="06AC9E05" w:rsidR="00070561" w:rsidRPr="00A5302A" w:rsidRDefault="00070561" w:rsidP="00A5302A">
      <w:pPr>
        <w:tabs>
          <w:tab w:val="left" w:pos="1985"/>
        </w:tabs>
        <w:ind w:leftChars="100" w:left="200"/>
        <w:jc w:val="both"/>
        <w:rPr>
          <w:rFonts w:eastAsiaTheme="minorEastAsia"/>
          <w:sz w:val="24"/>
          <w:lang w:val="en-US" w:eastAsia="zh-CN"/>
        </w:rPr>
      </w:pPr>
      <w:r w:rsidRPr="00A5302A">
        <w:rPr>
          <w:b/>
          <w:sz w:val="24"/>
          <w:lang w:val="en-US"/>
        </w:rPr>
        <w:t xml:space="preserve">Source: </w:t>
      </w:r>
      <w:r w:rsidRPr="00A5302A">
        <w:rPr>
          <w:b/>
          <w:sz w:val="24"/>
          <w:lang w:val="en-US"/>
        </w:rPr>
        <w:tab/>
      </w:r>
      <w:r w:rsidR="00A510C0" w:rsidRPr="00A5302A">
        <w:rPr>
          <w:sz w:val="24"/>
          <w:lang w:val="en-US" w:eastAsia="zh-CN"/>
        </w:rPr>
        <w:t>Huawei, HiSilic</w:t>
      </w:r>
      <w:r w:rsidR="008A61F6">
        <w:rPr>
          <w:sz w:val="24"/>
          <w:lang w:val="en-US" w:eastAsia="zh-CN"/>
        </w:rPr>
        <w:t>on</w:t>
      </w:r>
    </w:p>
    <w:p w14:paraId="610CAFE6" w14:textId="3A6FFF27" w:rsidR="00AD7AC5" w:rsidRPr="00A5302A" w:rsidRDefault="00AD7AC5" w:rsidP="00A5302A">
      <w:pPr>
        <w:tabs>
          <w:tab w:val="left" w:pos="1985"/>
        </w:tabs>
        <w:ind w:leftChars="100" w:left="200"/>
        <w:jc w:val="both"/>
        <w:rPr>
          <w:rFonts w:eastAsia="宋体"/>
          <w:sz w:val="24"/>
          <w:lang w:val="en-US" w:eastAsia="zh-CN"/>
        </w:rPr>
      </w:pPr>
      <w:r w:rsidRPr="00A5302A">
        <w:rPr>
          <w:b/>
          <w:sz w:val="24"/>
          <w:lang w:val="en-US"/>
        </w:rPr>
        <w:t>Agenda item:</w:t>
      </w:r>
      <w:r w:rsidRPr="00A5302A">
        <w:rPr>
          <w:sz w:val="24"/>
          <w:lang w:val="en-US"/>
        </w:rPr>
        <w:tab/>
      </w:r>
      <w:r w:rsidR="0061094B">
        <w:rPr>
          <w:rFonts w:eastAsia="宋体"/>
          <w:sz w:val="24"/>
          <w:lang w:val="en-US" w:eastAsia="zh-CN"/>
        </w:rPr>
        <w:t>4.15.1</w:t>
      </w:r>
    </w:p>
    <w:p w14:paraId="3EC4F255" w14:textId="77777777" w:rsidR="00070561" w:rsidRPr="00A5302A" w:rsidRDefault="00070561" w:rsidP="00A5302A">
      <w:pPr>
        <w:tabs>
          <w:tab w:val="left" w:pos="1985"/>
        </w:tabs>
        <w:ind w:leftChars="100" w:left="2180" w:hanging="1980"/>
        <w:jc w:val="both"/>
        <w:rPr>
          <w:sz w:val="24"/>
          <w:lang w:val="en-US" w:eastAsia="zh-CN"/>
        </w:rPr>
      </w:pPr>
      <w:r w:rsidRPr="00A5302A">
        <w:rPr>
          <w:b/>
          <w:sz w:val="24"/>
          <w:lang w:val="en-US"/>
        </w:rPr>
        <w:t>Document for:</w:t>
      </w:r>
      <w:r w:rsidR="0006427B" w:rsidRPr="00A5302A">
        <w:rPr>
          <w:sz w:val="24"/>
          <w:lang w:val="en-US"/>
        </w:rPr>
        <w:tab/>
      </w:r>
      <w:r w:rsidR="00A510C0" w:rsidRPr="00A5302A">
        <w:rPr>
          <w:sz w:val="24"/>
          <w:lang w:val="en-US" w:eastAsia="zh-CN"/>
        </w:rPr>
        <w:t>Discussion</w:t>
      </w:r>
    </w:p>
    <w:p w14:paraId="24917050" w14:textId="77777777" w:rsidR="00114F4F" w:rsidRPr="00A5302A" w:rsidRDefault="00114F4F"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Introduction</w:t>
      </w:r>
    </w:p>
    <w:p w14:paraId="688B2684" w14:textId="2CFDA2E5" w:rsidR="001E049C" w:rsidRDefault="00A529B9" w:rsidP="00F6755C">
      <w:pPr>
        <w:ind w:leftChars="100" w:left="200"/>
        <w:jc w:val="both"/>
        <w:rPr>
          <w:lang w:eastAsia="ja-JP"/>
        </w:rPr>
      </w:pPr>
      <w:r w:rsidRPr="00136033">
        <w:rPr>
          <w:lang w:eastAsia="ja-JP"/>
        </w:rPr>
        <w:t xml:space="preserve">The RRM Phase 5 </w:t>
      </w:r>
      <w:r w:rsidR="00F6755C" w:rsidRPr="00136033">
        <w:rPr>
          <w:rFonts w:eastAsia="宋体"/>
          <w:lang w:val="en-US" w:eastAsia="zh-CN"/>
        </w:rPr>
        <w:t xml:space="preserve">FR2-1 L3 measurement delay by </w:t>
      </w:r>
      <w:proofErr w:type="spellStart"/>
      <w:r w:rsidR="00446501" w:rsidRPr="00136033">
        <w:rPr>
          <w:rFonts w:eastAsia="宋体"/>
          <w:lang w:val="en-US" w:eastAsia="zh-CN"/>
        </w:rPr>
        <w:t>optimising</w:t>
      </w:r>
      <w:proofErr w:type="spellEnd"/>
      <w:r w:rsidR="00F6755C" w:rsidRPr="00136033">
        <w:rPr>
          <w:rFonts w:eastAsia="宋体"/>
          <w:lang w:val="en-US" w:eastAsia="zh-CN"/>
        </w:rPr>
        <w:t xml:space="preserve"> CSSF outside gap in CA/DC</w:t>
      </w:r>
      <w:r w:rsidR="00F6755C" w:rsidRPr="00136033">
        <w:rPr>
          <w:rFonts w:eastAsiaTheme="minorEastAsia" w:hint="eastAsia"/>
          <w:lang w:val="en-US" w:eastAsia="zh-CN"/>
        </w:rPr>
        <w:t xml:space="preserve"> </w:t>
      </w:r>
      <w:r w:rsidRPr="00136033">
        <w:rPr>
          <w:lang w:eastAsia="ja-JP"/>
        </w:rPr>
        <w:t>discussion, as outlined in</w:t>
      </w:r>
      <w:r w:rsidR="004A799D" w:rsidRPr="00136033">
        <w:rPr>
          <w:lang w:eastAsia="ja-JP"/>
        </w:rPr>
        <w:t xml:space="preserve"> </w:t>
      </w:r>
      <w:proofErr w:type="gramStart"/>
      <w:r w:rsidR="004A799D" w:rsidRPr="00136033">
        <w:rPr>
          <w:lang w:eastAsia="ja-JP"/>
        </w:rPr>
        <w:t>WF</w:t>
      </w:r>
      <w:r w:rsidR="00F6755C" w:rsidRPr="00136033">
        <w:rPr>
          <w:lang w:eastAsia="ja-JP"/>
        </w:rPr>
        <w:t>[</w:t>
      </w:r>
      <w:proofErr w:type="gramEnd"/>
      <w:r w:rsidR="00F6755C" w:rsidRPr="00136033">
        <w:rPr>
          <w:lang w:eastAsia="ja-JP"/>
        </w:rPr>
        <w:t>1]</w:t>
      </w:r>
      <w:r w:rsidRPr="00136033">
        <w:rPr>
          <w:lang w:eastAsia="ja-JP"/>
        </w:rPr>
        <w:t>, was</w:t>
      </w:r>
      <w:r w:rsidR="00842462" w:rsidRPr="00136033">
        <w:rPr>
          <w:lang w:eastAsia="ja-JP"/>
        </w:rPr>
        <w:t xml:space="preserve"> one of</w:t>
      </w:r>
      <w:r w:rsidRPr="00136033">
        <w:rPr>
          <w:lang w:eastAsia="ja-JP"/>
        </w:rPr>
        <w:t xml:space="preserve"> </w:t>
      </w:r>
      <w:r w:rsidR="001C02E6" w:rsidRPr="00136033">
        <w:rPr>
          <w:lang w:eastAsia="ja-JP"/>
        </w:rPr>
        <w:t xml:space="preserve">the </w:t>
      </w:r>
      <w:r w:rsidRPr="00136033">
        <w:rPr>
          <w:lang w:eastAsia="ja-JP"/>
        </w:rPr>
        <w:t>topic</w:t>
      </w:r>
      <w:r w:rsidR="001C02E6" w:rsidRPr="00136033">
        <w:rPr>
          <w:lang w:eastAsia="ja-JP"/>
        </w:rPr>
        <w:t>s</w:t>
      </w:r>
      <w:r w:rsidRPr="00136033">
        <w:rPr>
          <w:lang w:eastAsia="ja-JP"/>
        </w:rPr>
        <w:t xml:space="preserve"> during</w:t>
      </w:r>
      <w:r w:rsidR="004620F4" w:rsidRPr="00136033">
        <w:rPr>
          <w:lang w:eastAsia="ja-JP"/>
        </w:rPr>
        <w:t xml:space="preserve"> </w:t>
      </w:r>
      <w:r w:rsidR="00DC048B" w:rsidRPr="00136033">
        <w:rPr>
          <w:lang w:eastAsia="ja-JP"/>
        </w:rPr>
        <w:t xml:space="preserve">the </w:t>
      </w:r>
      <w:r w:rsidR="004620F4" w:rsidRPr="00136033">
        <w:rPr>
          <w:lang w:eastAsia="ja-JP"/>
        </w:rPr>
        <w:t>last meeting</w:t>
      </w:r>
      <w:r w:rsidRPr="00136033">
        <w:rPr>
          <w:lang w:eastAsia="ja-JP"/>
        </w:rPr>
        <w:t>. Key contributions from companies are detailed in</w:t>
      </w:r>
      <w:r w:rsidR="004A799D" w:rsidRPr="00136033">
        <w:rPr>
          <w:lang w:eastAsia="ja-JP"/>
        </w:rPr>
        <w:t xml:space="preserve"> </w:t>
      </w:r>
      <w:proofErr w:type="gramStart"/>
      <w:r w:rsidR="004A799D" w:rsidRPr="00136033">
        <w:rPr>
          <w:lang w:eastAsia="ja-JP"/>
        </w:rPr>
        <w:t>WF</w:t>
      </w:r>
      <w:r w:rsidR="00F6755C" w:rsidRPr="00136033">
        <w:rPr>
          <w:lang w:eastAsia="ja-JP"/>
        </w:rPr>
        <w:t>[</w:t>
      </w:r>
      <w:proofErr w:type="gramEnd"/>
      <w:r w:rsidR="00F6755C" w:rsidRPr="00136033">
        <w:rPr>
          <w:lang w:eastAsia="ja-JP"/>
        </w:rPr>
        <w:t>1]</w:t>
      </w:r>
      <w:r w:rsidRPr="00136033">
        <w:rPr>
          <w:lang w:eastAsia="ja-JP"/>
        </w:rPr>
        <w:t>. In this paper, we present our perspectives and contributions regarding FR2-1 L3 measurement delay, focusing on optimising the CSSF outside gap in CA/DC scenarios.</w:t>
      </w:r>
    </w:p>
    <w:p w14:paraId="195EEDE1" w14:textId="156DE415" w:rsidR="00393C75" w:rsidRPr="00393C75" w:rsidRDefault="00393C75" w:rsidP="00393C75">
      <w:pPr>
        <w:ind w:leftChars="100" w:left="200"/>
        <w:jc w:val="both"/>
        <w:rPr>
          <w:lang w:eastAsia="ja-JP"/>
        </w:rPr>
      </w:pPr>
      <w:bookmarkStart w:id="0" w:name="_Hlk131426020"/>
      <w:r w:rsidRPr="00393C75">
        <w:rPr>
          <w:lang w:eastAsia="ja-JP"/>
        </w:rPr>
        <w:t xml:space="preserve">The enhancement on fast SCell activation for UE supporting EMR was completed in previous meetings. In last RAN4 meeting, some maintenance issues and UE capability were discussed with agreements captured in [1]. In this contribution, we further provide our views on the UE capabilities. </w:t>
      </w:r>
      <w:bookmarkEnd w:id="0"/>
    </w:p>
    <w:p w14:paraId="5828DB75" w14:textId="2DD3FF9D" w:rsidR="008F0DF0" w:rsidRDefault="0015297C"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Discussion</w:t>
      </w:r>
    </w:p>
    <w:p w14:paraId="68B756BC" w14:textId="7391F303" w:rsidR="00ED63CB" w:rsidRDefault="00ED63CB" w:rsidP="00C952EE">
      <w:pPr>
        <w:ind w:firstLine="200"/>
        <w:rPr>
          <w:rFonts w:eastAsiaTheme="minorEastAsia"/>
          <w:b/>
          <w:bCs/>
          <w:sz w:val="24"/>
          <w:szCs w:val="24"/>
          <w:lang w:val="en-US" w:eastAsia="zh-CN"/>
        </w:rPr>
      </w:pPr>
      <w:r>
        <w:rPr>
          <w:rFonts w:eastAsiaTheme="minorEastAsia" w:hint="eastAsia"/>
          <w:b/>
          <w:bCs/>
          <w:sz w:val="24"/>
          <w:szCs w:val="24"/>
          <w:lang w:val="en-US" w:eastAsia="zh-CN"/>
        </w:rPr>
        <w:t>O</w:t>
      </w:r>
      <w:r w:rsidRPr="00ED63CB">
        <w:rPr>
          <w:rFonts w:eastAsiaTheme="minorEastAsia"/>
          <w:b/>
          <w:bCs/>
          <w:sz w:val="24"/>
          <w:szCs w:val="24"/>
          <w:lang w:val="en-US" w:eastAsia="zh-CN"/>
        </w:rPr>
        <w:t>ptimi</w:t>
      </w:r>
      <w:r w:rsidR="000461F4">
        <w:rPr>
          <w:rFonts w:eastAsiaTheme="minorEastAsia" w:hint="eastAsia"/>
          <w:b/>
          <w:bCs/>
          <w:sz w:val="24"/>
          <w:szCs w:val="24"/>
          <w:lang w:val="en-US" w:eastAsia="zh-CN"/>
        </w:rPr>
        <w:t>s</w:t>
      </w:r>
      <w:r w:rsidRPr="00ED63CB">
        <w:rPr>
          <w:rFonts w:eastAsiaTheme="minorEastAsia"/>
          <w:b/>
          <w:bCs/>
          <w:sz w:val="24"/>
          <w:szCs w:val="24"/>
          <w:lang w:val="en-US" w:eastAsia="zh-CN"/>
        </w:rPr>
        <w:t>ing Rx BSF</w:t>
      </w:r>
    </w:p>
    <w:p w14:paraId="4124B2CD" w14:textId="541315DC" w:rsidR="00A81C04" w:rsidRDefault="00A81C04" w:rsidP="000F2216">
      <w:pPr>
        <w:ind w:left="200"/>
        <w:jc w:val="both"/>
        <w:rPr>
          <w:rFonts w:eastAsiaTheme="minorEastAsia"/>
          <w:bCs/>
          <w:lang w:val="en-US" w:eastAsia="zh-CN"/>
        </w:rPr>
      </w:pPr>
      <w:r w:rsidRPr="00A81C04">
        <w:rPr>
          <w:rFonts w:eastAsiaTheme="minorEastAsia" w:hint="eastAsia"/>
          <w:bCs/>
          <w:lang w:val="en-US" w:eastAsia="zh-CN"/>
        </w:rPr>
        <w:t>I</w:t>
      </w:r>
      <w:r w:rsidRPr="00A81C04">
        <w:rPr>
          <w:rFonts w:eastAsiaTheme="minorEastAsia"/>
          <w:bCs/>
          <w:lang w:val="en-US" w:eastAsia="zh-CN"/>
        </w:rPr>
        <w:t xml:space="preserve">n the last meeting, there is one remaining issue about the </w:t>
      </w:r>
      <w:r>
        <w:rPr>
          <w:rFonts w:eastAsiaTheme="minorEastAsia"/>
          <w:bCs/>
          <w:lang w:val="en-US" w:eastAsia="zh-CN"/>
        </w:rPr>
        <w:t>BSF M</w:t>
      </w:r>
      <w:r w:rsidR="000F2216">
        <w:rPr>
          <w:rFonts w:eastAsiaTheme="minorEastAsia" w:hint="eastAsia"/>
          <w:bCs/>
          <w:lang w:val="en-US" w:eastAsia="zh-CN"/>
        </w:rPr>
        <w:t>O</w:t>
      </w:r>
      <w:r>
        <w:rPr>
          <w:rFonts w:eastAsiaTheme="minorEastAsia"/>
          <w:bCs/>
          <w:lang w:val="en-US" w:eastAsia="zh-CN"/>
        </w:rPr>
        <w:t xml:space="preserve"> select</w:t>
      </w:r>
      <w:r w:rsidR="009461B7">
        <w:rPr>
          <w:rFonts w:eastAsiaTheme="minorEastAsia"/>
          <w:bCs/>
          <w:lang w:val="en-US" w:eastAsia="zh-CN"/>
        </w:rPr>
        <w:t>ion</w:t>
      </w:r>
      <w:r>
        <w:rPr>
          <w:rFonts w:eastAsiaTheme="minorEastAsia"/>
          <w:bCs/>
          <w:lang w:val="en-US" w:eastAsia="zh-CN"/>
        </w:rPr>
        <w:t xml:space="preserve"> when multiple bands </w:t>
      </w:r>
      <w:r w:rsidR="000F2216">
        <w:rPr>
          <w:rFonts w:eastAsiaTheme="minorEastAsia"/>
          <w:bCs/>
          <w:lang w:val="en-US" w:eastAsia="zh-CN"/>
        </w:rPr>
        <w:t xml:space="preserve">are configured </w:t>
      </w:r>
      <w:r w:rsidR="009461B7">
        <w:rPr>
          <w:rFonts w:eastAsiaTheme="minorEastAsia"/>
          <w:bCs/>
          <w:lang w:val="en-US" w:eastAsia="zh-CN"/>
        </w:rPr>
        <w:t xml:space="preserve">for </w:t>
      </w:r>
      <w:r w:rsidR="000F2216">
        <w:rPr>
          <w:rFonts w:eastAsiaTheme="minorEastAsia"/>
          <w:bCs/>
          <w:lang w:val="en-US" w:eastAsia="zh-CN"/>
        </w:rPr>
        <w:t>BFS and report</w:t>
      </w:r>
      <w:r w:rsidR="009461B7">
        <w:rPr>
          <w:rFonts w:eastAsiaTheme="minorEastAsia"/>
          <w:bCs/>
          <w:lang w:val="en-US" w:eastAsia="zh-CN"/>
        </w:rPr>
        <w:t>ing</w:t>
      </w:r>
      <w:r w:rsidR="000F2216">
        <w:rPr>
          <w:rFonts w:eastAsiaTheme="minorEastAsia"/>
          <w:bCs/>
          <w:lang w:val="en-US" w:eastAsia="zh-CN"/>
        </w:rPr>
        <w:t>. One option captured in the WF [2] is captured in the following:</w:t>
      </w:r>
    </w:p>
    <w:tbl>
      <w:tblPr>
        <w:tblStyle w:val="afa"/>
        <w:tblW w:w="0" w:type="auto"/>
        <w:tblInd w:w="200" w:type="dxa"/>
        <w:tblLook w:val="04A0" w:firstRow="1" w:lastRow="0" w:firstColumn="1" w:lastColumn="0" w:noHBand="0" w:noVBand="1"/>
      </w:tblPr>
      <w:tblGrid>
        <w:gridCol w:w="9417"/>
      </w:tblGrid>
      <w:tr w:rsidR="000F2216" w14:paraId="193B4EAD" w14:textId="77777777" w:rsidTr="000F2216">
        <w:tc>
          <w:tcPr>
            <w:tcW w:w="9617" w:type="dxa"/>
          </w:tcPr>
          <w:p w14:paraId="32883678" w14:textId="77777777" w:rsidR="000F2216" w:rsidRDefault="000F2216" w:rsidP="000F2216">
            <w:pPr>
              <w:snapToGrid w:val="0"/>
              <w:spacing w:after="120"/>
              <w:rPr>
                <w:rFonts w:eastAsiaTheme="minorEastAsia"/>
                <w:bCs/>
                <w:iCs/>
                <w:szCs w:val="21"/>
                <w:lang w:val="en-US" w:eastAsia="zh-CN"/>
              </w:rPr>
            </w:pPr>
            <w:r>
              <w:rPr>
                <w:rFonts w:eastAsiaTheme="minorEastAsia"/>
                <w:bCs/>
                <w:iCs/>
                <w:szCs w:val="21"/>
                <w:lang w:val="en-US"/>
              </w:rPr>
              <w:t xml:space="preserve">Way forward: </w:t>
            </w:r>
          </w:p>
          <w:p w14:paraId="10AAF065" w14:textId="77777777" w:rsidR="000F2216" w:rsidRDefault="000F2216" w:rsidP="000F2216">
            <w:pPr>
              <w:pStyle w:val="afe"/>
              <w:numPr>
                <w:ilvl w:val="1"/>
                <w:numId w:val="24"/>
              </w:numPr>
              <w:autoSpaceDN w:val="0"/>
              <w:spacing w:after="120"/>
              <w:ind w:left="851"/>
              <w:contextualSpacing w:val="0"/>
              <w:rPr>
                <w:rFonts w:eastAsia="宋体"/>
                <w:lang w:val="en-GB"/>
              </w:rPr>
            </w:pPr>
            <w:r>
              <w:rPr>
                <w:rFonts w:eastAsia="宋体"/>
              </w:rPr>
              <w:t xml:space="preserve">Option 1: </w:t>
            </w:r>
          </w:p>
          <w:p w14:paraId="600ACBDA" w14:textId="1CF3C5C7" w:rsidR="000F2216" w:rsidRPr="000F2216" w:rsidRDefault="000F2216" w:rsidP="000F2216">
            <w:pPr>
              <w:pStyle w:val="afe"/>
              <w:numPr>
                <w:ilvl w:val="2"/>
                <w:numId w:val="24"/>
              </w:numPr>
              <w:overflowPunct w:val="0"/>
              <w:autoSpaceDE w:val="0"/>
              <w:autoSpaceDN w:val="0"/>
              <w:adjustRightInd w:val="0"/>
              <w:spacing w:after="180"/>
              <w:ind w:left="1276"/>
              <w:contextualSpacing w:val="0"/>
            </w:pPr>
            <w:r>
              <w:rPr>
                <w:rFonts w:eastAsiaTheme="minorEastAsia"/>
                <w:lang w:val="en-US"/>
              </w:rPr>
              <w:t xml:space="preserve">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 </w:t>
            </w:r>
          </w:p>
        </w:tc>
      </w:tr>
    </w:tbl>
    <w:p w14:paraId="5F85EF65" w14:textId="2BC50AD4" w:rsidR="000F2216" w:rsidRDefault="00BC3C0D" w:rsidP="000F2216">
      <w:pPr>
        <w:ind w:left="200"/>
        <w:jc w:val="both"/>
        <w:rPr>
          <w:snapToGrid w:val="0"/>
        </w:rPr>
      </w:pPr>
      <w:r>
        <w:rPr>
          <w:rFonts w:eastAsiaTheme="minorEastAsia"/>
          <w:bCs/>
          <w:lang w:val="en-US" w:eastAsia="zh-CN"/>
        </w:rPr>
        <w:t xml:space="preserve">The scenario that </w:t>
      </w:r>
      <w:r w:rsidR="001B2284">
        <w:rPr>
          <w:rFonts w:eastAsiaTheme="minorEastAsia"/>
          <w:bCs/>
          <w:lang w:val="en-US" w:eastAsia="zh-CN"/>
        </w:rPr>
        <w:t xml:space="preserve">the MOs </w:t>
      </w:r>
      <w:r w:rsidR="009461B7">
        <w:rPr>
          <w:rFonts w:eastAsiaTheme="minorEastAsia"/>
          <w:bCs/>
          <w:lang w:val="en-US" w:eastAsia="zh-CN"/>
        </w:rPr>
        <w:t xml:space="preserve">are </w:t>
      </w:r>
      <w:r>
        <w:rPr>
          <w:rFonts w:eastAsiaTheme="minorEastAsia"/>
          <w:bCs/>
          <w:lang w:val="en-US" w:eastAsia="zh-CN"/>
        </w:rPr>
        <w:t xml:space="preserve">configured </w:t>
      </w:r>
      <w:r w:rsidR="001B2284">
        <w:rPr>
          <w:rFonts w:eastAsiaTheme="minorEastAsia"/>
          <w:bCs/>
          <w:lang w:val="en-US" w:eastAsia="zh-CN"/>
        </w:rPr>
        <w:t>in multiple bands</w:t>
      </w:r>
      <w:r w:rsidR="009461B7">
        <w:rPr>
          <w:rFonts w:eastAsiaTheme="minorEastAsia"/>
          <w:bCs/>
          <w:lang w:val="en-US" w:eastAsia="zh-CN"/>
        </w:rPr>
        <w:t>,</w:t>
      </w:r>
      <w:r w:rsidR="001B2284">
        <w:rPr>
          <w:rFonts w:eastAsiaTheme="minorEastAsia"/>
          <w:bCs/>
          <w:lang w:val="en-US" w:eastAsia="zh-CN"/>
        </w:rPr>
        <w:t xml:space="preserve"> and </w:t>
      </w:r>
      <w:r w:rsidR="009461B7">
        <w:rPr>
          <w:rFonts w:eastAsiaTheme="minorEastAsia"/>
          <w:bCs/>
          <w:lang w:val="en-US" w:eastAsia="zh-CN"/>
        </w:rPr>
        <w:t xml:space="preserve">the </w:t>
      </w:r>
      <w:r w:rsidR="001B2284">
        <w:rPr>
          <w:rFonts w:eastAsiaTheme="minorEastAsia"/>
          <w:bCs/>
          <w:lang w:val="en-US" w:eastAsia="zh-CN"/>
        </w:rPr>
        <w:t xml:space="preserve">UE report the </w:t>
      </w:r>
      <w:r w:rsidR="001B2284">
        <w:rPr>
          <w:snapToGrid w:val="0"/>
        </w:rPr>
        <w:t>RSRP/RSRQ value for BSF</w:t>
      </w:r>
      <w:r>
        <w:rPr>
          <w:snapToGrid w:val="0"/>
        </w:rPr>
        <w:t xml:space="preserve">. If UE report the RSRP/RSRQ value of all these MOs meet the threshold of BSF, which MO </w:t>
      </w:r>
      <w:r w:rsidR="009461B7">
        <w:rPr>
          <w:snapToGrid w:val="0"/>
        </w:rPr>
        <w:t>should be set as the BSF MO is the issue. However, the scenario of the BSF is one FR2-2 serving MO and one target MO. When the serving cell RSRP decreases, the UE will start the target fast measurement on the MO that is configured by the network. Therefore, the multiple band MOs need UE to do the BSF is not in the Rel-19 BSF scope.</w:t>
      </w:r>
    </w:p>
    <w:p w14:paraId="57C269CE" w14:textId="001EEFB0" w:rsidR="009461B7" w:rsidRPr="009461B7" w:rsidRDefault="009461B7" w:rsidP="000F2216">
      <w:pPr>
        <w:ind w:left="200"/>
        <w:jc w:val="both"/>
        <w:rPr>
          <w:rFonts w:eastAsiaTheme="minorEastAsia"/>
          <w:b/>
          <w:bCs/>
          <w:lang w:val="en-US" w:eastAsia="zh-CN"/>
        </w:rPr>
      </w:pPr>
      <w:r w:rsidRPr="009461B7">
        <w:rPr>
          <w:rFonts w:eastAsiaTheme="minorEastAsia" w:hint="eastAsia"/>
          <w:b/>
          <w:bCs/>
          <w:snapToGrid w:val="0"/>
          <w:lang w:eastAsia="zh-CN"/>
        </w:rPr>
        <w:t>P</w:t>
      </w:r>
      <w:r w:rsidRPr="009461B7">
        <w:rPr>
          <w:rFonts w:eastAsiaTheme="minorEastAsia"/>
          <w:b/>
          <w:bCs/>
          <w:snapToGrid w:val="0"/>
          <w:lang w:eastAsia="zh-CN"/>
        </w:rPr>
        <w:t xml:space="preserve">roposal 1: The scenario that </w:t>
      </w:r>
      <w:r w:rsidRPr="009461B7">
        <w:rPr>
          <w:rFonts w:eastAsiaTheme="minorEastAsia"/>
          <w:b/>
          <w:bCs/>
          <w:lang w:val="en-US"/>
        </w:rPr>
        <w:t xml:space="preserve">multiple bands are involved and UE reports different BSF values for different bands is out of the Rel-19 BSF scope. Since the scenario </w:t>
      </w:r>
      <w:r>
        <w:rPr>
          <w:rFonts w:eastAsiaTheme="minorEastAsia"/>
          <w:b/>
          <w:bCs/>
          <w:lang w:val="en-US"/>
        </w:rPr>
        <w:t>of Rel-19 BSF is</w:t>
      </w:r>
      <w:r w:rsidRPr="009461B7">
        <w:rPr>
          <w:rFonts w:eastAsiaTheme="minorEastAsia"/>
          <w:b/>
          <w:bCs/>
          <w:lang w:val="en-US"/>
        </w:rPr>
        <w:t xml:space="preserve"> one serving cell and one target MO.</w:t>
      </w:r>
    </w:p>
    <w:p w14:paraId="046D1550" w14:textId="6017B9F6" w:rsidR="00393C75" w:rsidRPr="00393C75" w:rsidRDefault="00393C75" w:rsidP="00455C75">
      <w:pPr>
        <w:ind w:firstLine="200"/>
        <w:rPr>
          <w:rFonts w:eastAsiaTheme="minorEastAsia"/>
          <w:b/>
          <w:bCs/>
          <w:sz w:val="24"/>
          <w:szCs w:val="24"/>
          <w:lang w:val="en-US" w:eastAsia="zh-CN"/>
        </w:rPr>
      </w:pPr>
      <w:r w:rsidRPr="00393C75">
        <w:rPr>
          <w:rFonts w:eastAsiaTheme="minorEastAsia"/>
          <w:b/>
          <w:bCs/>
          <w:sz w:val="24"/>
          <w:szCs w:val="24"/>
          <w:lang w:val="en-US" w:eastAsia="zh-CN"/>
        </w:rPr>
        <w:t>Optimising CSSF outside gap</w:t>
      </w:r>
    </w:p>
    <w:p w14:paraId="71BEF9E1" w14:textId="09460324" w:rsidR="003862B7" w:rsidRPr="00393C75" w:rsidRDefault="00B6139F" w:rsidP="00393C75">
      <w:pPr>
        <w:ind w:left="200"/>
        <w:jc w:val="both"/>
        <w:rPr>
          <w:rFonts w:eastAsiaTheme="minorEastAsia"/>
          <w:bCs/>
          <w:lang w:eastAsia="zh-CN"/>
        </w:rPr>
      </w:pPr>
      <w:r w:rsidRPr="00136033">
        <w:rPr>
          <w:rFonts w:eastAsiaTheme="minorEastAsia"/>
          <w:bCs/>
          <w:lang w:val="en-US" w:eastAsia="zh-CN"/>
        </w:rPr>
        <w:t xml:space="preserve">In </w:t>
      </w:r>
      <w:r w:rsidR="00EB7AA3" w:rsidRPr="00136033">
        <w:rPr>
          <w:rFonts w:eastAsiaTheme="minorEastAsia"/>
          <w:bCs/>
          <w:lang w:val="en-US" w:eastAsia="zh-CN"/>
        </w:rPr>
        <w:t xml:space="preserve">the last meeting, the companies agreed to introduce </w:t>
      </w:r>
      <w:r w:rsidR="00B2032D">
        <w:rPr>
          <w:rFonts w:eastAsiaTheme="minorEastAsia"/>
          <w:bCs/>
          <w:lang w:val="en-US" w:eastAsia="zh-CN"/>
        </w:rPr>
        <w:t>S</w:t>
      </w:r>
      <w:r w:rsidR="00EB7AA3" w:rsidRPr="00136033">
        <w:rPr>
          <w:rFonts w:eastAsiaTheme="minorEastAsia"/>
          <w:bCs/>
          <w:lang w:val="en-US" w:eastAsia="zh-CN"/>
        </w:rPr>
        <w:t xml:space="preserve">olution 1 and </w:t>
      </w:r>
      <w:r w:rsidR="00B2032D">
        <w:rPr>
          <w:rFonts w:eastAsiaTheme="minorEastAsia"/>
          <w:bCs/>
          <w:lang w:val="en-US" w:eastAsia="zh-CN"/>
        </w:rPr>
        <w:t>S</w:t>
      </w:r>
      <w:r w:rsidR="00EB7AA3" w:rsidRPr="00136033">
        <w:rPr>
          <w:rFonts w:eastAsiaTheme="minorEastAsia"/>
          <w:bCs/>
          <w:lang w:val="en-US" w:eastAsia="zh-CN"/>
        </w:rPr>
        <w:t>olution 3.</w:t>
      </w:r>
      <w:r w:rsidR="00F80E8D" w:rsidRPr="00136033">
        <w:rPr>
          <w:rFonts w:eastAsiaTheme="minorEastAsia"/>
          <w:bCs/>
          <w:lang w:val="en-US" w:eastAsia="zh-CN"/>
        </w:rPr>
        <w:t xml:space="preserve"> </w:t>
      </w:r>
      <w:r w:rsidR="003862B7" w:rsidRPr="00136033">
        <w:rPr>
          <w:rFonts w:eastAsiaTheme="minorEastAsia"/>
          <w:bCs/>
          <w:lang w:val="en-US" w:eastAsia="zh-CN"/>
        </w:rPr>
        <w:t>For these two solutions, there are still some parts that need to be discussed. There are two points we would like to provide our views which are whether solution 1 is possible to extend to the FR1 and FFS of solution 3.</w:t>
      </w:r>
    </w:p>
    <w:p w14:paraId="0E6A1C4E" w14:textId="60ABD825" w:rsidR="00EA3D3F" w:rsidRPr="00C23129" w:rsidRDefault="00A70920" w:rsidP="00EB2D3F">
      <w:pPr>
        <w:ind w:firstLine="200"/>
        <w:jc w:val="both"/>
        <w:rPr>
          <w:rFonts w:eastAsiaTheme="minorEastAsia"/>
          <w:b/>
          <w:bCs/>
          <w:sz w:val="24"/>
          <w:szCs w:val="24"/>
          <w:u w:val="single"/>
          <w:lang w:eastAsia="zh-CN"/>
        </w:rPr>
      </w:pPr>
      <w:r>
        <w:rPr>
          <w:rFonts w:eastAsiaTheme="minorEastAsia"/>
          <w:b/>
          <w:bCs/>
          <w:sz w:val="24"/>
          <w:szCs w:val="24"/>
          <w:u w:val="single"/>
          <w:lang w:eastAsia="zh-CN"/>
        </w:rPr>
        <w:t>S</w:t>
      </w:r>
      <w:r w:rsidR="00EA3D3F" w:rsidRPr="00A70920">
        <w:rPr>
          <w:rFonts w:eastAsiaTheme="minorEastAsia"/>
          <w:b/>
          <w:bCs/>
          <w:sz w:val="24"/>
          <w:szCs w:val="24"/>
          <w:u w:val="single"/>
          <w:lang w:eastAsia="zh-CN"/>
        </w:rPr>
        <w:t>olution</w:t>
      </w:r>
      <w:r>
        <w:rPr>
          <w:rFonts w:eastAsiaTheme="minorEastAsia"/>
          <w:b/>
          <w:bCs/>
          <w:sz w:val="24"/>
          <w:szCs w:val="24"/>
          <w:u w:val="single"/>
          <w:lang w:eastAsia="zh-CN"/>
        </w:rPr>
        <w:t xml:space="preserve"> 3</w:t>
      </w:r>
    </w:p>
    <w:p w14:paraId="7A8557A2" w14:textId="31E6A942" w:rsidR="00A42346" w:rsidRPr="00EB2D3F" w:rsidRDefault="006C31D6" w:rsidP="00EB2D3F">
      <w:pPr>
        <w:ind w:leftChars="142" w:left="284" w:firstLine="16"/>
        <w:jc w:val="both"/>
        <w:rPr>
          <w:rFonts w:eastAsiaTheme="minorEastAsia"/>
          <w:lang w:eastAsia="zh-CN"/>
        </w:rPr>
      </w:pPr>
      <w:r w:rsidRPr="00EB2D3F">
        <w:rPr>
          <w:rFonts w:eastAsiaTheme="minorEastAsia"/>
          <w:lang w:eastAsia="zh-CN"/>
        </w:rPr>
        <w:t>In the l</w:t>
      </w:r>
      <w:r w:rsidR="00CB7A3C" w:rsidRPr="00EB2D3F">
        <w:rPr>
          <w:rFonts w:eastAsiaTheme="minorEastAsia"/>
          <w:lang w:eastAsia="zh-CN"/>
        </w:rPr>
        <w:t>ast meeting</w:t>
      </w:r>
      <w:r w:rsidRPr="00EB2D3F">
        <w:rPr>
          <w:rFonts w:eastAsiaTheme="minorEastAsia"/>
          <w:lang w:eastAsia="zh-CN"/>
        </w:rPr>
        <w:t xml:space="preserve">, </w:t>
      </w:r>
      <w:r w:rsidR="00CB7A3C" w:rsidRPr="00EB2D3F">
        <w:rPr>
          <w:rFonts w:eastAsiaTheme="minorEastAsia"/>
          <w:lang w:eastAsia="zh-CN"/>
        </w:rPr>
        <w:t xml:space="preserve">the </w:t>
      </w:r>
      <w:r w:rsidR="004A3401" w:rsidRPr="00EB2D3F">
        <w:rPr>
          <w:rFonts w:eastAsiaTheme="minorEastAsia"/>
          <w:lang w:eastAsia="zh-CN"/>
        </w:rPr>
        <w:t xml:space="preserve">3-searcher </w:t>
      </w:r>
      <w:r w:rsidR="00BE4A59" w:rsidRPr="00EB2D3F">
        <w:rPr>
          <w:rFonts w:eastAsiaTheme="minorEastAsia" w:hint="eastAsia"/>
          <w:lang w:eastAsia="zh-CN"/>
        </w:rPr>
        <w:t>solution</w:t>
      </w:r>
      <w:r w:rsidR="00CB7A3C" w:rsidRPr="00EB2D3F">
        <w:rPr>
          <w:rFonts w:eastAsiaTheme="minorEastAsia"/>
          <w:lang w:eastAsia="zh-CN"/>
        </w:rPr>
        <w:t xml:space="preserve"> </w:t>
      </w:r>
      <w:r w:rsidR="00BE4A59" w:rsidRPr="00EB2D3F">
        <w:rPr>
          <w:rFonts w:eastAsiaTheme="minorEastAsia"/>
          <w:lang w:eastAsia="zh-CN"/>
        </w:rPr>
        <w:t>CR has been endorsed</w:t>
      </w:r>
      <w:r w:rsidR="004703C6" w:rsidRPr="00EB2D3F">
        <w:rPr>
          <w:rFonts w:eastAsiaTheme="minorEastAsia"/>
          <w:lang w:eastAsia="zh-CN"/>
        </w:rPr>
        <w:t>;</w:t>
      </w:r>
      <w:r w:rsidR="00BE4A59" w:rsidRPr="00EB2D3F">
        <w:rPr>
          <w:rFonts w:eastAsiaTheme="minorEastAsia"/>
          <w:lang w:eastAsia="zh-CN"/>
        </w:rPr>
        <w:t xml:space="preserve"> some remaining issues need to be discussed. </w:t>
      </w:r>
      <w:bookmarkStart w:id="1" w:name="OLE_LINK9"/>
      <w:bookmarkStart w:id="2" w:name="OLE_LINK10"/>
    </w:p>
    <w:p w14:paraId="56862B0F" w14:textId="07662C4A" w:rsidR="003F740C" w:rsidRDefault="003F740C" w:rsidP="003F740C">
      <w:pPr>
        <w:ind w:leftChars="100" w:left="200"/>
        <w:jc w:val="both"/>
        <w:rPr>
          <w:rFonts w:eastAsiaTheme="minorEastAsia"/>
          <w:b/>
          <w:bCs/>
          <w:sz w:val="24"/>
          <w:szCs w:val="24"/>
          <w:lang w:eastAsia="zh-CN"/>
        </w:rPr>
      </w:pPr>
      <w:r>
        <w:rPr>
          <w:rFonts w:eastAsiaTheme="minorEastAsia"/>
          <w:b/>
          <w:bCs/>
          <w:sz w:val="24"/>
          <w:szCs w:val="24"/>
          <w:lang w:eastAsia="zh-CN"/>
        </w:rPr>
        <w:t xml:space="preserve">Issue of </w:t>
      </w:r>
      <w:r w:rsidR="00BE4A59">
        <w:rPr>
          <w:rFonts w:eastAsiaTheme="minorEastAsia"/>
          <w:b/>
          <w:bCs/>
          <w:sz w:val="24"/>
          <w:szCs w:val="24"/>
          <w:lang w:eastAsia="zh-CN"/>
        </w:rPr>
        <w:t>inter-frequency measurement in SA mode</w:t>
      </w:r>
    </w:p>
    <w:p w14:paraId="75BDCA2D" w14:textId="72816D54" w:rsidR="00EA6BD3" w:rsidRPr="00FD11E4" w:rsidRDefault="00EA6BD3" w:rsidP="00EB2D3F">
      <w:pPr>
        <w:ind w:leftChars="142" w:left="284" w:firstLine="16"/>
        <w:jc w:val="both"/>
        <w:rPr>
          <w:rFonts w:eastAsiaTheme="minorEastAsia"/>
          <w:lang w:eastAsia="zh-CN"/>
        </w:rPr>
      </w:pPr>
      <w:r w:rsidRPr="00FD11E4">
        <w:rPr>
          <w:rFonts w:eastAsiaTheme="minorEastAsia"/>
          <w:lang w:eastAsia="zh-CN"/>
        </w:rPr>
        <w:lastRenderedPageBreak/>
        <w:t>The agreement in the last meeting</w:t>
      </w:r>
      <w:r w:rsidR="00FD11E4" w:rsidRPr="00FD11E4">
        <w:rPr>
          <w:rFonts w:eastAsiaTheme="minorEastAsia"/>
          <w:lang w:eastAsia="zh-CN"/>
        </w:rPr>
        <w:t xml:space="preserve"> that captured in the </w:t>
      </w:r>
      <w:proofErr w:type="gramStart"/>
      <w:r w:rsidR="00FD11E4" w:rsidRPr="00FD11E4">
        <w:rPr>
          <w:rFonts w:eastAsiaTheme="minorEastAsia"/>
          <w:lang w:eastAsia="zh-CN"/>
        </w:rPr>
        <w:t>WF[</w:t>
      </w:r>
      <w:proofErr w:type="gramEnd"/>
      <w:r w:rsidR="00FD11E4" w:rsidRPr="00FD11E4">
        <w:rPr>
          <w:rFonts w:eastAsiaTheme="minorEastAsia"/>
          <w:lang w:eastAsia="zh-CN"/>
        </w:rPr>
        <w:t>1].</w:t>
      </w:r>
    </w:p>
    <w:tbl>
      <w:tblPr>
        <w:tblStyle w:val="afa"/>
        <w:tblW w:w="0" w:type="auto"/>
        <w:tblInd w:w="200" w:type="dxa"/>
        <w:tblLook w:val="04A0" w:firstRow="1" w:lastRow="0" w:firstColumn="1" w:lastColumn="0" w:noHBand="0" w:noVBand="1"/>
      </w:tblPr>
      <w:tblGrid>
        <w:gridCol w:w="9417"/>
      </w:tblGrid>
      <w:tr w:rsidR="00EA6BD3" w14:paraId="3DF66F66" w14:textId="77777777" w:rsidTr="00144C5E">
        <w:tc>
          <w:tcPr>
            <w:tcW w:w="9417" w:type="dxa"/>
          </w:tcPr>
          <w:p w14:paraId="7D55717D" w14:textId="77777777" w:rsidR="00513D6E" w:rsidRDefault="00513D6E" w:rsidP="00513D6E">
            <w:pPr>
              <w:rPr>
                <w:b/>
                <w:color w:val="0070C0"/>
                <w:u w:val="single"/>
                <w:lang w:eastAsia="ko-KR"/>
              </w:rPr>
            </w:pPr>
            <w:r>
              <w:rPr>
                <w:b/>
                <w:color w:val="0070C0"/>
                <w:u w:val="single"/>
                <w:lang w:eastAsia="ko-KR"/>
              </w:rPr>
              <w:t>Issue 1-2-1: applicability limitation for solution 3</w:t>
            </w:r>
          </w:p>
          <w:p w14:paraId="790F4843" w14:textId="77777777" w:rsidR="00513D6E" w:rsidRPr="00883AB2" w:rsidRDefault="00513D6E" w:rsidP="00513D6E">
            <w:pPr>
              <w:rPr>
                <w:iCs/>
                <w:highlight w:val="green"/>
              </w:rPr>
            </w:pPr>
            <w:r w:rsidRPr="00883AB2">
              <w:rPr>
                <w:iCs/>
                <w:highlight w:val="green"/>
              </w:rPr>
              <w:t>Agreement:</w:t>
            </w:r>
          </w:p>
          <w:p w14:paraId="5A54267A" w14:textId="77777777" w:rsidR="00513D6E" w:rsidRPr="00883AB2" w:rsidRDefault="00513D6E" w:rsidP="00513D6E">
            <w:pPr>
              <w:rPr>
                <w:rFonts w:eastAsia="等线"/>
                <w:highlight w:val="green"/>
              </w:rPr>
            </w:pPr>
            <w:r w:rsidRPr="00883AB2">
              <w:rPr>
                <w:rFonts w:eastAsia="等线"/>
                <w:highlight w:val="green"/>
              </w:rPr>
              <w:t xml:space="preserve">For UE supporting [new 3-searcher capability] the Enhanced </w:t>
            </w:r>
            <w:proofErr w:type="spellStart"/>
            <w:r w:rsidRPr="00883AB2">
              <w:rPr>
                <w:rFonts w:eastAsia="等线"/>
                <w:highlight w:val="green"/>
              </w:rPr>
              <w:t>CSSF</w:t>
            </w:r>
            <w:r w:rsidRPr="00883AB2">
              <w:rPr>
                <w:rFonts w:eastAsia="等线"/>
                <w:highlight w:val="green"/>
                <w:vertAlign w:val="subscript"/>
              </w:rPr>
              <w:t>outside_</w:t>
            </w:r>
            <w:proofErr w:type="gramStart"/>
            <w:r w:rsidRPr="00883AB2">
              <w:rPr>
                <w:rFonts w:eastAsia="等线"/>
                <w:highlight w:val="green"/>
                <w:vertAlign w:val="subscript"/>
              </w:rPr>
              <w:t>gap,i</w:t>
            </w:r>
            <w:proofErr w:type="spellEnd"/>
            <w:proofErr w:type="gramEnd"/>
            <w:r w:rsidRPr="00883AB2">
              <w:rPr>
                <w:rFonts w:eastAsia="等线"/>
                <w:highlight w:val="green"/>
              </w:rPr>
              <w:t xml:space="preserve"> scaling factor does not apply for the E-UTRA inter-RAT MOs without MG (for the scenario of NR SA) that are being measured outside of MG.</w:t>
            </w:r>
          </w:p>
          <w:p w14:paraId="69550523" w14:textId="77777777" w:rsidR="00513D6E" w:rsidRPr="00883AB2" w:rsidRDefault="00513D6E" w:rsidP="00513D6E">
            <w:pPr>
              <w:rPr>
                <w:rFonts w:eastAsia="等线"/>
                <w:highlight w:val="green"/>
              </w:rPr>
            </w:pPr>
          </w:p>
          <w:p w14:paraId="4E87773E" w14:textId="52530769" w:rsidR="00EA6BD3" w:rsidRPr="00513D6E" w:rsidRDefault="00513D6E" w:rsidP="00513D6E">
            <w:pPr>
              <w:rPr>
                <w:i/>
                <w:color w:val="0070C0"/>
              </w:rPr>
            </w:pPr>
            <w:r w:rsidRPr="00883AB2">
              <w:rPr>
                <w:rFonts w:eastAsia="等线"/>
                <w:highlight w:val="green"/>
              </w:rPr>
              <w:t xml:space="preserve">FFS: For UE supporting [new 3-searcher capability], whether or not the Enhanced </w:t>
            </w:r>
            <w:proofErr w:type="spellStart"/>
            <w:r w:rsidRPr="00883AB2">
              <w:rPr>
                <w:rFonts w:eastAsia="等线"/>
                <w:highlight w:val="green"/>
              </w:rPr>
              <w:t>CSSF</w:t>
            </w:r>
            <w:r w:rsidRPr="00883AB2">
              <w:rPr>
                <w:rFonts w:eastAsia="等线"/>
                <w:highlight w:val="green"/>
                <w:vertAlign w:val="subscript"/>
              </w:rPr>
              <w:t>outside_</w:t>
            </w:r>
            <w:proofErr w:type="gramStart"/>
            <w:r w:rsidRPr="00883AB2">
              <w:rPr>
                <w:rFonts w:eastAsia="等线"/>
                <w:highlight w:val="green"/>
                <w:vertAlign w:val="subscript"/>
              </w:rPr>
              <w:t>gap,i</w:t>
            </w:r>
            <w:proofErr w:type="spellEnd"/>
            <w:proofErr w:type="gramEnd"/>
            <w:r w:rsidRPr="00883AB2">
              <w:rPr>
                <w:rFonts w:eastAsia="等线"/>
                <w:highlight w:val="green"/>
              </w:rPr>
              <w:t xml:space="preserve"> scaling factor applies for the inter-frequency MOs without MG that are being measured outside of MG. This part can be discussed in maintenance stage.</w:t>
            </w:r>
          </w:p>
        </w:tc>
      </w:tr>
    </w:tbl>
    <w:p w14:paraId="197B084E" w14:textId="2374F3B0" w:rsidR="004020C7" w:rsidRPr="00EB2D3F" w:rsidRDefault="00144C5E" w:rsidP="00EB2D3F">
      <w:pPr>
        <w:ind w:leftChars="142" w:left="284" w:firstLine="16"/>
        <w:jc w:val="both"/>
        <w:rPr>
          <w:rFonts w:eastAsiaTheme="minorEastAsia"/>
          <w:lang w:eastAsia="zh-CN"/>
        </w:rPr>
      </w:pPr>
      <w:r w:rsidRPr="00EB2D3F">
        <w:rPr>
          <w:rFonts w:eastAsiaTheme="minorEastAsia"/>
          <w:lang w:eastAsia="zh-CN"/>
        </w:rPr>
        <w:t xml:space="preserve">Following the last RAN4 meeting, it was agreed that inter-RAT measurements without measurement gap would be conducted using the legacy two-searcher approach. </w:t>
      </w:r>
      <w:r w:rsidR="00CE3FBE" w:rsidRPr="00EB2D3F">
        <w:rPr>
          <w:rFonts w:eastAsiaTheme="minorEastAsia"/>
          <w:lang w:eastAsia="zh-CN"/>
        </w:rPr>
        <w:t>This issue is related to the GAP enhancement. In our view, the</w:t>
      </w:r>
      <w:r w:rsidR="00780EC4" w:rsidRPr="00EB2D3F">
        <w:rPr>
          <w:rFonts w:eastAsiaTheme="minorEastAsia"/>
          <w:lang w:eastAsia="zh-CN"/>
        </w:rPr>
        <w:t xml:space="preserve"> MO</w:t>
      </w:r>
      <w:r w:rsidRPr="00EB2D3F">
        <w:rPr>
          <w:rFonts w:eastAsiaTheme="minorEastAsia"/>
          <w:lang w:eastAsia="zh-CN"/>
        </w:rPr>
        <w:t xml:space="preserve"> </w:t>
      </w:r>
      <w:r w:rsidR="00780EC4" w:rsidRPr="00EB2D3F">
        <w:rPr>
          <w:rFonts w:eastAsiaTheme="minorEastAsia"/>
          <w:lang w:eastAsia="zh-CN"/>
        </w:rPr>
        <w:t xml:space="preserve">without </w:t>
      </w:r>
      <w:r w:rsidR="00CE3FBE" w:rsidRPr="00EB2D3F">
        <w:rPr>
          <w:rFonts w:eastAsiaTheme="minorEastAsia"/>
          <w:lang w:eastAsia="zh-CN"/>
        </w:rPr>
        <w:t xml:space="preserve">measurement gap </w:t>
      </w:r>
      <w:proofErr w:type="gramStart"/>
      <w:r w:rsidR="00780EC4" w:rsidRPr="00EB2D3F">
        <w:rPr>
          <w:rFonts w:eastAsiaTheme="minorEastAsia"/>
          <w:lang w:eastAsia="zh-CN"/>
        </w:rPr>
        <w:t>are</w:t>
      </w:r>
      <w:proofErr w:type="gramEnd"/>
      <w:r w:rsidR="00CE3FBE" w:rsidRPr="00EB2D3F">
        <w:rPr>
          <w:rFonts w:eastAsiaTheme="minorEastAsia"/>
          <w:lang w:eastAsia="zh-CN"/>
        </w:rPr>
        <w:t xml:space="preserve"> </w:t>
      </w:r>
      <w:r w:rsidR="004020C7" w:rsidRPr="00EB2D3F">
        <w:rPr>
          <w:rFonts w:eastAsiaTheme="minorEastAsia"/>
          <w:lang w:eastAsia="zh-CN"/>
        </w:rPr>
        <w:t>the same type of MO and under the same restriction</w:t>
      </w:r>
      <w:r w:rsidR="00780EC4" w:rsidRPr="00EB2D3F">
        <w:rPr>
          <w:rFonts w:eastAsiaTheme="minorEastAsia"/>
          <w:lang w:eastAsia="zh-CN"/>
        </w:rPr>
        <w:t>;</w:t>
      </w:r>
      <w:r w:rsidR="004020C7" w:rsidRPr="00EB2D3F">
        <w:rPr>
          <w:rFonts w:eastAsiaTheme="minorEastAsia"/>
          <w:lang w:eastAsia="zh-CN"/>
        </w:rPr>
        <w:t xml:space="preserve"> UE can only handle one CC that is different from the serving CC at one m</w:t>
      </w:r>
      <w:r w:rsidR="00780EC4" w:rsidRPr="00EB2D3F">
        <w:rPr>
          <w:rFonts w:eastAsiaTheme="minorEastAsia"/>
          <w:lang w:eastAsia="zh-CN"/>
        </w:rPr>
        <w:t>ome</w:t>
      </w:r>
      <w:r w:rsidR="004020C7" w:rsidRPr="00EB2D3F">
        <w:rPr>
          <w:rFonts w:eastAsiaTheme="minorEastAsia"/>
          <w:lang w:eastAsia="zh-CN"/>
        </w:rPr>
        <w:t>nt.</w:t>
      </w:r>
      <w:r w:rsidR="00780EC4" w:rsidRPr="00EB2D3F">
        <w:rPr>
          <w:rFonts w:eastAsiaTheme="minorEastAsia"/>
          <w:lang w:eastAsia="zh-CN"/>
        </w:rPr>
        <w:t xml:space="preserve"> </w:t>
      </w:r>
      <w:r w:rsidR="004020C7" w:rsidRPr="00EB2D3F">
        <w:rPr>
          <w:rFonts w:eastAsiaTheme="minorEastAsia"/>
          <w:lang w:eastAsia="zh-CN"/>
        </w:rPr>
        <w:t xml:space="preserve">Here we would like to provide </w:t>
      </w:r>
      <w:r w:rsidR="00D95B4E">
        <w:rPr>
          <w:rFonts w:eastAsiaTheme="minorEastAsia"/>
          <w:lang w:eastAsia="zh-CN"/>
        </w:rPr>
        <w:t>one</w:t>
      </w:r>
      <w:r w:rsidR="004020C7" w:rsidRPr="00EB2D3F">
        <w:rPr>
          <w:rFonts w:eastAsiaTheme="minorEastAsia"/>
          <w:lang w:eastAsia="zh-CN"/>
        </w:rPr>
        <w:t xml:space="preserve"> example.</w:t>
      </w:r>
    </w:p>
    <w:p w14:paraId="39E6F582" w14:textId="77777777" w:rsidR="00780EC4" w:rsidRDefault="00FD11E4" w:rsidP="00780EC4">
      <w:pPr>
        <w:keepNext/>
        <w:jc w:val="center"/>
      </w:pPr>
      <w:r>
        <w:rPr>
          <w:rFonts w:eastAsiaTheme="minorEastAsia" w:hint="eastAsia"/>
          <w:lang w:eastAsia="zh-CN"/>
        </w:rPr>
        <w:t xml:space="preserve"> </w:t>
      </w:r>
      <w:r>
        <w:rPr>
          <w:rFonts w:eastAsiaTheme="minorEastAsia"/>
          <w:noProof/>
          <w:lang w:eastAsia="zh-CN"/>
        </w:rPr>
        <w:drawing>
          <wp:inline distT="0" distB="0" distL="0" distR="0" wp14:anchorId="08CB6020" wp14:editId="0D700367">
            <wp:extent cx="3363402" cy="2049098"/>
            <wp:effectExtent l="0" t="0" r="889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2570" cy="2054684"/>
                    </a:xfrm>
                    <a:prstGeom prst="rect">
                      <a:avLst/>
                    </a:prstGeom>
                    <a:noFill/>
                  </pic:spPr>
                </pic:pic>
              </a:graphicData>
            </a:graphic>
          </wp:inline>
        </w:drawing>
      </w:r>
    </w:p>
    <w:p w14:paraId="6215AFE4" w14:textId="6EDC0717" w:rsidR="004020C7" w:rsidRPr="00FD11E4" w:rsidRDefault="00780EC4" w:rsidP="00780EC4">
      <w:pPr>
        <w:pStyle w:val="af0"/>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of UE handling two inter-frequency without </w:t>
      </w:r>
      <w:r>
        <w:rPr>
          <w:noProof/>
        </w:rPr>
        <w:t>measurement gap</w:t>
      </w:r>
    </w:p>
    <w:p w14:paraId="10B66CCF" w14:textId="23A99FD5" w:rsidR="00144C5E" w:rsidRPr="006B289A" w:rsidRDefault="00144C5E" w:rsidP="006B289A">
      <w:pPr>
        <w:ind w:leftChars="142" w:left="284" w:firstLine="16"/>
        <w:jc w:val="both"/>
        <w:rPr>
          <w:rFonts w:eastAsiaTheme="minorEastAsia"/>
          <w:lang w:eastAsia="zh-CN"/>
        </w:rPr>
      </w:pPr>
      <w:r w:rsidRPr="006B289A">
        <w:rPr>
          <w:rFonts w:eastAsiaTheme="minorEastAsia"/>
          <w:lang w:eastAsia="zh-CN"/>
        </w:rPr>
        <w:t>This example demonstrates a UE with three-searcher capability where two CCs, distinct from the serving CC, require measurement without a measurement gap. While the three-searcher solution theoretically enables the UE to measure three CCs simultaneously without a measurement gap, measurement gap limitations must be considered.</w:t>
      </w:r>
    </w:p>
    <w:p w14:paraId="719761F8" w14:textId="47C3B3CB" w:rsidR="00CE3FBE" w:rsidRPr="006B289A" w:rsidRDefault="00144C5E" w:rsidP="006B289A">
      <w:pPr>
        <w:ind w:leftChars="142" w:left="284" w:firstLine="16"/>
        <w:jc w:val="both"/>
        <w:rPr>
          <w:rFonts w:eastAsiaTheme="minorEastAsia"/>
          <w:lang w:eastAsia="zh-CN"/>
        </w:rPr>
      </w:pPr>
      <w:r w:rsidRPr="006B289A">
        <w:rPr>
          <w:rFonts w:eastAsiaTheme="minorEastAsia"/>
          <w:lang w:eastAsia="zh-CN"/>
        </w:rPr>
        <w:t>During prior discussions on measurement gap enhancement, it was established that UE can only perform measurements on one inter-frequency CC within a specific band at any given time, in addition to maintaining the serving cell connection and performing one intra-frequency measurement. The relevant UE capability parameters are as follows:</w:t>
      </w:r>
    </w:p>
    <w:tbl>
      <w:tblPr>
        <w:tblStyle w:val="afa"/>
        <w:tblW w:w="0" w:type="auto"/>
        <w:tblInd w:w="300" w:type="dxa"/>
        <w:tblLook w:val="04A0" w:firstRow="1" w:lastRow="0" w:firstColumn="1" w:lastColumn="0" w:noHBand="0" w:noVBand="1"/>
      </w:tblPr>
      <w:tblGrid>
        <w:gridCol w:w="9317"/>
      </w:tblGrid>
      <w:tr w:rsidR="00FD11E4" w14:paraId="225FC235" w14:textId="77777777" w:rsidTr="00FD11E4">
        <w:tc>
          <w:tcPr>
            <w:tcW w:w="9617" w:type="dxa"/>
          </w:tcPr>
          <w:p w14:paraId="05BC20B9" w14:textId="77777777" w:rsidR="00FD11E4" w:rsidRPr="00FD11E4" w:rsidRDefault="00FD11E4" w:rsidP="00FD11E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D11E4">
              <w:rPr>
                <w:rFonts w:ascii="Arial" w:eastAsia="宋体" w:hAnsi="Arial"/>
                <w:sz w:val="24"/>
                <w:lang w:eastAsia="en-GB"/>
              </w:rPr>
              <w:lastRenderedPageBreak/>
              <w:t>–</w:t>
            </w:r>
            <w:r w:rsidRPr="00FD11E4">
              <w:rPr>
                <w:rFonts w:ascii="Arial" w:eastAsia="宋体" w:hAnsi="Arial"/>
                <w:sz w:val="24"/>
                <w:lang w:eastAsia="en-GB"/>
              </w:rPr>
              <w:tab/>
            </w:r>
            <w:proofErr w:type="spellStart"/>
            <w:r w:rsidRPr="00FD11E4">
              <w:rPr>
                <w:rFonts w:ascii="Arial" w:eastAsia="宋体" w:hAnsi="Arial"/>
                <w:i/>
                <w:sz w:val="24"/>
                <w:lang w:eastAsia="en-GB"/>
              </w:rPr>
              <w:t>NeedForGapsInfoNR</w:t>
            </w:r>
            <w:proofErr w:type="spellEnd"/>
          </w:p>
          <w:p w14:paraId="1D401501" w14:textId="77777777" w:rsidR="00FD11E4" w:rsidRPr="00FD11E4" w:rsidRDefault="00FD11E4" w:rsidP="00FD11E4">
            <w:pPr>
              <w:overflowPunct w:val="0"/>
              <w:autoSpaceDE w:val="0"/>
              <w:autoSpaceDN w:val="0"/>
              <w:adjustRightInd w:val="0"/>
              <w:textAlignment w:val="baseline"/>
              <w:rPr>
                <w:rFonts w:eastAsia="宋体"/>
                <w:lang w:eastAsia="en-GB"/>
              </w:rPr>
            </w:pPr>
            <w:r w:rsidRPr="00FD11E4">
              <w:rPr>
                <w:rFonts w:eastAsia="宋体"/>
                <w:lang w:eastAsia="en-GB"/>
              </w:rPr>
              <w:t xml:space="preserve">The IE </w:t>
            </w:r>
            <w:proofErr w:type="spellStart"/>
            <w:r w:rsidRPr="00FD11E4">
              <w:rPr>
                <w:rFonts w:eastAsia="宋体"/>
                <w:i/>
                <w:lang w:eastAsia="en-GB"/>
              </w:rPr>
              <w:t>NeedForGapsInfoNR</w:t>
            </w:r>
            <w:proofErr w:type="spellEnd"/>
            <w:r w:rsidRPr="00FD11E4">
              <w:rPr>
                <w:rFonts w:eastAsia="宋体"/>
                <w:lang w:eastAsia="en-GB"/>
              </w:rPr>
              <w:t xml:space="preserve"> indicates whether measurement gap is required for the UE to perform </w:t>
            </w:r>
            <w:r w:rsidRPr="00FD11E4">
              <w:rPr>
                <w:rFonts w:eastAsia="Times New Roman"/>
                <w:lang w:eastAsia="zh-CN"/>
              </w:rPr>
              <w:t>SSB based measurements on an NR target band while NR-DC or NE-DC is not configured.</w:t>
            </w:r>
          </w:p>
          <w:p w14:paraId="3E7278E4" w14:textId="77777777" w:rsidR="00FD11E4" w:rsidRPr="00FD11E4" w:rsidRDefault="00FD11E4" w:rsidP="00FD11E4">
            <w:pPr>
              <w:keepNext/>
              <w:keepLines/>
              <w:overflowPunct w:val="0"/>
              <w:autoSpaceDE w:val="0"/>
              <w:autoSpaceDN w:val="0"/>
              <w:adjustRightInd w:val="0"/>
              <w:spacing w:before="60"/>
              <w:jc w:val="center"/>
              <w:textAlignment w:val="baseline"/>
              <w:rPr>
                <w:rFonts w:ascii="Arial" w:eastAsia="宋体" w:hAnsi="Arial"/>
                <w:b/>
                <w:lang w:eastAsia="en-GB"/>
              </w:rPr>
            </w:pPr>
            <w:proofErr w:type="spellStart"/>
            <w:r w:rsidRPr="00FD11E4">
              <w:rPr>
                <w:rFonts w:ascii="Arial" w:eastAsia="宋体" w:hAnsi="Arial"/>
                <w:b/>
                <w:i/>
                <w:lang w:eastAsia="en-GB"/>
              </w:rPr>
              <w:t>NeedForGapsInfoNR</w:t>
            </w:r>
            <w:proofErr w:type="spellEnd"/>
            <w:r w:rsidRPr="00FD11E4">
              <w:rPr>
                <w:rFonts w:ascii="Arial" w:eastAsia="宋体" w:hAnsi="Arial"/>
                <w:b/>
                <w:lang w:eastAsia="en-GB"/>
              </w:rPr>
              <w:t xml:space="preserve"> information element</w:t>
            </w:r>
          </w:p>
          <w:p w14:paraId="48949F24"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color w:val="808080"/>
                <w:sz w:val="16"/>
                <w:lang w:eastAsia="en-GB"/>
              </w:rPr>
            </w:pPr>
            <w:r w:rsidRPr="00FD11E4">
              <w:rPr>
                <w:rFonts w:ascii="Courier New" w:eastAsia="Times New Roman" w:hAnsi="Courier New"/>
                <w:noProof/>
                <w:color w:val="808080"/>
                <w:sz w:val="16"/>
                <w:lang w:eastAsia="en-GB"/>
              </w:rPr>
              <w:t>-- ASN1START</w:t>
            </w:r>
          </w:p>
          <w:p w14:paraId="08A9F987"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color w:val="808080"/>
                <w:sz w:val="16"/>
                <w:lang w:eastAsia="en-GB"/>
              </w:rPr>
            </w:pPr>
            <w:r w:rsidRPr="00FD11E4">
              <w:rPr>
                <w:rFonts w:ascii="Courier New" w:eastAsia="Times New Roman" w:hAnsi="Courier New"/>
                <w:noProof/>
                <w:color w:val="808080"/>
                <w:sz w:val="16"/>
                <w:lang w:eastAsia="en-GB"/>
              </w:rPr>
              <w:t>-- TAG-NeedForGapsInfoNR-START</w:t>
            </w:r>
          </w:p>
          <w:p w14:paraId="7BD67486"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p>
          <w:p w14:paraId="6D4139A1"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 xml:space="preserve">NeedForGapsInfoNR-r16 ::=        </w:t>
            </w:r>
            <w:r w:rsidRPr="00FD11E4">
              <w:rPr>
                <w:rFonts w:ascii="Courier New" w:eastAsia="Times New Roman" w:hAnsi="Courier New"/>
                <w:noProof/>
                <w:color w:val="993366"/>
                <w:sz w:val="16"/>
                <w:lang w:eastAsia="en-GB"/>
              </w:rPr>
              <w:t>SEQUENCE</w:t>
            </w:r>
            <w:r w:rsidRPr="00FD11E4">
              <w:rPr>
                <w:rFonts w:ascii="Courier New" w:eastAsia="Times New Roman" w:hAnsi="Courier New"/>
                <w:noProof/>
                <w:sz w:val="16"/>
                <w:lang w:eastAsia="en-GB"/>
              </w:rPr>
              <w:t xml:space="preserve"> {</w:t>
            </w:r>
          </w:p>
          <w:p w14:paraId="7A4CC68D"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 xml:space="preserve">    intraFreq-needForGap-r16      NeedForGapsIntraFreqList-r16,</w:t>
            </w:r>
          </w:p>
          <w:p w14:paraId="6E6A132B"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 xml:space="preserve">    </w:t>
            </w:r>
            <w:r w:rsidRPr="00FD11E4">
              <w:rPr>
                <w:rFonts w:ascii="Courier New" w:eastAsia="Times New Roman" w:hAnsi="Courier New"/>
                <w:noProof/>
                <w:sz w:val="16"/>
                <w:highlight w:val="yellow"/>
                <w:lang w:eastAsia="en-GB"/>
              </w:rPr>
              <w:t>interFreq-needForGap-r16      NeedForGapsBandListNR-r16</w:t>
            </w:r>
          </w:p>
          <w:p w14:paraId="766E53E0"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w:t>
            </w:r>
          </w:p>
          <w:p w14:paraId="0194B0F0"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p>
          <w:p w14:paraId="4054A4B4"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 xml:space="preserve">NeedForGapsIntraFreqList-r16 ::=          </w:t>
            </w:r>
            <w:r w:rsidRPr="00FD11E4">
              <w:rPr>
                <w:rFonts w:ascii="Courier New" w:eastAsia="Times New Roman" w:hAnsi="Courier New"/>
                <w:noProof/>
                <w:color w:val="993366"/>
                <w:sz w:val="16"/>
                <w:lang w:eastAsia="en-GB"/>
              </w:rPr>
              <w:t>SEQUENCE</w:t>
            </w:r>
            <w:r w:rsidRPr="00FD11E4">
              <w:rPr>
                <w:rFonts w:ascii="Courier New" w:eastAsia="Times New Roman" w:hAnsi="Courier New"/>
                <w:noProof/>
                <w:sz w:val="16"/>
                <w:lang w:eastAsia="en-GB"/>
              </w:rPr>
              <w:t xml:space="preserve"> (</w:t>
            </w:r>
            <w:r w:rsidRPr="00FD11E4">
              <w:rPr>
                <w:rFonts w:ascii="Courier New" w:eastAsia="Times New Roman" w:hAnsi="Courier New"/>
                <w:noProof/>
                <w:color w:val="993366"/>
                <w:sz w:val="16"/>
                <w:lang w:eastAsia="en-GB"/>
              </w:rPr>
              <w:t>SIZE</w:t>
            </w:r>
            <w:r w:rsidRPr="00FD11E4">
              <w:rPr>
                <w:rFonts w:ascii="Courier New" w:eastAsia="Times New Roman" w:hAnsi="Courier New"/>
                <w:noProof/>
                <w:sz w:val="16"/>
                <w:lang w:eastAsia="en-GB"/>
              </w:rPr>
              <w:t xml:space="preserve"> (1.. maxNrofServingCells))</w:t>
            </w:r>
            <w:r w:rsidRPr="00FD11E4">
              <w:rPr>
                <w:rFonts w:ascii="Courier New" w:eastAsia="Times New Roman" w:hAnsi="Courier New"/>
                <w:noProof/>
                <w:color w:val="993366"/>
                <w:sz w:val="16"/>
                <w:lang w:eastAsia="en-GB"/>
              </w:rPr>
              <w:t xml:space="preserve"> OF</w:t>
            </w:r>
            <w:r w:rsidRPr="00FD11E4">
              <w:rPr>
                <w:rFonts w:ascii="Courier New" w:eastAsia="Times New Roman" w:hAnsi="Courier New"/>
                <w:noProof/>
                <w:sz w:val="16"/>
                <w:lang w:eastAsia="en-GB"/>
              </w:rPr>
              <w:t xml:space="preserve"> NeedForGapsIntraFreq-r16</w:t>
            </w:r>
          </w:p>
          <w:p w14:paraId="0A3F6C1B"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p>
          <w:p w14:paraId="3E22F72A"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 xml:space="preserve">NeedForGapsBandListNR-r16 ::=             </w:t>
            </w:r>
            <w:r w:rsidRPr="00FD11E4">
              <w:rPr>
                <w:rFonts w:ascii="Courier New" w:eastAsia="Times New Roman" w:hAnsi="Courier New"/>
                <w:noProof/>
                <w:color w:val="993366"/>
                <w:sz w:val="16"/>
                <w:lang w:eastAsia="en-GB"/>
              </w:rPr>
              <w:t>SEQUENCE</w:t>
            </w:r>
            <w:r w:rsidRPr="00FD11E4">
              <w:rPr>
                <w:rFonts w:ascii="Courier New" w:eastAsia="Times New Roman" w:hAnsi="Courier New"/>
                <w:noProof/>
                <w:sz w:val="16"/>
                <w:lang w:eastAsia="en-GB"/>
              </w:rPr>
              <w:t xml:space="preserve"> (</w:t>
            </w:r>
            <w:r w:rsidRPr="00FD11E4">
              <w:rPr>
                <w:rFonts w:ascii="Courier New" w:eastAsia="Times New Roman" w:hAnsi="Courier New"/>
                <w:noProof/>
                <w:color w:val="993366"/>
                <w:sz w:val="16"/>
                <w:lang w:eastAsia="en-GB"/>
              </w:rPr>
              <w:t>SIZE</w:t>
            </w:r>
            <w:r w:rsidRPr="00FD11E4">
              <w:rPr>
                <w:rFonts w:ascii="Courier New" w:eastAsia="Times New Roman" w:hAnsi="Courier New"/>
                <w:noProof/>
                <w:sz w:val="16"/>
                <w:lang w:eastAsia="en-GB"/>
              </w:rPr>
              <w:t xml:space="preserve"> (1..maxBands))</w:t>
            </w:r>
            <w:r w:rsidRPr="00FD11E4">
              <w:rPr>
                <w:rFonts w:ascii="Courier New" w:eastAsia="Times New Roman" w:hAnsi="Courier New"/>
                <w:noProof/>
                <w:color w:val="993366"/>
                <w:sz w:val="16"/>
                <w:lang w:eastAsia="en-GB"/>
              </w:rPr>
              <w:t xml:space="preserve"> OF</w:t>
            </w:r>
            <w:r w:rsidRPr="00FD11E4">
              <w:rPr>
                <w:rFonts w:ascii="Courier New" w:eastAsia="Times New Roman" w:hAnsi="Courier New"/>
                <w:noProof/>
                <w:sz w:val="16"/>
                <w:lang w:eastAsia="en-GB"/>
              </w:rPr>
              <w:t xml:space="preserve"> NeedForGapsNR-r16</w:t>
            </w:r>
          </w:p>
          <w:p w14:paraId="5E70D84E"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p>
          <w:p w14:paraId="2A26FE35"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 xml:space="preserve">NeedForGapsIntraFreq-r16  ::=                 </w:t>
            </w:r>
            <w:r w:rsidRPr="00FD11E4">
              <w:rPr>
                <w:rFonts w:ascii="Courier New" w:eastAsia="Times New Roman" w:hAnsi="Courier New"/>
                <w:noProof/>
                <w:color w:val="993366"/>
                <w:sz w:val="16"/>
                <w:lang w:eastAsia="en-GB"/>
              </w:rPr>
              <w:t>SEQUENCE</w:t>
            </w:r>
            <w:r w:rsidRPr="00FD11E4">
              <w:rPr>
                <w:rFonts w:ascii="Courier New" w:eastAsia="Times New Roman" w:hAnsi="Courier New"/>
                <w:noProof/>
                <w:sz w:val="16"/>
                <w:lang w:eastAsia="en-GB"/>
              </w:rPr>
              <w:t xml:space="preserve"> {</w:t>
            </w:r>
          </w:p>
          <w:p w14:paraId="34F2F0E0"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 xml:space="preserve">    servCellId-r16                               ServCellIndex,</w:t>
            </w:r>
          </w:p>
          <w:p w14:paraId="670F8F00"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 xml:space="preserve">    gapIndicationIntra-r16                       </w:t>
            </w:r>
            <w:r w:rsidRPr="00FD11E4">
              <w:rPr>
                <w:rFonts w:ascii="Courier New" w:eastAsia="Times New Roman" w:hAnsi="Courier New"/>
                <w:noProof/>
                <w:color w:val="993366"/>
                <w:sz w:val="16"/>
                <w:lang w:eastAsia="en-GB"/>
              </w:rPr>
              <w:t>ENUMERATED</w:t>
            </w:r>
            <w:r w:rsidRPr="00FD11E4">
              <w:rPr>
                <w:rFonts w:ascii="Courier New" w:eastAsia="Times New Roman" w:hAnsi="Courier New"/>
                <w:noProof/>
                <w:sz w:val="16"/>
                <w:lang w:eastAsia="en-GB"/>
              </w:rPr>
              <w:t xml:space="preserve"> {gap, no-gap}</w:t>
            </w:r>
          </w:p>
          <w:p w14:paraId="5AEDD3BB"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r w:rsidRPr="00FD11E4">
              <w:rPr>
                <w:rFonts w:ascii="Courier New" w:eastAsia="Times New Roman" w:hAnsi="Courier New"/>
                <w:noProof/>
                <w:sz w:val="16"/>
                <w:lang w:eastAsia="en-GB"/>
              </w:rPr>
              <w:t>}</w:t>
            </w:r>
          </w:p>
          <w:p w14:paraId="70E099E0"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p>
          <w:p w14:paraId="737C2A9F"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highlight w:val="yellow"/>
                <w:lang w:eastAsia="en-GB"/>
              </w:rPr>
            </w:pPr>
            <w:r w:rsidRPr="00FD11E4">
              <w:rPr>
                <w:rFonts w:ascii="Courier New" w:eastAsia="Times New Roman" w:hAnsi="Courier New"/>
                <w:noProof/>
                <w:sz w:val="16"/>
                <w:highlight w:val="yellow"/>
                <w:lang w:eastAsia="en-GB"/>
              </w:rPr>
              <w:t xml:space="preserve">NeedForGapsNR-r16  ::=                        </w:t>
            </w:r>
            <w:r w:rsidRPr="00FD11E4">
              <w:rPr>
                <w:rFonts w:ascii="Courier New" w:eastAsia="Times New Roman" w:hAnsi="Courier New"/>
                <w:noProof/>
                <w:color w:val="993366"/>
                <w:sz w:val="16"/>
                <w:highlight w:val="yellow"/>
                <w:lang w:eastAsia="en-GB"/>
              </w:rPr>
              <w:t>SEQUENCE</w:t>
            </w:r>
            <w:r w:rsidRPr="00FD11E4">
              <w:rPr>
                <w:rFonts w:ascii="Courier New" w:eastAsia="Times New Roman" w:hAnsi="Courier New"/>
                <w:noProof/>
                <w:sz w:val="16"/>
                <w:highlight w:val="yellow"/>
                <w:lang w:eastAsia="en-GB"/>
              </w:rPr>
              <w:t xml:space="preserve"> {</w:t>
            </w:r>
          </w:p>
          <w:p w14:paraId="7D7C0686"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highlight w:val="yellow"/>
                <w:lang w:eastAsia="en-GB"/>
              </w:rPr>
            </w:pPr>
            <w:r w:rsidRPr="00FD11E4">
              <w:rPr>
                <w:rFonts w:ascii="Courier New" w:eastAsia="Times New Roman" w:hAnsi="Courier New"/>
                <w:noProof/>
                <w:sz w:val="16"/>
                <w:highlight w:val="yellow"/>
                <w:lang w:eastAsia="en-GB"/>
              </w:rPr>
              <w:t xml:space="preserve">    bandNR-r16                                   FreqBandIndicatorNR,</w:t>
            </w:r>
          </w:p>
          <w:p w14:paraId="1A13511F"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highlight w:val="yellow"/>
                <w:lang w:eastAsia="en-GB"/>
              </w:rPr>
            </w:pPr>
            <w:r w:rsidRPr="00FD11E4">
              <w:rPr>
                <w:rFonts w:ascii="Courier New" w:eastAsia="Times New Roman" w:hAnsi="Courier New"/>
                <w:noProof/>
                <w:sz w:val="16"/>
                <w:highlight w:val="yellow"/>
                <w:lang w:eastAsia="en-GB"/>
              </w:rPr>
              <w:t xml:space="preserve">    gapIndication-r16                            </w:t>
            </w:r>
            <w:r w:rsidRPr="00FD11E4">
              <w:rPr>
                <w:rFonts w:ascii="Courier New" w:eastAsia="Times New Roman" w:hAnsi="Courier New"/>
                <w:noProof/>
                <w:color w:val="993366"/>
                <w:sz w:val="16"/>
                <w:highlight w:val="yellow"/>
                <w:lang w:eastAsia="en-GB"/>
              </w:rPr>
              <w:t>ENUMERATED</w:t>
            </w:r>
            <w:r w:rsidRPr="00FD11E4">
              <w:rPr>
                <w:rFonts w:ascii="Courier New" w:eastAsia="Times New Roman" w:hAnsi="Courier New"/>
                <w:noProof/>
                <w:sz w:val="16"/>
                <w:highlight w:val="yellow"/>
                <w:lang w:eastAsia="en-GB"/>
              </w:rPr>
              <w:t xml:space="preserve"> {gap, no-gap}</w:t>
            </w:r>
          </w:p>
          <w:p w14:paraId="721BD146"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highlight w:val="yellow"/>
                <w:lang w:eastAsia="en-GB"/>
              </w:rPr>
            </w:pPr>
            <w:r w:rsidRPr="00FD11E4">
              <w:rPr>
                <w:rFonts w:ascii="Courier New" w:eastAsia="Times New Roman" w:hAnsi="Courier New"/>
                <w:noProof/>
                <w:sz w:val="16"/>
                <w:highlight w:val="yellow"/>
                <w:lang w:eastAsia="en-GB"/>
              </w:rPr>
              <w:t>}</w:t>
            </w:r>
          </w:p>
          <w:p w14:paraId="3038616B"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sz w:val="16"/>
                <w:lang w:eastAsia="en-GB"/>
              </w:rPr>
            </w:pPr>
          </w:p>
          <w:p w14:paraId="7DFE0A6D" w14:textId="77777777" w:rsidR="00FD11E4" w:rsidRPr="00FD11E4" w:rsidRDefault="00FD11E4" w:rsidP="00FD11E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color w:val="808080"/>
                <w:sz w:val="16"/>
                <w:lang w:eastAsia="en-GB"/>
              </w:rPr>
            </w:pPr>
            <w:r w:rsidRPr="00FD11E4">
              <w:rPr>
                <w:rFonts w:ascii="Courier New" w:eastAsia="Times New Roman" w:hAnsi="Courier New"/>
                <w:noProof/>
                <w:color w:val="808080"/>
                <w:sz w:val="16"/>
                <w:lang w:eastAsia="en-GB"/>
              </w:rPr>
              <w:t>-- TAG-NeedForGapsInfoNR-STOP</w:t>
            </w:r>
          </w:p>
          <w:p w14:paraId="3B8CC49E" w14:textId="79D8EF4C" w:rsidR="00FD11E4" w:rsidRPr="00780EC4" w:rsidRDefault="00FD11E4" w:rsidP="00780EC4">
            <w:pPr>
              <w:numPr>
                <w:ilvl w:val="0"/>
                <w:numId w:val="1"/>
              </w:numPr>
              <w:shd w:val="clear" w:color="auto" w:fill="E6E6E6"/>
              <w:tabs>
                <w:tab w:val="clear" w:pos="782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noProof/>
                <w:color w:val="808080"/>
                <w:sz w:val="16"/>
                <w:lang w:eastAsia="en-GB"/>
              </w:rPr>
            </w:pPr>
            <w:r w:rsidRPr="00FD11E4">
              <w:rPr>
                <w:rFonts w:ascii="Courier New" w:eastAsia="Times New Roman" w:hAnsi="Courier New"/>
                <w:noProof/>
                <w:color w:val="808080"/>
                <w:sz w:val="16"/>
                <w:lang w:eastAsia="en-GB"/>
              </w:rPr>
              <w:t>-- ASN1STOP</w:t>
            </w:r>
          </w:p>
        </w:tc>
      </w:tr>
    </w:tbl>
    <w:p w14:paraId="6F911256" w14:textId="7E1C1057" w:rsidR="00FD11E4" w:rsidRDefault="00FD11E4" w:rsidP="00FD11E4">
      <w:pPr>
        <w:ind w:leftChars="100" w:left="300" w:hangingChars="50" w:hanging="100"/>
        <w:jc w:val="both"/>
        <w:rPr>
          <w:rFonts w:eastAsiaTheme="minorEastAsia"/>
          <w:lang w:eastAsia="zh-CN"/>
        </w:rPr>
      </w:pPr>
    </w:p>
    <w:p w14:paraId="722EDB1D" w14:textId="4C27DD79" w:rsidR="00780EC4" w:rsidRDefault="00780EC4" w:rsidP="00FD4757">
      <w:pPr>
        <w:ind w:leftChars="100" w:left="300" w:hangingChars="50" w:hanging="100"/>
        <w:jc w:val="both"/>
        <w:rPr>
          <w:rFonts w:eastAsiaTheme="minorEastAsia"/>
          <w:lang w:eastAsia="zh-CN"/>
        </w:rPr>
      </w:pPr>
      <w:r>
        <w:rPr>
          <w:rFonts w:eastAsiaTheme="minorEastAsia"/>
          <w:lang w:eastAsia="zh-CN"/>
        </w:rPr>
        <w:tab/>
        <w:t xml:space="preserve">This capability indicates that </w:t>
      </w:r>
      <w:r w:rsidR="00144C5E" w:rsidRPr="00144C5E">
        <w:rPr>
          <w:rFonts w:eastAsiaTheme="minorEastAsia"/>
          <w:lang w:eastAsia="zh-CN"/>
        </w:rPr>
        <w:t xml:space="preserve">UE can handle the serving cell connection, one intra-frequency CC measurement, and one inter-frequency CC measurement. </w:t>
      </w:r>
      <w:r w:rsidR="00144C5E">
        <w:rPr>
          <w:rFonts w:eastAsiaTheme="minorEastAsia"/>
          <w:lang w:eastAsia="zh-CN"/>
        </w:rPr>
        <w:t>No defined requirement or UE capability</w:t>
      </w:r>
      <w:r w:rsidR="00144C5E" w:rsidRPr="00144C5E">
        <w:rPr>
          <w:rFonts w:eastAsiaTheme="minorEastAsia"/>
          <w:lang w:eastAsia="zh-CN"/>
        </w:rPr>
        <w:t xml:space="preserve"> would allow </w:t>
      </w:r>
      <w:r w:rsidR="00144C5E">
        <w:rPr>
          <w:rFonts w:eastAsiaTheme="minorEastAsia"/>
          <w:lang w:eastAsia="zh-CN"/>
        </w:rPr>
        <w:t xml:space="preserve">the </w:t>
      </w:r>
      <w:r w:rsidR="00144C5E" w:rsidRPr="00144C5E">
        <w:rPr>
          <w:rFonts w:eastAsiaTheme="minorEastAsia"/>
          <w:lang w:eastAsia="zh-CN"/>
        </w:rPr>
        <w:t>UE to manage the serving cell connection alongside one intra-frequency and two inter-frequency CC measurements.</w:t>
      </w:r>
    </w:p>
    <w:p w14:paraId="7F63A353" w14:textId="111609C1" w:rsidR="00FD4757" w:rsidRPr="00FD4757" w:rsidRDefault="00FD4757" w:rsidP="00FD4757">
      <w:pPr>
        <w:ind w:leftChars="142" w:left="284" w:firstLine="16"/>
        <w:jc w:val="both"/>
        <w:rPr>
          <w:b/>
          <w:bCs/>
          <w:color w:val="FF0000"/>
        </w:rPr>
      </w:pPr>
      <w:r w:rsidRPr="00FD4757">
        <w:rPr>
          <w:rFonts w:eastAsiaTheme="minorEastAsia" w:hint="eastAsia"/>
          <w:b/>
          <w:bCs/>
          <w:lang w:eastAsia="zh-CN"/>
        </w:rPr>
        <w:t>O</w:t>
      </w:r>
      <w:r w:rsidRPr="00FD4757">
        <w:rPr>
          <w:rFonts w:eastAsiaTheme="minorEastAsia"/>
          <w:b/>
          <w:bCs/>
          <w:lang w:eastAsia="zh-CN"/>
        </w:rPr>
        <w:t>bservation 1: There is</w:t>
      </w:r>
      <w:r w:rsidR="00144C5E">
        <w:t xml:space="preserve"> </w:t>
      </w:r>
      <w:r w:rsidR="00144C5E" w:rsidRPr="00144C5E">
        <w:rPr>
          <w:b/>
          <w:bCs/>
        </w:rPr>
        <w:t xml:space="preserve">no </w:t>
      </w:r>
      <w:r w:rsidR="00144C5E" w:rsidRPr="00144C5E">
        <w:rPr>
          <w:rFonts w:eastAsiaTheme="minorEastAsia"/>
          <w:b/>
          <w:bCs/>
          <w:lang w:eastAsia="zh-CN"/>
        </w:rPr>
        <w:t xml:space="preserve">requirement or UE capability </w:t>
      </w:r>
      <w:r w:rsidR="00144C5E">
        <w:rPr>
          <w:rFonts w:eastAsiaTheme="minorEastAsia"/>
          <w:b/>
          <w:bCs/>
          <w:lang w:eastAsia="zh-CN"/>
        </w:rPr>
        <w:t xml:space="preserve">that </w:t>
      </w:r>
      <w:r w:rsidR="00144C5E" w:rsidRPr="00144C5E">
        <w:rPr>
          <w:rFonts w:eastAsiaTheme="minorEastAsia"/>
          <w:b/>
          <w:bCs/>
          <w:lang w:eastAsia="zh-CN"/>
        </w:rPr>
        <w:t xml:space="preserve">would allow </w:t>
      </w:r>
      <w:r w:rsidR="00144C5E">
        <w:rPr>
          <w:rFonts w:eastAsiaTheme="minorEastAsia"/>
          <w:b/>
          <w:bCs/>
          <w:lang w:eastAsia="zh-CN"/>
        </w:rPr>
        <w:t xml:space="preserve">the </w:t>
      </w:r>
      <w:r w:rsidR="00144C5E" w:rsidRPr="00144C5E">
        <w:rPr>
          <w:rFonts w:eastAsiaTheme="minorEastAsia"/>
          <w:b/>
          <w:bCs/>
          <w:lang w:eastAsia="zh-CN"/>
        </w:rPr>
        <w:t>UE to manage the serving cell connection alongside one intra-frequency and two inter-frequency CC measurements.</w:t>
      </w:r>
    </w:p>
    <w:p w14:paraId="68C10CCC" w14:textId="778BC31F" w:rsidR="00AA2BB7" w:rsidRPr="00EA6BD3" w:rsidRDefault="00144C5E" w:rsidP="00FD4757">
      <w:pPr>
        <w:ind w:leftChars="142" w:left="284" w:firstLine="16"/>
        <w:jc w:val="both"/>
      </w:pPr>
      <w:r w:rsidRPr="00144C5E">
        <w:rPr>
          <w:rFonts w:eastAsiaTheme="minorEastAsia"/>
          <w:lang w:eastAsia="zh-CN"/>
        </w:rPr>
        <w:t xml:space="preserve">Given these constraints, we note that restricting inter-RAT MOs without measurement to the legacy two-searcher solution would not fully resolve the issue. </w:t>
      </w:r>
      <w:r w:rsidR="00FD4757">
        <w:rPr>
          <w:rFonts w:eastAsiaTheme="minorEastAsia"/>
          <w:lang w:eastAsia="zh-CN"/>
        </w:rPr>
        <w:t xml:space="preserve">Therefore, </w:t>
      </w:r>
      <w:r>
        <w:rPr>
          <w:rFonts w:eastAsiaTheme="minorEastAsia"/>
          <w:lang w:eastAsia="zh-CN"/>
        </w:rPr>
        <w:t>w</w:t>
      </w:r>
      <w:r w:rsidRPr="00144C5E">
        <w:rPr>
          <w:rFonts w:eastAsiaTheme="minorEastAsia"/>
          <w:lang w:eastAsia="zh-CN"/>
        </w:rPr>
        <w:t>e recommend that the 3-searcher solution should not be applied to inter-frequency MOs without a measurement gap, and instead allow them to continue using the legacy 2-searcher solution.</w:t>
      </w:r>
    </w:p>
    <w:p w14:paraId="3E4473CE" w14:textId="65A9CED5" w:rsidR="005C47EB" w:rsidRDefault="005C47EB" w:rsidP="005C47EB">
      <w:pPr>
        <w:ind w:leftChars="142" w:left="284"/>
        <w:jc w:val="both"/>
        <w:rPr>
          <w:rFonts w:eastAsiaTheme="minorEastAsia"/>
          <w:b/>
          <w:lang w:eastAsia="zh-CN"/>
        </w:rPr>
      </w:pPr>
      <w:bookmarkStart w:id="3" w:name="OLE_LINK12"/>
      <w:bookmarkStart w:id="4" w:name="OLE_LINK13"/>
      <w:r w:rsidRPr="005C47EB">
        <w:rPr>
          <w:rFonts w:eastAsiaTheme="minorEastAsia" w:hint="eastAsia"/>
          <w:b/>
          <w:lang w:eastAsia="zh-CN"/>
        </w:rPr>
        <w:t>P</w:t>
      </w:r>
      <w:r w:rsidRPr="005C47EB">
        <w:rPr>
          <w:rFonts w:eastAsiaTheme="minorEastAsia"/>
          <w:b/>
          <w:lang w:eastAsia="zh-CN"/>
        </w:rPr>
        <w:t xml:space="preserve">roposal </w:t>
      </w:r>
      <w:r w:rsidR="009461B7">
        <w:rPr>
          <w:rFonts w:eastAsiaTheme="minorEastAsia"/>
          <w:b/>
          <w:lang w:eastAsia="zh-CN"/>
        </w:rPr>
        <w:t>2</w:t>
      </w:r>
      <w:r w:rsidRPr="005C47EB">
        <w:rPr>
          <w:rFonts w:eastAsiaTheme="minorEastAsia"/>
          <w:b/>
          <w:lang w:eastAsia="zh-CN"/>
        </w:rPr>
        <w:t>:</w:t>
      </w:r>
      <w:r w:rsidR="00144C5E" w:rsidRPr="00144C5E">
        <w:t xml:space="preserve"> </w:t>
      </w:r>
      <w:r w:rsidR="00144C5E" w:rsidRPr="00144C5E">
        <w:rPr>
          <w:rFonts w:eastAsiaTheme="minorEastAsia"/>
          <w:b/>
          <w:lang w:eastAsia="zh-CN"/>
        </w:rPr>
        <w:t>To avoid contradicting the gap enhancement requirement, the 3-searcher solution should not be applied to inter-frequency MOs without a measurement gap</w:t>
      </w:r>
      <w:r w:rsidR="005F3B25">
        <w:rPr>
          <w:rFonts w:eastAsiaTheme="minorEastAsia"/>
          <w:b/>
          <w:lang w:eastAsia="zh-CN"/>
        </w:rPr>
        <w:t xml:space="preserve"> directly</w:t>
      </w:r>
      <w:r w:rsidR="00144C5E" w:rsidRPr="00144C5E">
        <w:rPr>
          <w:rFonts w:eastAsiaTheme="minorEastAsia"/>
          <w:b/>
          <w:lang w:eastAsia="zh-CN"/>
        </w:rPr>
        <w:t xml:space="preserve">. Instead, </w:t>
      </w:r>
      <w:r w:rsidR="005F3B25">
        <w:rPr>
          <w:rFonts w:eastAsiaTheme="minorEastAsia"/>
          <w:b/>
          <w:lang w:eastAsia="zh-CN"/>
        </w:rPr>
        <w:t xml:space="preserve">a relaxation for </w:t>
      </w:r>
      <w:r w:rsidR="005F3B25" w:rsidRPr="005F3B25">
        <w:rPr>
          <w:rFonts w:eastAsiaTheme="minorEastAsia"/>
          <w:b/>
          <w:lang w:eastAsia="zh-CN"/>
        </w:rPr>
        <w:t>inter-frequency MOs without a measurement gap</w:t>
      </w:r>
      <w:r w:rsidR="005F3B25">
        <w:rPr>
          <w:rFonts w:eastAsiaTheme="minorEastAsia"/>
          <w:b/>
          <w:lang w:eastAsia="zh-CN"/>
        </w:rPr>
        <w:t xml:space="preserve"> is needed in </w:t>
      </w:r>
      <w:r w:rsidR="00DC61B2">
        <w:rPr>
          <w:rFonts w:eastAsiaTheme="minorEastAsia"/>
          <w:b/>
          <w:lang w:eastAsia="zh-CN"/>
        </w:rPr>
        <w:t xml:space="preserve">the </w:t>
      </w:r>
      <w:r w:rsidR="005F3B25">
        <w:rPr>
          <w:rFonts w:eastAsiaTheme="minorEastAsia"/>
          <w:b/>
          <w:lang w:eastAsia="zh-CN"/>
        </w:rPr>
        <w:t>3-searcher solution</w:t>
      </w:r>
      <w:r w:rsidR="00144C5E" w:rsidRPr="00144C5E">
        <w:rPr>
          <w:rFonts w:eastAsiaTheme="minorEastAsia"/>
          <w:b/>
          <w:lang w:eastAsia="zh-CN"/>
        </w:rPr>
        <w:t>.</w:t>
      </w:r>
    </w:p>
    <w:p w14:paraId="30679CBB" w14:textId="203694BD" w:rsidR="00393C75" w:rsidRDefault="00393C75" w:rsidP="005C47EB">
      <w:pPr>
        <w:ind w:leftChars="142" w:left="284"/>
        <w:jc w:val="both"/>
        <w:rPr>
          <w:rFonts w:eastAsiaTheme="minorEastAsia"/>
          <w:b/>
          <w:lang w:eastAsia="zh-CN"/>
        </w:rPr>
      </w:pPr>
    </w:p>
    <w:p w14:paraId="68F4D90B" w14:textId="11A149BB" w:rsidR="00393C75" w:rsidRDefault="00393C75" w:rsidP="006B289A">
      <w:pPr>
        <w:ind w:firstLine="284"/>
        <w:rPr>
          <w:rFonts w:eastAsiaTheme="minorEastAsia"/>
          <w:b/>
          <w:bCs/>
          <w:sz w:val="24"/>
          <w:szCs w:val="24"/>
          <w:lang w:val="en-US" w:eastAsia="zh-CN"/>
        </w:rPr>
      </w:pPr>
      <w:r w:rsidRPr="00393C75">
        <w:rPr>
          <w:rFonts w:eastAsiaTheme="minorEastAsia"/>
          <w:b/>
          <w:bCs/>
          <w:sz w:val="24"/>
          <w:szCs w:val="24"/>
          <w:lang w:val="en-US" w:eastAsia="zh-CN"/>
        </w:rPr>
        <w:t>UE supporting Rel-18 EMR</w:t>
      </w:r>
    </w:p>
    <w:p w14:paraId="40635389" w14:textId="68A76820" w:rsidR="00393C75" w:rsidRDefault="00393C75" w:rsidP="00393C75">
      <w:pPr>
        <w:ind w:leftChars="142" w:left="284"/>
        <w:rPr>
          <w:lang w:eastAsia="zh-CN"/>
        </w:rPr>
      </w:pPr>
      <w:r>
        <w:rPr>
          <w:lang w:eastAsia="zh-CN"/>
        </w:rPr>
        <w:t>In last RAN4 meeting, one controversial issue is whether to introduce new UE capabilities for Rel-19 fast SCell activation based on Rel-18 EMR. The status is summarized as follows:</w:t>
      </w:r>
    </w:p>
    <w:tbl>
      <w:tblPr>
        <w:tblStyle w:val="afa"/>
        <w:tblW w:w="0" w:type="auto"/>
        <w:tblInd w:w="279" w:type="dxa"/>
        <w:tblLook w:val="04A0" w:firstRow="1" w:lastRow="0" w:firstColumn="1" w:lastColumn="0" w:noHBand="0" w:noVBand="1"/>
      </w:tblPr>
      <w:tblGrid>
        <w:gridCol w:w="9282"/>
      </w:tblGrid>
      <w:tr w:rsidR="00393C75" w14:paraId="2A2F203E" w14:textId="77777777" w:rsidTr="00393C75">
        <w:tc>
          <w:tcPr>
            <w:tcW w:w="9282" w:type="dxa"/>
            <w:tcBorders>
              <w:top w:val="single" w:sz="4" w:space="0" w:color="auto"/>
              <w:left w:val="single" w:sz="4" w:space="0" w:color="auto"/>
              <w:bottom w:val="single" w:sz="4" w:space="0" w:color="auto"/>
              <w:right w:val="single" w:sz="4" w:space="0" w:color="auto"/>
            </w:tcBorders>
          </w:tcPr>
          <w:p w14:paraId="3D888AC9" w14:textId="77777777" w:rsidR="00393C75" w:rsidRDefault="00393C75" w:rsidP="00393C75">
            <w:pPr>
              <w:pStyle w:val="2"/>
              <w:spacing w:before="240"/>
              <w:ind w:leftChars="142" w:left="1645" w:hangingChars="567" w:hanging="1361"/>
              <w:outlineLvl w:val="1"/>
              <w:rPr>
                <w:rFonts w:eastAsiaTheme="minorEastAsia"/>
                <w:sz w:val="24"/>
                <w:szCs w:val="16"/>
                <w:lang w:val="en-US"/>
              </w:rPr>
            </w:pPr>
            <w:r>
              <w:rPr>
                <w:sz w:val="24"/>
                <w:szCs w:val="16"/>
                <w:lang w:val="en-US"/>
              </w:rPr>
              <w:lastRenderedPageBreak/>
              <w:t>Sub-topic 2-</w:t>
            </w:r>
            <w:r>
              <w:rPr>
                <w:rFonts w:eastAsia="宋体"/>
                <w:sz w:val="24"/>
                <w:szCs w:val="16"/>
                <w:lang w:val="en-US"/>
              </w:rPr>
              <w:t>1</w:t>
            </w:r>
            <w:r>
              <w:rPr>
                <w:sz w:val="24"/>
                <w:szCs w:val="16"/>
                <w:lang w:val="en-US"/>
              </w:rPr>
              <w:t xml:space="preserve"> </w:t>
            </w:r>
            <w:r>
              <w:rPr>
                <w:rFonts w:eastAsiaTheme="minorEastAsia"/>
                <w:sz w:val="24"/>
                <w:szCs w:val="16"/>
                <w:lang w:val="en-US"/>
              </w:rPr>
              <w:t>Core requirements of Fast SCell activation for UE supporting Rel-18 EMR</w:t>
            </w:r>
          </w:p>
          <w:p w14:paraId="3A410D99" w14:textId="77777777" w:rsidR="00393C75" w:rsidRDefault="00393C75" w:rsidP="00393C75">
            <w:pPr>
              <w:pStyle w:val="30"/>
              <w:ind w:leftChars="142" w:left="1004"/>
              <w:outlineLvl w:val="2"/>
              <w:rPr>
                <w:rFonts w:eastAsia="宋体"/>
                <w:b/>
                <w:kern w:val="2"/>
                <w:sz w:val="21"/>
                <w:szCs w:val="28"/>
                <w:u w:val="single"/>
                <w:lang w:val="en-US" w:eastAsia="ko-KR"/>
              </w:rPr>
            </w:pPr>
            <w:r>
              <w:rPr>
                <w:b/>
                <w:sz w:val="21"/>
                <w:u w:val="single"/>
                <w:lang w:val="en-US" w:eastAsia="ko-KR"/>
              </w:rPr>
              <w:t>Issue 2-1-1: UE capability for EMR-based fast SCell activation</w:t>
            </w:r>
          </w:p>
          <w:p w14:paraId="6CB3727B" w14:textId="77777777" w:rsidR="00393C75" w:rsidRDefault="00393C75" w:rsidP="00393C75">
            <w:pPr>
              <w:ind w:leftChars="142" w:left="284"/>
              <w:rPr>
                <w:rFonts w:eastAsiaTheme="minorEastAsia"/>
                <w:kern w:val="2"/>
              </w:rPr>
            </w:pPr>
          </w:p>
          <w:p w14:paraId="3B3BD8F6" w14:textId="77777777" w:rsidR="00393C75" w:rsidRDefault="00393C75" w:rsidP="00393C75">
            <w:pPr>
              <w:snapToGrid w:val="0"/>
              <w:spacing w:after="120"/>
              <w:ind w:leftChars="142" w:left="284"/>
              <w:rPr>
                <w:highlight w:val="green"/>
              </w:rPr>
            </w:pPr>
            <w:r>
              <w:rPr>
                <w:highlight w:val="green"/>
              </w:rPr>
              <w:t>Agreement</w:t>
            </w:r>
            <w:r>
              <w:rPr>
                <w:rFonts w:eastAsiaTheme="minorEastAsia"/>
                <w:highlight w:val="green"/>
              </w:rPr>
              <w:t xml:space="preserve"> in Friday online</w:t>
            </w:r>
            <w:r>
              <w:rPr>
                <w:highlight w:val="green"/>
              </w:rPr>
              <w:t>:</w:t>
            </w:r>
          </w:p>
          <w:p w14:paraId="01FF2E03" w14:textId="77777777" w:rsidR="00393C75" w:rsidRDefault="00393C75" w:rsidP="00393C75">
            <w:pPr>
              <w:pStyle w:val="afe"/>
              <w:widowControl w:val="0"/>
              <w:numPr>
                <w:ilvl w:val="0"/>
                <w:numId w:val="23"/>
              </w:numPr>
              <w:spacing w:afterLines="50" w:after="120"/>
              <w:ind w:leftChars="142" w:left="788" w:hangingChars="210" w:hanging="504"/>
              <w:contextualSpacing w:val="0"/>
              <w:jc w:val="both"/>
              <w:rPr>
                <w:rFonts w:eastAsia="宋体"/>
                <w:sz w:val="21"/>
                <w:szCs w:val="21"/>
              </w:rPr>
            </w:pPr>
            <w:r>
              <w:rPr>
                <w:rFonts w:eastAsia="宋体"/>
                <w:szCs w:val="21"/>
              </w:rPr>
              <w:t xml:space="preserve">Introduce one single UE capability for R19 SCell activation based on EMR, further discuss the detail. </w:t>
            </w:r>
          </w:p>
          <w:p w14:paraId="3594D7FF" w14:textId="77777777" w:rsidR="00393C75" w:rsidRDefault="00393C75" w:rsidP="00393C75">
            <w:pPr>
              <w:pStyle w:val="afe"/>
              <w:numPr>
                <w:ilvl w:val="0"/>
                <w:numId w:val="24"/>
              </w:numPr>
              <w:snapToGrid w:val="0"/>
              <w:spacing w:after="120"/>
              <w:ind w:leftChars="142" w:left="644"/>
              <w:contextualSpacing w:val="0"/>
              <w:rPr>
                <w:rFonts w:eastAsia="宋体"/>
                <w:szCs w:val="21"/>
              </w:rPr>
            </w:pPr>
          </w:p>
        </w:tc>
      </w:tr>
    </w:tbl>
    <w:p w14:paraId="6CF4A364" w14:textId="77777777" w:rsidR="00393C75" w:rsidRDefault="00393C75" w:rsidP="00393C75">
      <w:pPr>
        <w:ind w:leftChars="142" w:left="284"/>
        <w:rPr>
          <w:b/>
          <w:lang w:eastAsia="zh-CN"/>
        </w:rPr>
      </w:pPr>
    </w:p>
    <w:p w14:paraId="002D2E5D" w14:textId="77777777" w:rsidR="00393C75" w:rsidRDefault="00393C75" w:rsidP="00393C75">
      <w:pPr>
        <w:ind w:leftChars="142" w:left="284"/>
        <w:jc w:val="both"/>
        <w:rPr>
          <w:rFonts w:eastAsiaTheme="minorEastAsia"/>
          <w:lang w:eastAsia="zh-CN"/>
        </w:rPr>
      </w:pPr>
      <w:r>
        <w:rPr>
          <w:rFonts w:eastAsiaTheme="minorEastAsia"/>
          <w:lang w:val="en-US" w:eastAsia="zh-CN"/>
        </w:rPr>
        <w:t>From our understanding, as long as UE supports IDLE mode EMR, UE shall be able to support the Rel-19 fast SCell activation. Based on the discussion in previous meetings, the final SCell activation delay is rather conservative compared with the original proposals (</w:t>
      </w:r>
      <w:proofErr w:type="gramStart"/>
      <w:r>
        <w:rPr>
          <w:rFonts w:eastAsiaTheme="minorEastAsia"/>
          <w:lang w:val="en-US" w:eastAsia="zh-CN"/>
        </w:rPr>
        <w:t>i.e.</w:t>
      </w:r>
      <w:proofErr w:type="gramEnd"/>
      <w:r>
        <w:rPr>
          <w:rFonts w:eastAsiaTheme="minorEastAsia"/>
          <w:lang w:val="en-US" w:eastAsia="zh-CN"/>
        </w:rPr>
        <w:t xml:space="preserve"> exactly the same as the legacy known case). Only one/two samples are reduced compared with purely unknown cases. </w:t>
      </w:r>
      <w:r>
        <w:rPr>
          <w:rFonts w:eastAsiaTheme="minorEastAsia"/>
          <w:lang w:eastAsia="zh-CN"/>
        </w:rPr>
        <w:t xml:space="preserve">However, RAN4 have an agreement that introduces a new UE capability for R19 SCell activation based on EMR. We propose the new UE capability as shown in the Annex. </w:t>
      </w:r>
    </w:p>
    <w:p w14:paraId="60586326" w14:textId="77777777" w:rsidR="00393C75" w:rsidRDefault="00393C75" w:rsidP="00393C75">
      <w:pPr>
        <w:ind w:leftChars="142" w:left="284"/>
        <w:jc w:val="both"/>
        <w:rPr>
          <w:rFonts w:eastAsiaTheme="minorEastAsia"/>
          <w:b/>
          <w:bCs/>
          <w:lang w:eastAsia="zh-CN"/>
        </w:rPr>
      </w:pPr>
      <w:r>
        <w:rPr>
          <w:rFonts w:eastAsiaTheme="minorEastAsia"/>
          <w:lang w:eastAsia="zh-CN"/>
        </w:rPr>
        <w:t xml:space="preserve">This new Rel-19 capability is needed to link to the Rel-18 39-8 or 39-9 UE feature in the Rel-18 UE feature list, which is shown as follows in Table 5.2 in Annex. </w:t>
      </w:r>
    </w:p>
    <w:p w14:paraId="39E09FF1" w14:textId="41BC9891" w:rsidR="00393C75" w:rsidRDefault="00393C75" w:rsidP="00393C75">
      <w:pPr>
        <w:ind w:leftChars="142" w:left="284"/>
        <w:jc w:val="both"/>
        <w:rPr>
          <w:rFonts w:eastAsiaTheme="minorEastAsia"/>
          <w:b/>
          <w:bCs/>
          <w:lang w:eastAsia="zh-CN"/>
        </w:rPr>
      </w:pPr>
      <w:r>
        <w:rPr>
          <w:rFonts w:eastAsiaTheme="minorEastAsia"/>
          <w:b/>
          <w:bCs/>
          <w:lang w:eastAsia="zh-CN"/>
        </w:rPr>
        <w:t xml:space="preserve">Observation </w:t>
      </w:r>
      <w:r w:rsidR="001F6261">
        <w:rPr>
          <w:rFonts w:eastAsiaTheme="minorEastAsia"/>
          <w:b/>
          <w:bCs/>
          <w:lang w:eastAsia="zh-CN"/>
        </w:rPr>
        <w:t>2</w:t>
      </w:r>
      <w:r>
        <w:rPr>
          <w:rFonts w:eastAsiaTheme="minorEastAsia"/>
          <w:b/>
          <w:bCs/>
          <w:lang w:eastAsia="zh-CN"/>
        </w:rPr>
        <w:t>: There is no need to add the R16 feature in the Prerequisite feature group part.</w:t>
      </w:r>
    </w:p>
    <w:p w14:paraId="7964C16E" w14:textId="5EA92D6D" w:rsidR="00393C75" w:rsidRDefault="00393C75" w:rsidP="00393C75">
      <w:pPr>
        <w:ind w:leftChars="142" w:left="284"/>
        <w:jc w:val="both"/>
        <w:rPr>
          <w:rFonts w:eastAsiaTheme="minorEastAsia"/>
          <w:b/>
          <w:lang w:val="en-US" w:eastAsia="zh-CN"/>
        </w:rPr>
      </w:pPr>
      <w:r>
        <w:rPr>
          <w:rFonts w:eastAsiaTheme="minorEastAsia"/>
          <w:b/>
          <w:lang w:val="en-US" w:eastAsia="zh-CN"/>
        </w:rPr>
        <w:t xml:space="preserve">Proposal </w:t>
      </w:r>
      <w:r w:rsidR="001F6261">
        <w:rPr>
          <w:rFonts w:eastAsiaTheme="minorEastAsia"/>
          <w:b/>
          <w:lang w:val="en-US" w:eastAsia="zh-CN"/>
        </w:rPr>
        <w:t>3</w:t>
      </w:r>
      <w:r>
        <w:rPr>
          <w:rFonts w:eastAsiaTheme="minorEastAsia"/>
          <w:b/>
          <w:lang w:val="en-US" w:eastAsia="zh-CN"/>
        </w:rPr>
        <w:t>: The</w:t>
      </w:r>
      <w:r>
        <w:rPr>
          <w:rFonts w:eastAsiaTheme="minorEastAsia"/>
          <w:b/>
          <w:lang w:eastAsia="zh-CN"/>
        </w:rPr>
        <w:t xml:space="preserve"> details of </w:t>
      </w:r>
      <w:r>
        <w:rPr>
          <w:rFonts w:eastAsiaTheme="minorEastAsia"/>
          <w:b/>
          <w:lang w:val="en-US" w:eastAsia="zh-CN"/>
        </w:rPr>
        <w:t>UE capability for Rel-19 fast SCell activation based on EMR are shown in Annex Table 5.1.</w:t>
      </w:r>
    </w:p>
    <w:p w14:paraId="739633C4" w14:textId="295D93D8" w:rsidR="00393C75" w:rsidRPr="00393C75" w:rsidRDefault="00393C75" w:rsidP="00393C75">
      <w:pPr>
        <w:rPr>
          <w:rFonts w:eastAsiaTheme="minorEastAsia"/>
          <w:b/>
          <w:bCs/>
          <w:sz w:val="24"/>
          <w:szCs w:val="24"/>
          <w:lang w:val="en-US" w:eastAsia="zh-CN"/>
        </w:rPr>
      </w:pPr>
    </w:p>
    <w:bookmarkEnd w:id="1"/>
    <w:bookmarkEnd w:id="2"/>
    <w:bookmarkEnd w:id="3"/>
    <w:bookmarkEnd w:id="4"/>
    <w:p w14:paraId="462028A4" w14:textId="6F039724" w:rsidR="009A59FE" w:rsidRPr="00FD11E4" w:rsidRDefault="00FD11E4" w:rsidP="00166427">
      <w:pPr>
        <w:pStyle w:val="1"/>
        <w:numPr>
          <w:ilvl w:val="0"/>
          <w:numId w:val="0"/>
        </w:numPr>
        <w:ind w:leftChars="100" w:left="200"/>
        <w:jc w:val="both"/>
        <w:rPr>
          <w:rFonts w:ascii="Times New Roman" w:hAnsi="Times New Roman"/>
          <w:lang w:val="en-US" w:eastAsia="zh-CN"/>
        </w:rPr>
      </w:pPr>
      <w:r>
        <w:rPr>
          <w:rFonts w:ascii="Times New Roman" w:hAnsi="Times New Roman"/>
          <w:lang w:val="en-US" w:eastAsia="zh-CN"/>
        </w:rPr>
        <w:t xml:space="preserve">3. </w:t>
      </w:r>
      <w:r w:rsidR="009A59FE" w:rsidRPr="00FD11E4">
        <w:rPr>
          <w:rFonts w:ascii="Times New Roman" w:hAnsi="Times New Roman"/>
          <w:lang w:val="en-US" w:eastAsia="zh-CN"/>
        </w:rPr>
        <w:t>Conclusions</w:t>
      </w:r>
    </w:p>
    <w:p w14:paraId="0F88B08F" w14:textId="77777777" w:rsidR="00D50620" w:rsidRPr="009461B7" w:rsidRDefault="00D50620" w:rsidP="00D50620">
      <w:pPr>
        <w:ind w:left="284" w:firstLine="16"/>
        <w:jc w:val="both"/>
        <w:rPr>
          <w:rFonts w:eastAsiaTheme="minorEastAsia"/>
          <w:b/>
          <w:bCs/>
          <w:lang w:val="en-US" w:eastAsia="zh-CN"/>
        </w:rPr>
      </w:pPr>
      <w:r w:rsidRPr="009461B7">
        <w:rPr>
          <w:rFonts w:eastAsiaTheme="minorEastAsia" w:hint="eastAsia"/>
          <w:b/>
          <w:bCs/>
          <w:snapToGrid w:val="0"/>
          <w:lang w:eastAsia="zh-CN"/>
        </w:rPr>
        <w:t>P</w:t>
      </w:r>
      <w:r w:rsidRPr="009461B7">
        <w:rPr>
          <w:rFonts w:eastAsiaTheme="minorEastAsia"/>
          <w:b/>
          <w:bCs/>
          <w:snapToGrid w:val="0"/>
          <w:lang w:eastAsia="zh-CN"/>
        </w:rPr>
        <w:t xml:space="preserve">roposal 1: The scenario that </w:t>
      </w:r>
      <w:r w:rsidRPr="009461B7">
        <w:rPr>
          <w:rFonts w:eastAsiaTheme="minorEastAsia"/>
          <w:b/>
          <w:bCs/>
          <w:lang w:val="en-US"/>
        </w:rPr>
        <w:t xml:space="preserve">multiple bands are involved and UE reports different BSF values for different bands is out of the Rel-19 BSF scope. Since the scenario </w:t>
      </w:r>
      <w:r>
        <w:rPr>
          <w:rFonts w:eastAsiaTheme="minorEastAsia"/>
          <w:b/>
          <w:bCs/>
          <w:lang w:val="en-US"/>
        </w:rPr>
        <w:t>of Rel-19 BSF is</w:t>
      </w:r>
      <w:r w:rsidRPr="009461B7">
        <w:rPr>
          <w:rFonts w:eastAsiaTheme="minorEastAsia"/>
          <w:b/>
          <w:bCs/>
          <w:lang w:val="en-US"/>
        </w:rPr>
        <w:t xml:space="preserve"> one serving cell and one target MO.</w:t>
      </w:r>
    </w:p>
    <w:p w14:paraId="7471AB58" w14:textId="1FEA2455" w:rsidR="00D50620" w:rsidRPr="00FD4757" w:rsidRDefault="00D50620" w:rsidP="00D50620">
      <w:pPr>
        <w:ind w:leftChars="142" w:left="284" w:firstLine="16"/>
        <w:jc w:val="both"/>
        <w:rPr>
          <w:b/>
          <w:bCs/>
          <w:color w:val="FF0000"/>
        </w:rPr>
      </w:pPr>
      <w:r w:rsidRPr="00FD4757">
        <w:rPr>
          <w:rFonts w:eastAsiaTheme="minorEastAsia" w:hint="eastAsia"/>
          <w:b/>
          <w:bCs/>
          <w:lang w:eastAsia="zh-CN"/>
        </w:rPr>
        <w:t>O</w:t>
      </w:r>
      <w:r w:rsidRPr="00FD4757">
        <w:rPr>
          <w:rFonts w:eastAsiaTheme="minorEastAsia"/>
          <w:b/>
          <w:bCs/>
          <w:lang w:eastAsia="zh-CN"/>
        </w:rPr>
        <w:t>bservation 1: There is</w:t>
      </w:r>
      <w:r>
        <w:t xml:space="preserve"> </w:t>
      </w:r>
      <w:r w:rsidRPr="00144C5E">
        <w:rPr>
          <w:b/>
          <w:bCs/>
        </w:rPr>
        <w:t xml:space="preserve">no </w:t>
      </w:r>
      <w:r w:rsidRPr="00144C5E">
        <w:rPr>
          <w:rFonts w:eastAsiaTheme="minorEastAsia"/>
          <w:b/>
          <w:bCs/>
          <w:lang w:eastAsia="zh-CN"/>
        </w:rPr>
        <w:t xml:space="preserve">requirement or UE capability </w:t>
      </w:r>
      <w:r>
        <w:rPr>
          <w:rFonts w:eastAsiaTheme="minorEastAsia"/>
          <w:b/>
          <w:bCs/>
          <w:lang w:eastAsia="zh-CN"/>
        </w:rPr>
        <w:t xml:space="preserve">that </w:t>
      </w:r>
      <w:r w:rsidRPr="00144C5E">
        <w:rPr>
          <w:rFonts w:eastAsiaTheme="minorEastAsia"/>
          <w:b/>
          <w:bCs/>
          <w:lang w:eastAsia="zh-CN"/>
        </w:rPr>
        <w:t xml:space="preserve">would allow </w:t>
      </w:r>
      <w:r>
        <w:rPr>
          <w:rFonts w:eastAsiaTheme="minorEastAsia"/>
          <w:b/>
          <w:bCs/>
          <w:lang w:eastAsia="zh-CN"/>
        </w:rPr>
        <w:t xml:space="preserve">the </w:t>
      </w:r>
      <w:r w:rsidRPr="00144C5E">
        <w:rPr>
          <w:rFonts w:eastAsiaTheme="minorEastAsia"/>
          <w:b/>
          <w:bCs/>
          <w:lang w:eastAsia="zh-CN"/>
        </w:rPr>
        <w:t>UE to manage the serving cell connection alongside one intra-frequency and two inter-frequency CC measurements.</w:t>
      </w:r>
    </w:p>
    <w:p w14:paraId="0307CD9D" w14:textId="77777777" w:rsidR="00DC61B2" w:rsidRDefault="00DC61B2" w:rsidP="00DC61B2">
      <w:pPr>
        <w:ind w:leftChars="142" w:left="284"/>
        <w:jc w:val="both"/>
        <w:rPr>
          <w:rFonts w:eastAsiaTheme="minorEastAsia"/>
          <w:b/>
          <w:lang w:eastAsia="zh-CN"/>
        </w:rPr>
      </w:pPr>
      <w:r w:rsidRPr="005C47EB">
        <w:rPr>
          <w:rFonts w:eastAsiaTheme="minorEastAsia" w:hint="eastAsia"/>
          <w:b/>
          <w:lang w:eastAsia="zh-CN"/>
        </w:rPr>
        <w:t>P</w:t>
      </w:r>
      <w:r w:rsidRPr="005C47EB">
        <w:rPr>
          <w:rFonts w:eastAsiaTheme="minorEastAsia"/>
          <w:b/>
          <w:lang w:eastAsia="zh-CN"/>
        </w:rPr>
        <w:t xml:space="preserve">roposal </w:t>
      </w:r>
      <w:r>
        <w:rPr>
          <w:rFonts w:eastAsiaTheme="minorEastAsia"/>
          <w:b/>
          <w:lang w:eastAsia="zh-CN"/>
        </w:rPr>
        <w:t>2</w:t>
      </w:r>
      <w:r w:rsidRPr="005C47EB">
        <w:rPr>
          <w:rFonts w:eastAsiaTheme="minorEastAsia"/>
          <w:b/>
          <w:lang w:eastAsia="zh-CN"/>
        </w:rPr>
        <w:t>:</w:t>
      </w:r>
      <w:r w:rsidRPr="00144C5E">
        <w:t xml:space="preserve"> </w:t>
      </w:r>
      <w:r w:rsidRPr="00144C5E">
        <w:rPr>
          <w:rFonts w:eastAsiaTheme="minorEastAsia"/>
          <w:b/>
          <w:lang w:eastAsia="zh-CN"/>
        </w:rPr>
        <w:t>To avoid contradicting the gap enhancement requirement, the 3-searcher solution should not be applied to inter-frequency MOs without a measurement gap</w:t>
      </w:r>
      <w:r>
        <w:rPr>
          <w:rFonts w:eastAsiaTheme="minorEastAsia"/>
          <w:b/>
          <w:lang w:eastAsia="zh-CN"/>
        </w:rPr>
        <w:t xml:space="preserve"> directly</w:t>
      </w:r>
      <w:r w:rsidRPr="00144C5E">
        <w:rPr>
          <w:rFonts w:eastAsiaTheme="minorEastAsia"/>
          <w:b/>
          <w:lang w:eastAsia="zh-CN"/>
        </w:rPr>
        <w:t xml:space="preserve">. Instead, </w:t>
      </w:r>
      <w:r>
        <w:rPr>
          <w:rFonts w:eastAsiaTheme="minorEastAsia"/>
          <w:b/>
          <w:lang w:eastAsia="zh-CN"/>
        </w:rPr>
        <w:t xml:space="preserve">a relaxation for </w:t>
      </w:r>
      <w:r w:rsidRPr="005F3B25">
        <w:rPr>
          <w:rFonts w:eastAsiaTheme="minorEastAsia"/>
          <w:b/>
          <w:lang w:eastAsia="zh-CN"/>
        </w:rPr>
        <w:t>inter-frequency MOs without a measurement gap</w:t>
      </w:r>
      <w:r>
        <w:rPr>
          <w:rFonts w:eastAsiaTheme="minorEastAsia"/>
          <w:b/>
          <w:lang w:eastAsia="zh-CN"/>
        </w:rPr>
        <w:t xml:space="preserve"> is needed in the 3-searcher solution</w:t>
      </w:r>
      <w:r w:rsidRPr="00144C5E">
        <w:rPr>
          <w:rFonts w:eastAsiaTheme="minorEastAsia"/>
          <w:b/>
          <w:lang w:eastAsia="zh-CN"/>
        </w:rPr>
        <w:t>.</w:t>
      </w:r>
    </w:p>
    <w:p w14:paraId="7523A8B4" w14:textId="77FD0BDA" w:rsidR="00D50620" w:rsidRDefault="00D50620" w:rsidP="00D50620">
      <w:pPr>
        <w:ind w:leftChars="142" w:left="284"/>
        <w:jc w:val="both"/>
        <w:rPr>
          <w:rFonts w:eastAsiaTheme="minorEastAsia"/>
          <w:b/>
          <w:bCs/>
          <w:lang w:eastAsia="zh-CN"/>
        </w:rPr>
      </w:pPr>
      <w:r>
        <w:rPr>
          <w:rFonts w:eastAsiaTheme="minorEastAsia"/>
          <w:b/>
          <w:bCs/>
          <w:lang w:eastAsia="zh-CN"/>
        </w:rPr>
        <w:t>Observation 2: There is no need to add the R16 feature in the Prerequisite feature group part.</w:t>
      </w:r>
    </w:p>
    <w:p w14:paraId="767F8FE3" w14:textId="077B85E0" w:rsidR="005E6280" w:rsidRPr="005C47EB" w:rsidRDefault="00D50620" w:rsidP="00D50620">
      <w:pPr>
        <w:ind w:leftChars="142" w:left="284"/>
        <w:jc w:val="both"/>
        <w:rPr>
          <w:rFonts w:eastAsiaTheme="minorEastAsia"/>
          <w:b/>
          <w:lang w:eastAsia="zh-CN"/>
        </w:rPr>
      </w:pPr>
      <w:r>
        <w:rPr>
          <w:rFonts w:eastAsiaTheme="minorEastAsia"/>
          <w:b/>
          <w:lang w:val="en-US" w:eastAsia="zh-CN"/>
        </w:rPr>
        <w:t>Proposal 3: The</w:t>
      </w:r>
      <w:r>
        <w:rPr>
          <w:rFonts w:eastAsiaTheme="minorEastAsia"/>
          <w:b/>
          <w:lang w:eastAsia="zh-CN"/>
        </w:rPr>
        <w:t xml:space="preserve"> details of </w:t>
      </w:r>
      <w:r>
        <w:rPr>
          <w:rFonts w:eastAsiaTheme="minorEastAsia"/>
          <w:b/>
          <w:lang w:val="en-US" w:eastAsia="zh-CN"/>
        </w:rPr>
        <w:t>UE capability for Rel-19 fast SCell activation based on EMR are shown in Annex Table 5.1.</w:t>
      </w:r>
    </w:p>
    <w:p w14:paraId="5D146B4C" w14:textId="55E56ECD" w:rsidR="001917D8" w:rsidRDefault="00FD11E4" w:rsidP="00166427">
      <w:pPr>
        <w:pStyle w:val="1"/>
        <w:numPr>
          <w:ilvl w:val="0"/>
          <w:numId w:val="0"/>
        </w:numPr>
        <w:ind w:leftChars="100" w:left="200"/>
        <w:jc w:val="both"/>
        <w:rPr>
          <w:rFonts w:eastAsia="宋体"/>
          <w:lang w:val="en-US" w:eastAsia="zh-CN"/>
        </w:rPr>
      </w:pPr>
      <w:r>
        <w:rPr>
          <w:lang w:val="en-US" w:eastAsia="zh-CN"/>
        </w:rPr>
        <w:t xml:space="preserve">4. </w:t>
      </w:r>
      <w:r w:rsidR="001917D8" w:rsidRPr="008651B6">
        <w:rPr>
          <w:lang w:val="en-US" w:eastAsia="zh-CN"/>
        </w:rPr>
        <w:t>R</w:t>
      </w:r>
      <w:r w:rsidR="001917D8" w:rsidRPr="008651B6">
        <w:rPr>
          <w:rFonts w:hint="eastAsia"/>
          <w:lang w:val="en-US" w:eastAsia="zh-CN"/>
        </w:rPr>
        <w:t>eferences</w:t>
      </w:r>
    </w:p>
    <w:p w14:paraId="5C2022F6" w14:textId="1989B83A" w:rsidR="0095468F" w:rsidRDefault="00DD0DBC" w:rsidP="00284250">
      <w:pPr>
        <w:numPr>
          <w:ilvl w:val="0"/>
          <w:numId w:val="5"/>
        </w:numPr>
        <w:spacing w:after="120" w:line="259" w:lineRule="auto"/>
        <w:ind w:leftChars="100" w:left="560"/>
        <w:rPr>
          <w:rFonts w:eastAsia="宋体"/>
          <w:sz w:val="24"/>
          <w:szCs w:val="24"/>
          <w:lang w:eastAsia="zh-CN"/>
        </w:rPr>
      </w:pPr>
      <w:r w:rsidRPr="00DD0DBC">
        <w:rPr>
          <w:rFonts w:eastAsia="宋体"/>
          <w:sz w:val="24"/>
          <w:szCs w:val="24"/>
          <w:lang w:eastAsia="zh-CN"/>
        </w:rPr>
        <w:t>R4-</w:t>
      </w:r>
      <w:r w:rsidR="009C75F0" w:rsidRPr="00DD0DBC">
        <w:rPr>
          <w:rFonts w:eastAsia="宋体"/>
          <w:sz w:val="24"/>
          <w:szCs w:val="24"/>
          <w:lang w:eastAsia="zh-CN"/>
        </w:rPr>
        <w:t>25</w:t>
      </w:r>
      <w:r w:rsidR="009C75F0">
        <w:rPr>
          <w:rFonts w:eastAsia="宋体"/>
          <w:sz w:val="24"/>
          <w:szCs w:val="24"/>
          <w:lang w:eastAsia="zh-CN"/>
        </w:rPr>
        <w:t xml:space="preserve">12124 </w:t>
      </w:r>
      <w:r w:rsidR="009C75F0" w:rsidRPr="00284250">
        <w:rPr>
          <w:rFonts w:eastAsia="宋体"/>
          <w:sz w:val="24"/>
          <w:szCs w:val="24"/>
          <w:lang w:eastAsia="zh-CN"/>
        </w:rPr>
        <w:t>WF</w:t>
      </w:r>
      <w:r w:rsidR="00384792" w:rsidRPr="00284250">
        <w:rPr>
          <w:rFonts w:eastAsia="宋体"/>
          <w:sz w:val="24"/>
          <w:szCs w:val="24"/>
          <w:lang w:eastAsia="zh-CN"/>
        </w:rPr>
        <w:t xml:space="preserve"> on RRM requirements for NR_RRM_Ph5_Part1</w:t>
      </w:r>
    </w:p>
    <w:p w14:paraId="51F9492D" w14:textId="236EC72B" w:rsidR="00D92C44" w:rsidRDefault="009C75F0" w:rsidP="009C75F0">
      <w:pPr>
        <w:spacing w:after="120" w:line="259" w:lineRule="auto"/>
        <w:ind w:left="200"/>
        <w:rPr>
          <w:rFonts w:eastAsia="宋体"/>
          <w:sz w:val="24"/>
          <w:szCs w:val="24"/>
          <w:lang w:eastAsia="zh-CN"/>
        </w:rPr>
      </w:pPr>
      <w:r>
        <w:rPr>
          <w:rFonts w:eastAsia="宋体" w:hint="eastAsia"/>
          <w:sz w:val="24"/>
          <w:szCs w:val="24"/>
          <w:lang w:eastAsia="zh-CN"/>
        </w:rPr>
        <w:t>[</w:t>
      </w:r>
      <w:r>
        <w:rPr>
          <w:rFonts w:eastAsia="宋体"/>
          <w:sz w:val="24"/>
          <w:szCs w:val="24"/>
          <w:lang w:eastAsia="zh-CN"/>
        </w:rPr>
        <w:t xml:space="preserve">2] </w:t>
      </w:r>
      <w:r w:rsidRPr="009C75F0">
        <w:rPr>
          <w:rFonts w:eastAsia="宋体"/>
          <w:sz w:val="24"/>
          <w:szCs w:val="24"/>
          <w:lang w:eastAsia="zh-CN"/>
        </w:rPr>
        <w:t>R4-2512125</w:t>
      </w:r>
      <w:r>
        <w:rPr>
          <w:rFonts w:eastAsia="宋体"/>
          <w:sz w:val="24"/>
          <w:szCs w:val="24"/>
          <w:lang w:eastAsia="zh-CN"/>
        </w:rPr>
        <w:t xml:space="preserve"> WF</w:t>
      </w:r>
      <w:r w:rsidRPr="009C75F0">
        <w:rPr>
          <w:rFonts w:eastAsia="宋体"/>
          <w:sz w:val="24"/>
          <w:szCs w:val="24"/>
          <w:lang w:eastAsia="zh-CN"/>
        </w:rPr>
        <w:t xml:space="preserve"> on RRM requirements for NR_RRM_Ph5_Part2</w:t>
      </w:r>
    </w:p>
    <w:p w14:paraId="395E80BB" w14:textId="797D4DF0" w:rsidR="00D92C44" w:rsidRDefault="00D92C44" w:rsidP="00D92C44">
      <w:pPr>
        <w:spacing w:after="120" w:line="259" w:lineRule="auto"/>
        <w:rPr>
          <w:rFonts w:eastAsia="宋体"/>
          <w:sz w:val="24"/>
          <w:szCs w:val="24"/>
          <w:lang w:eastAsia="zh-CN"/>
        </w:rPr>
      </w:pPr>
    </w:p>
    <w:p w14:paraId="036FEF88" w14:textId="77777777" w:rsidR="00D92C44" w:rsidRDefault="00D92C44" w:rsidP="00D92C44">
      <w:pPr>
        <w:spacing w:after="120" w:line="259" w:lineRule="auto"/>
        <w:rPr>
          <w:rFonts w:eastAsia="宋体"/>
          <w:sz w:val="24"/>
          <w:szCs w:val="24"/>
          <w:lang w:eastAsia="zh-CN"/>
        </w:rPr>
        <w:sectPr w:rsidR="00D92C44" w:rsidSect="007654F2">
          <w:footerReference w:type="even" r:id="rId14"/>
          <w:footerReference w:type="default" r:id="rId15"/>
          <w:footnotePr>
            <w:numRestart w:val="eachSect"/>
          </w:footnotePr>
          <w:pgSz w:w="11907" w:h="16840" w:code="9"/>
          <w:pgMar w:top="1412" w:right="1140" w:bottom="1140" w:left="1140" w:header="851" w:footer="346" w:gutter="0"/>
          <w:pgNumType w:start="1"/>
          <w:cols w:space="720"/>
          <w:docGrid w:linePitch="272"/>
        </w:sectPr>
      </w:pPr>
    </w:p>
    <w:p w14:paraId="6503A64C" w14:textId="7E2487A1" w:rsidR="00D92C44" w:rsidRDefault="00D92C44" w:rsidP="00D92C44">
      <w:pPr>
        <w:pStyle w:val="1"/>
        <w:numPr>
          <w:ilvl w:val="0"/>
          <w:numId w:val="25"/>
        </w:numPr>
        <w:tabs>
          <w:tab w:val="left" w:pos="420"/>
        </w:tabs>
        <w:rPr>
          <w:lang w:val="en-US"/>
        </w:rPr>
      </w:pPr>
      <w:r>
        <w:rPr>
          <w:lang w:val="en-US"/>
        </w:rPr>
        <w:lastRenderedPageBreak/>
        <w:t>Annex</w:t>
      </w:r>
    </w:p>
    <w:p w14:paraId="580FAAD8" w14:textId="77777777" w:rsidR="00D92C44" w:rsidRDefault="00D92C44" w:rsidP="00D92C44">
      <w:pPr>
        <w:jc w:val="center"/>
        <w:rPr>
          <w:rFonts w:eastAsiaTheme="minorEastAsia"/>
          <w:b/>
          <w:bCs/>
          <w:lang w:val="en-US" w:eastAsia="zh-CN"/>
        </w:rPr>
      </w:pPr>
      <w:r>
        <w:rPr>
          <w:rFonts w:eastAsiaTheme="minorEastAsia"/>
          <w:b/>
          <w:bCs/>
          <w:lang w:val="en-US" w:eastAsia="zh-CN"/>
        </w:rPr>
        <w:t>Table 5.1 UE capability for Rel-19 fast SCell activation based on EMR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557"/>
        <w:gridCol w:w="1011"/>
        <w:gridCol w:w="1011"/>
        <w:gridCol w:w="968"/>
        <w:gridCol w:w="852"/>
        <w:gridCol w:w="874"/>
        <w:gridCol w:w="1069"/>
        <w:gridCol w:w="1188"/>
        <w:gridCol w:w="1083"/>
        <w:gridCol w:w="1083"/>
        <w:gridCol w:w="1054"/>
        <w:gridCol w:w="1014"/>
        <w:gridCol w:w="1437"/>
      </w:tblGrid>
      <w:tr w:rsidR="00D92C44" w14:paraId="0307041E" w14:textId="77777777" w:rsidTr="00D92C44">
        <w:trPr>
          <w:trHeight w:val="20"/>
        </w:trPr>
        <w:tc>
          <w:tcPr>
            <w:tcW w:w="377" w:type="pct"/>
            <w:tcBorders>
              <w:top w:val="single" w:sz="4" w:space="0" w:color="auto"/>
              <w:left w:val="single" w:sz="4" w:space="0" w:color="auto"/>
              <w:bottom w:val="single" w:sz="4" w:space="0" w:color="auto"/>
              <w:right w:val="single" w:sz="4" w:space="0" w:color="auto"/>
            </w:tcBorders>
            <w:hideMark/>
          </w:tcPr>
          <w:p w14:paraId="6C1A03E5"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Features</w:t>
            </w:r>
          </w:p>
        </w:tc>
        <w:tc>
          <w:tcPr>
            <w:tcW w:w="195" w:type="pct"/>
            <w:tcBorders>
              <w:top w:val="single" w:sz="4" w:space="0" w:color="auto"/>
              <w:left w:val="single" w:sz="4" w:space="0" w:color="auto"/>
              <w:bottom w:val="single" w:sz="4" w:space="0" w:color="auto"/>
              <w:right w:val="single" w:sz="4" w:space="0" w:color="auto"/>
            </w:tcBorders>
            <w:hideMark/>
          </w:tcPr>
          <w:p w14:paraId="3D1469D1"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Index</w:t>
            </w:r>
          </w:p>
        </w:tc>
        <w:tc>
          <w:tcPr>
            <w:tcW w:w="354" w:type="pct"/>
            <w:tcBorders>
              <w:top w:val="single" w:sz="4" w:space="0" w:color="auto"/>
              <w:left w:val="single" w:sz="4" w:space="0" w:color="auto"/>
              <w:bottom w:val="single" w:sz="4" w:space="0" w:color="auto"/>
              <w:right w:val="single" w:sz="4" w:space="0" w:color="auto"/>
            </w:tcBorders>
            <w:hideMark/>
          </w:tcPr>
          <w:p w14:paraId="532C5A0E"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Feature group</w:t>
            </w:r>
          </w:p>
        </w:tc>
        <w:tc>
          <w:tcPr>
            <w:tcW w:w="354" w:type="pct"/>
            <w:tcBorders>
              <w:top w:val="single" w:sz="4" w:space="0" w:color="auto"/>
              <w:left w:val="single" w:sz="4" w:space="0" w:color="auto"/>
              <w:bottom w:val="single" w:sz="4" w:space="0" w:color="auto"/>
              <w:right w:val="single" w:sz="4" w:space="0" w:color="auto"/>
            </w:tcBorders>
          </w:tcPr>
          <w:p w14:paraId="6787B0D6"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Components</w:t>
            </w:r>
          </w:p>
          <w:p w14:paraId="5B97F535" w14:textId="77777777" w:rsidR="00D92C44" w:rsidRDefault="00D92C44">
            <w:pPr>
              <w:keepNext/>
              <w:keepLines/>
              <w:jc w:val="center"/>
              <w:rPr>
                <w:rFonts w:ascii="Arial" w:hAnsi="Arial" w:cs="Arial"/>
                <w:b/>
                <w:kern w:val="2"/>
                <w:sz w:val="13"/>
                <w:szCs w:val="13"/>
              </w:rPr>
            </w:pPr>
          </w:p>
        </w:tc>
        <w:tc>
          <w:tcPr>
            <w:tcW w:w="339" w:type="pct"/>
            <w:tcBorders>
              <w:top w:val="single" w:sz="4" w:space="0" w:color="auto"/>
              <w:left w:val="single" w:sz="4" w:space="0" w:color="auto"/>
              <w:bottom w:val="single" w:sz="4" w:space="0" w:color="auto"/>
              <w:right w:val="single" w:sz="4" w:space="0" w:color="auto"/>
            </w:tcBorders>
            <w:hideMark/>
          </w:tcPr>
          <w:p w14:paraId="6FA6C892"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Prerequisite feature groups</w:t>
            </w:r>
          </w:p>
        </w:tc>
        <w:tc>
          <w:tcPr>
            <w:tcW w:w="298" w:type="pct"/>
            <w:tcBorders>
              <w:top w:val="single" w:sz="4" w:space="0" w:color="auto"/>
              <w:left w:val="single" w:sz="4" w:space="0" w:color="auto"/>
              <w:bottom w:val="single" w:sz="4" w:space="0" w:color="auto"/>
              <w:right w:val="single" w:sz="4" w:space="0" w:color="auto"/>
            </w:tcBorders>
            <w:hideMark/>
          </w:tcPr>
          <w:p w14:paraId="6C696C77"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 xml:space="preserve">Need for the </w:t>
            </w:r>
            <w:proofErr w:type="spellStart"/>
            <w:r>
              <w:rPr>
                <w:rFonts w:ascii="Arial" w:hAnsi="Arial" w:cs="Arial"/>
                <w:b/>
                <w:kern w:val="2"/>
                <w:sz w:val="13"/>
                <w:szCs w:val="13"/>
              </w:rPr>
              <w:t>gNB</w:t>
            </w:r>
            <w:proofErr w:type="spellEnd"/>
            <w:r>
              <w:rPr>
                <w:rFonts w:ascii="Arial" w:hAnsi="Arial" w:cs="Arial"/>
                <w:b/>
                <w:kern w:val="2"/>
                <w:sz w:val="13"/>
                <w:szCs w:val="13"/>
              </w:rPr>
              <w:t xml:space="preserve"> to know if the feature is supported</w:t>
            </w:r>
          </w:p>
        </w:tc>
        <w:tc>
          <w:tcPr>
            <w:tcW w:w="306" w:type="pct"/>
            <w:tcBorders>
              <w:top w:val="single" w:sz="4" w:space="0" w:color="auto"/>
              <w:left w:val="single" w:sz="4" w:space="0" w:color="auto"/>
              <w:bottom w:val="single" w:sz="4" w:space="0" w:color="auto"/>
              <w:right w:val="single" w:sz="4" w:space="0" w:color="auto"/>
            </w:tcBorders>
            <w:hideMark/>
          </w:tcPr>
          <w:p w14:paraId="237312EF" w14:textId="77777777" w:rsidR="00D92C44" w:rsidRDefault="00D92C44">
            <w:pPr>
              <w:keepNext/>
              <w:keepLines/>
              <w:jc w:val="center"/>
              <w:rPr>
                <w:rFonts w:ascii="Arial" w:hAnsi="Arial" w:cs="Arial"/>
                <w:b/>
                <w:kern w:val="2"/>
                <w:sz w:val="13"/>
                <w:szCs w:val="13"/>
              </w:rPr>
            </w:pPr>
            <w:r>
              <w:rPr>
                <w:rFonts w:ascii="Arial" w:eastAsia="Gulim" w:hAnsi="Arial" w:cs="Arial"/>
                <w:b/>
                <w:kern w:val="2"/>
                <w:sz w:val="13"/>
                <w:szCs w:val="13"/>
              </w:rPr>
              <w:t xml:space="preserve">Applicable to </w:t>
            </w:r>
            <w:r>
              <w:rPr>
                <w:rFonts w:ascii="Arial" w:hAnsi="Arial" w:cs="Arial"/>
                <w:b/>
                <w:kern w:val="2"/>
                <w:sz w:val="13"/>
                <w:szCs w:val="13"/>
              </w:rPr>
              <w:t>the capability signalling exchange between UEs (V2X WI only)”.</w:t>
            </w:r>
          </w:p>
        </w:tc>
        <w:tc>
          <w:tcPr>
            <w:tcW w:w="374" w:type="pct"/>
            <w:tcBorders>
              <w:top w:val="single" w:sz="4" w:space="0" w:color="auto"/>
              <w:left w:val="single" w:sz="4" w:space="0" w:color="auto"/>
              <w:bottom w:val="single" w:sz="4" w:space="0" w:color="auto"/>
              <w:right w:val="single" w:sz="4" w:space="0" w:color="auto"/>
            </w:tcBorders>
            <w:hideMark/>
          </w:tcPr>
          <w:p w14:paraId="10AA1E7D" w14:textId="77777777" w:rsidR="00D92C44" w:rsidRDefault="00D92C44">
            <w:pPr>
              <w:keepNext/>
              <w:keepLines/>
              <w:rPr>
                <w:rFonts w:ascii="Arial" w:hAnsi="Arial" w:cs="Arial"/>
                <w:b/>
                <w:kern w:val="2"/>
                <w:sz w:val="13"/>
                <w:szCs w:val="13"/>
              </w:rPr>
            </w:pPr>
            <w:r>
              <w:rPr>
                <w:rFonts w:ascii="Arial" w:hAnsi="Arial" w:cs="Arial"/>
                <w:b/>
                <w:kern w:val="2"/>
                <w:sz w:val="13"/>
                <w:szCs w:val="13"/>
              </w:rPr>
              <w:t>Consequence if the feature is not supported by the UE</w:t>
            </w:r>
          </w:p>
        </w:tc>
        <w:tc>
          <w:tcPr>
            <w:tcW w:w="416" w:type="pct"/>
            <w:tcBorders>
              <w:top w:val="single" w:sz="4" w:space="0" w:color="auto"/>
              <w:left w:val="single" w:sz="4" w:space="0" w:color="auto"/>
              <w:bottom w:val="single" w:sz="4" w:space="0" w:color="auto"/>
              <w:right w:val="single" w:sz="4" w:space="0" w:color="auto"/>
            </w:tcBorders>
            <w:hideMark/>
          </w:tcPr>
          <w:p w14:paraId="696055B5" w14:textId="77777777" w:rsidR="00D92C44" w:rsidRDefault="00D92C44">
            <w:pPr>
              <w:keepNext/>
              <w:keepLines/>
              <w:rPr>
                <w:rFonts w:ascii="Arial" w:hAnsi="Arial" w:cs="Arial"/>
                <w:b/>
                <w:kern w:val="2"/>
                <w:sz w:val="13"/>
                <w:szCs w:val="13"/>
              </w:rPr>
            </w:pPr>
            <w:r>
              <w:rPr>
                <w:rFonts w:ascii="Arial" w:hAnsi="Arial" w:cs="Arial"/>
                <w:b/>
                <w:kern w:val="2"/>
                <w:sz w:val="13"/>
                <w:szCs w:val="13"/>
              </w:rPr>
              <w:t>Type (the ‘type’ definition from UE features should be based on the granularity of 1) Per UE or 2) Per Band or 3) Per BC or 4) Per FS or 5) Per FSPC)</w:t>
            </w:r>
          </w:p>
        </w:tc>
        <w:tc>
          <w:tcPr>
            <w:tcW w:w="379" w:type="pct"/>
            <w:tcBorders>
              <w:top w:val="single" w:sz="4" w:space="0" w:color="auto"/>
              <w:left w:val="single" w:sz="4" w:space="0" w:color="auto"/>
              <w:bottom w:val="single" w:sz="4" w:space="0" w:color="auto"/>
              <w:right w:val="single" w:sz="4" w:space="0" w:color="auto"/>
            </w:tcBorders>
            <w:hideMark/>
          </w:tcPr>
          <w:p w14:paraId="2FC4F8B7"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14:paraId="328656E7"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14:paraId="66C0AE43"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Capability interpretation for mixture of FDD/TDD and/or FR1/FR2</w:t>
            </w:r>
          </w:p>
        </w:tc>
        <w:tc>
          <w:tcPr>
            <w:tcW w:w="355" w:type="pct"/>
            <w:tcBorders>
              <w:top w:val="single" w:sz="4" w:space="0" w:color="auto"/>
              <w:left w:val="single" w:sz="4" w:space="0" w:color="auto"/>
              <w:bottom w:val="single" w:sz="4" w:space="0" w:color="auto"/>
              <w:right w:val="single" w:sz="4" w:space="0" w:color="auto"/>
            </w:tcBorders>
            <w:hideMark/>
          </w:tcPr>
          <w:p w14:paraId="08EA3216"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Note</w:t>
            </w:r>
          </w:p>
        </w:tc>
        <w:tc>
          <w:tcPr>
            <w:tcW w:w="503" w:type="pct"/>
            <w:tcBorders>
              <w:top w:val="single" w:sz="4" w:space="0" w:color="auto"/>
              <w:left w:val="single" w:sz="4" w:space="0" w:color="auto"/>
              <w:bottom w:val="single" w:sz="4" w:space="0" w:color="auto"/>
              <w:right w:val="single" w:sz="4" w:space="0" w:color="auto"/>
            </w:tcBorders>
            <w:hideMark/>
          </w:tcPr>
          <w:p w14:paraId="1B901F21"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Mandatory/Optional</w:t>
            </w:r>
          </w:p>
        </w:tc>
      </w:tr>
      <w:tr w:rsidR="00D92C44" w14:paraId="3B94DDAF" w14:textId="77777777" w:rsidTr="00D92C44">
        <w:trPr>
          <w:trHeight w:val="20"/>
        </w:trPr>
        <w:tc>
          <w:tcPr>
            <w:tcW w:w="377" w:type="pct"/>
            <w:tcBorders>
              <w:top w:val="single" w:sz="4" w:space="0" w:color="auto"/>
              <w:left w:val="single" w:sz="4" w:space="0" w:color="auto"/>
              <w:bottom w:val="single" w:sz="4" w:space="0" w:color="auto"/>
              <w:right w:val="single" w:sz="4" w:space="0" w:color="auto"/>
            </w:tcBorders>
          </w:tcPr>
          <w:p w14:paraId="3F359F2E"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49. NR_RRM_Ph5</w:t>
            </w:r>
          </w:p>
          <w:p w14:paraId="07288EF8" w14:textId="77777777" w:rsidR="00D92C44" w:rsidRDefault="00D92C44">
            <w:pPr>
              <w:keepNext/>
              <w:keepLines/>
              <w:rPr>
                <w:rFonts w:ascii="Arial" w:eastAsiaTheme="minorEastAsia" w:hAnsi="Arial" w:cs="Arial"/>
                <w:kern w:val="2"/>
                <w:sz w:val="13"/>
                <w:szCs w:val="13"/>
              </w:rPr>
            </w:pPr>
          </w:p>
        </w:tc>
        <w:tc>
          <w:tcPr>
            <w:tcW w:w="195" w:type="pct"/>
            <w:tcBorders>
              <w:top w:val="single" w:sz="4" w:space="0" w:color="auto"/>
              <w:left w:val="single" w:sz="4" w:space="0" w:color="auto"/>
              <w:bottom w:val="single" w:sz="4" w:space="0" w:color="auto"/>
              <w:right w:val="single" w:sz="4" w:space="0" w:color="auto"/>
            </w:tcBorders>
            <w:hideMark/>
          </w:tcPr>
          <w:p w14:paraId="3A016FC0"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49-x</w:t>
            </w:r>
          </w:p>
        </w:tc>
        <w:tc>
          <w:tcPr>
            <w:tcW w:w="354" w:type="pct"/>
            <w:tcBorders>
              <w:top w:val="single" w:sz="4" w:space="0" w:color="auto"/>
              <w:left w:val="single" w:sz="4" w:space="0" w:color="auto"/>
              <w:bottom w:val="single" w:sz="4" w:space="0" w:color="auto"/>
              <w:right w:val="single" w:sz="4" w:space="0" w:color="auto"/>
            </w:tcBorders>
            <w:hideMark/>
          </w:tcPr>
          <w:p w14:paraId="6428E04E"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Fast SCell activation based on EMR measurement</w:t>
            </w:r>
          </w:p>
        </w:tc>
        <w:tc>
          <w:tcPr>
            <w:tcW w:w="354" w:type="pct"/>
            <w:tcBorders>
              <w:top w:val="single" w:sz="4" w:space="0" w:color="auto"/>
              <w:left w:val="single" w:sz="4" w:space="0" w:color="auto"/>
              <w:bottom w:val="single" w:sz="4" w:space="0" w:color="auto"/>
              <w:right w:val="single" w:sz="4" w:space="0" w:color="auto"/>
            </w:tcBorders>
            <w:hideMark/>
          </w:tcPr>
          <w:p w14:paraId="0F31FC16"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Supports fast SCell activation based on EMR measurement as specified in TS38.133 clause 8.3.2A</w:t>
            </w:r>
          </w:p>
        </w:tc>
        <w:tc>
          <w:tcPr>
            <w:tcW w:w="339" w:type="pct"/>
            <w:tcBorders>
              <w:top w:val="single" w:sz="4" w:space="0" w:color="auto"/>
              <w:left w:val="single" w:sz="4" w:space="0" w:color="auto"/>
              <w:bottom w:val="single" w:sz="4" w:space="0" w:color="auto"/>
              <w:right w:val="single" w:sz="4" w:space="0" w:color="auto"/>
            </w:tcBorders>
            <w:hideMark/>
          </w:tcPr>
          <w:p w14:paraId="0BA0931D"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39-8 or 39-9 (RAN4 R18 feature list)</w:t>
            </w:r>
          </w:p>
        </w:tc>
        <w:tc>
          <w:tcPr>
            <w:tcW w:w="298" w:type="pct"/>
            <w:tcBorders>
              <w:top w:val="single" w:sz="4" w:space="0" w:color="auto"/>
              <w:left w:val="single" w:sz="4" w:space="0" w:color="auto"/>
              <w:bottom w:val="single" w:sz="4" w:space="0" w:color="auto"/>
              <w:right w:val="single" w:sz="4" w:space="0" w:color="auto"/>
            </w:tcBorders>
            <w:hideMark/>
          </w:tcPr>
          <w:p w14:paraId="2A387F13"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Yes</w:t>
            </w:r>
          </w:p>
        </w:tc>
        <w:tc>
          <w:tcPr>
            <w:tcW w:w="306" w:type="pct"/>
            <w:tcBorders>
              <w:top w:val="single" w:sz="4" w:space="0" w:color="auto"/>
              <w:left w:val="single" w:sz="4" w:space="0" w:color="auto"/>
              <w:bottom w:val="single" w:sz="4" w:space="0" w:color="auto"/>
              <w:right w:val="single" w:sz="4" w:space="0" w:color="auto"/>
            </w:tcBorders>
            <w:hideMark/>
          </w:tcPr>
          <w:p w14:paraId="546FD6F0"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N/A</w:t>
            </w:r>
          </w:p>
        </w:tc>
        <w:tc>
          <w:tcPr>
            <w:tcW w:w="374" w:type="pct"/>
            <w:tcBorders>
              <w:top w:val="single" w:sz="4" w:space="0" w:color="auto"/>
              <w:left w:val="single" w:sz="4" w:space="0" w:color="auto"/>
              <w:bottom w:val="single" w:sz="4" w:space="0" w:color="auto"/>
              <w:right w:val="single" w:sz="4" w:space="0" w:color="auto"/>
            </w:tcBorders>
            <w:hideMark/>
          </w:tcPr>
          <w:p w14:paraId="6195A9A0"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UE does not support fast SCell activation requirements as specified in TS38.133 clause 8.3.2A</w:t>
            </w:r>
          </w:p>
        </w:tc>
        <w:tc>
          <w:tcPr>
            <w:tcW w:w="416" w:type="pct"/>
            <w:tcBorders>
              <w:top w:val="single" w:sz="4" w:space="0" w:color="auto"/>
              <w:left w:val="single" w:sz="4" w:space="0" w:color="auto"/>
              <w:bottom w:val="single" w:sz="4" w:space="0" w:color="auto"/>
              <w:right w:val="single" w:sz="4" w:space="0" w:color="auto"/>
            </w:tcBorders>
            <w:hideMark/>
          </w:tcPr>
          <w:p w14:paraId="4599434E"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Per-UE</w:t>
            </w:r>
          </w:p>
        </w:tc>
        <w:tc>
          <w:tcPr>
            <w:tcW w:w="379" w:type="pct"/>
            <w:tcBorders>
              <w:top w:val="single" w:sz="4" w:space="0" w:color="auto"/>
              <w:left w:val="single" w:sz="4" w:space="0" w:color="auto"/>
              <w:bottom w:val="single" w:sz="4" w:space="0" w:color="auto"/>
              <w:right w:val="single" w:sz="4" w:space="0" w:color="auto"/>
            </w:tcBorders>
            <w:hideMark/>
          </w:tcPr>
          <w:p w14:paraId="23B7DB8F"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No</w:t>
            </w:r>
          </w:p>
        </w:tc>
        <w:tc>
          <w:tcPr>
            <w:tcW w:w="379" w:type="pct"/>
            <w:tcBorders>
              <w:top w:val="single" w:sz="4" w:space="0" w:color="auto"/>
              <w:left w:val="single" w:sz="4" w:space="0" w:color="auto"/>
              <w:bottom w:val="single" w:sz="4" w:space="0" w:color="auto"/>
              <w:right w:val="single" w:sz="4" w:space="0" w:color="auto"/>
            </w:tcBorders>
            <w:hideMark/>
          </w:tcPr>
          <w:p w14:paraId="5F6EB6B8"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No</w:t>
            </w:r>
          </w:p>
        </w:tc>
        <w:tc>
          <w:tcPr>
            <w:tcW w:w="369" w:type="pct"/>
            <w:tcBorders>
              <w:top w:val="single" w:sz="4" w:space="0" w:color="auto"/>
              <w:left w:val="single" w:sz="4" w:space="0" w:color="auto"/>
              <w:bottom w:val="single" w:sz="4" w:space="0" w:color="auto"/>
              <w:right w:val="single" w:sz="4" w:space="0" w:color="auto"/>
            </w:tcBorders>
            <w:hideMark/>
          </w:tcPr>
          <w:p w14:paraId="35648C68"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N/A</w:t>
            </w:r>
          </w:p>
        </w:tc>
        <w:tc>
          <w:tcPr>
            <w:tcW w:w="355" w:type="pct"/>
            <w:tcBorders>
              <w:top w:val="single" w:sz="4" w:space="0" w:color="auto"/>
              <w:left w:val="single" w:sz="4" w:space="0" w:color="auto"/>
              <w:bottom w:val="single" w:sz="4" w:space="0" w:color="auto"/>
              <w:right w:val="single" w:sz="4" w:space="0" w:color="auto"/>
            </w:tcBorders>
            <w:vAlign w:val="center"/>
          </w:tcPr>
          <w:p w14:paraId="6D6B4A45" w14:textId="77777777" w:rsidR="00D92C44" w:rsidRDefault="00D92C44">
            <w:pPr>
              <w:keepNext/>
              <w:keepLines/>
              <w:rPr>
                <w:rFonts w:ascii="Arial" w:eastAsiaTheme="minorEastAsia" w:hAnsi="Arial" w:cs="Arial"/>
                <w:kern w:val="2"/>
                <w:sz w:val="13"/>
                <w:szCs w:val="13"/>
                <w:lang w:eastAsia="zh-CN"/>
              </w:rPr>
            </w:pPr>
          </w:p>
        </w:tc>
        <w:tc>
          <w:tcPr>
            <w:tcW w:w="503" w:type="pct"/>
            <w:tcBorders>
              <w:top w:val="single" w:sz="4" w:space="0" w:color="auto"/>
              <w:left w:val="single" w:sz="4" w:space="0" w:color="auto"/>
              <w:bottom w:val="single" w:sz="4" w:space="0" w:color="auto"/>
              <w:right w:val="single" w:sz="4" w:space="0" w:color="auto"/>
            </w:tcBorders>
            <w:hideMark/>
          </w:tcPr>
          <w:p w14:paraId="480D26C3" w14:textId="77777777" w:rsidR="00D92C44" w:rsidRDefault="00D92C44">
            <w:pPr>
              <w:keepNext/>
              <w:keepLines/>
              <w:rPr>
                <w:rFonts w:ascii="Arial" w:eastAsiaTheme="minorEastAsia" w:hAnsi="Arial" w:cs="Arial"/>
                <w:kern w:val="2"/>
                <w:sz w:val="13"/>
                <w:szCs w:val="13"/>
              </w:rPr>
            </w:pPr>
            <w:r>
              <w:rPr>
                <w:rFonts w:ascii="Arial" w:eastAsiaTheme="minorEastAsia" w:hAnsi="Arial" w:cs="Arial"/>
                <w:kern w:val="2"/>
                <w:sz w:val="13"/>
                <w:szCs w:val="13"/>
              </w:rPr>
              <w:t xml:space="preserve">Optional without capability </w:t>
            </w:r>
            <w:proofErr w:type="spellStart"/>
            <w:r>
              <w:rPr>
                <w:rFonts w:ascii="Arial" w:eastAsiaTheme="minorEastAsia" w:hAnsi="Arial" w:cs="Arial"/>
                <w:kern w:val="2"/>
                <w:sz w:val="13"/>
                <w:szCs w:val="13"/>
              </w:rPr>
              <w:t>signaling</w:t>
            </w:r>
            <w:proofErr w:type="spellEnd"/>
          </w:p>
        </w:tc>
      </w:tr>
    </w:tbl>
    <w:p w14:paraId="59094A0E" w14:textId="77777777" w:rsidR="00D92C44" w:rsidRDefault="00D92C44" w:rsidP="00D92C44">
      <w:pPr>
        <w:rPr>
          <w:b/>
          <w:bCs/>
          <w:lang w:val="en-US"/>
        </w:rPr>
      </w:pPr>
    </w:p>
    <w:p w14:paraId="546ADFDD" w14:textId="77777777" w:rsidR="00D92C44" w:rsidRDefault="00D92C44" w:rsidP="00D92C44">
      <w:pPr>
        <w:jc w:val="center"/>
        <w:rPr>
          <w:rFonts w:eastAsiaTheme="minorEastAsia"/>
          <w:b/>
          <w:bCs/>
          <w:lang w:val="en-US" w:eastAsia="zh-CN"/>
        </w:rPr>
      </w:pPr>
      <w:r>
        <w:rPr>
          <w:rFonts w:eastAsiaTheme="minorEastAsia"/>
          <w:b/>
          <w:bCs/>
          <w:lang w:val="en-US" w:eastAsia="zh-CN"/>
        </w:rPr>
        <w:t>Table 5.2 RAN4 Feature list of Release 18</w:t>
      </w:r>
    </w:p>
    <w:tbl>
      <w:tblP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450"/>
        <w:gridCol w:w="911"/>
        <w:gridCol w:w="1826"/>
        <w:gridCol w:w="871"/>
        <w:gridCol w:w="716"/>
        <w:gridCol w:w="812"/>
        <w:gridCol w:w="911"/>
        <w:gridCol w:w="798"/>
        <w:gridCol w:w="916"/>
        <w:gridCol w:w="916"/>
        <w:gridCol w:w="981"/>
        <w:gridCol w:w="2224"/>
        <w:gridCol w:w="1234"/>
      </w:tblGrid>
      <w:tr w:rsidR="00D92C44" w14:paraId="01F71C1C" w14:textId="77777777" w:rsidTr="00D92C44">
        <w:trPr>
          <w:trHeight w:val="318"/>
        </w:trPr>
        <w:tc>
          <w:tcPr>
            <w:tcW w:w="923" w:type="dxa"/>
            <w:tcBorders>
              <w:top w:val="single" w:sz="4" w:space="0" w:color="auto"/>
              <w:left w:val="single" w:sz="4" w:space="0" w:color="auto"/>
              <w:bottom w:val="single" w:sz="4" w:space="0" w:color="auto"/>
              <w:right w:val="single" w:sz="4" w:space="0" w:color="auto"/>
            </w:tcBorders>
            <w:hideMark/>
          </w:tcPr>
          <w:p w14:paraId="231B06E4" w14:textId="77777777" w:rsidR="00D92C44" w:rsidRDefault="00D92C44">
            <w:pPr>
              <w:snapToGrid w:val="0"/>
              <w:spacing w:afterLines="50" w:after="120"/>
              <w:contextualSpacing/>
              <w:rPr>
                <w:rFonts w:ascii="Arial" w:hAnsi="Arial" w:cs="Arial"/>
                <w:color w:val="000000"/>
                <w:kern w:val="2"/>
                <w:sz w:val="18"/>
              </w:rPr>
            </w:pPr>
            <w:r>
              <w:rPr>
                <w:rFonts w:ascii="Arial" w:hAnsi="Arial" w:cs="Arial"/>
                <w:b/>
                <w:kern w:val="2"/>
                <w:sz w:val="13"/>
                <w:szCs w:val="13"/>
              </w:rPr>
              <w:t>Features</w:t>
            </w:r>
          </w:p>
        </w:tc>
        <w:tc>
          <w:tcPr>
            <w:tcW w:w="449" w:type="dxa"/>
            <w:tcBorders>
              <w:top w:val="single" w:sz="4" w:space="0" w:color="auto"/>
              <w:left w:val="single" w:sz="4" w:space="0" w:color="auto"/>
              <w:bottom w:val="single" w:sz="4" w:space="0" w:color="auto"/>
              <w:right w:val="single" w:sz="4" w:space="0" w:color="auto"/>
            </w:tcBorders>
            <w:hideMark/>
          </w:tcPr>
          <w:p w14:paraId="5EE417FE" w14:textId="77777777" w:rsidR="00D92C44" w:rsidRDefault="00D92C44">
            <w:pPr>
              <w:keepNext/>
              <w:keepLines/>
              <w:overflowPunct w:val="0"/>
              <w:autoSpaceDE w:val="0"/>
              <w:autoSpaceDN w:val="0"/>
              <w:adjustRightInd w:val="0"/>
              <w:textAlignment w:val="baseline"/>
              <w:rPr>
                <w:rFonts w:ascii="Arial" w:eastAsiaTheme="minorEastAsia" w:hAnsi="Arial" w:cs="Arial"/>
                <w:bCs/>
                <w:color w:val="000000"/>
                <w:kern w:val="2"/>
                <w:sz w:val="18"/>
              </w:rPr>
            </w:pPr>
            <w:r>
              <w:rPr>
                <w:rFonts w:ascii="Arial" w:hAnsi="Arial" w:cs="Arial"/>
                <w:b/>
                <w:kern w:val="2"/>
                <w:sz w:val="13"/>
                <w:szCs w:val="13"/>
              </w:rPr>
              <w:t>Index</w:t>
            </w:r>
          </w:p>
        </w:tc>
        <w:tc>
          <w:tcPr>
            <w:tcW w:w="911" w:type="dxa"/>
            <w:tcBorders>
              <w:top w:val="single" w:sz="4" w:space="0" w:color="auto"/>
              <w:left w:val="single" w:sz="4" w:space="0" w:color="auto"/>
              <w:bottom w:val="single" w:sz="4" w:space="0" w:color="auto"/>
              <w:right w:val="single" w:sz="4" w:space="0" w:color="auto"/>
            </w:tcBorders>
            <w:hideMark/>
          </w:tcPr>
          <w:p w14:paraId="6F7949D5"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
                <w:kern w:val="2"/>
                <w:sz w:val="13"/>
                <w:szCs w:val="13"/>
              </w:rPr>
              <w:t>Feature group</w:t>
            </w:r>
          </w:p>
        </w:tc>
        <w:tc>
          <w:tcPr>
            <w:tcW w:w="1826" w:type="dxa"/>
            <w:tcBorders>
              <w:top w:val="single" w:sz="4" w:space="0" w:color="auto"/>
              <w:left w:val="single" w:sz="4" w:space="0" w:color="auto"/>
              <w:bottom w:val="single" w:sz="4" w:space="0" w:color="auto"/>
              <w:right w:val="single" w:sz="4" w:space="0" w:color="auto"/>
            </w:tcBorders>
          </w:tcPr>
          <w:p w14:paraId="1B125310" w14:textId="77777777" w:rsidR="00D92C44" w:rsidRDefault="00D92C44">
            <w:pPr>
              <w:keepNext/>
              <w:keepLines/>
              <w:jc w:val="center"/>
              <w:rPr>
                <w:rFonts w:ascii="Arial" w:hAnsi="Arial" w:cs="Arial"/>
                <w:b/>
                <w:kern w:val="2"/>
                <w:sz w:val="13"/>
                <w:szCs w:val="13"/>
              </w:rPr>
            </w:pPr>
            <w:r>
              <w:rPr>
                <w:rFonts w:ascii="Arial" w:hAnsi="Arial" w:cs="Arial"/>
                <w:b/>
                <w:kern w:val="2"/>
                <w:sz w:val="13"/>
                <w:szCs w:val="13"/>
              </w:rPr>
              <w:t>Components</w:t>
            </w:r>
          </w:p>
          <w:p w14:paraId="290948D5" w14:textId="77777777" w:rsidR="00D92C44" w:rsidRDefault="00D92C44">
            <w:pPr>
              <w:keepNext/>
              <w:keepLines/>
              <w:rPr>
                <w:rFonts w:ascii="Arial" w:hAnsi="Arial" w:cs="Arial"/>
                <w:bCs/>
                <w:color w:val="000000"/>
                <w:kern w:val="2"/>
                <w:sz w:val="18"/>
              </w:rPr>
            </w:pPr>
          </w:p>
        </w:tc>
        <w:tc>
          <w:tcPr>
            <w:tcW w:w="871" w:type="dxa"/>
            <w:tcBorders>
              <w:top w:val="single" w:sz="4" w:space="0" w:color="auto"/>
              <w:left w:val="single" w:sz="4" w:space="0" w:color="auto"/>
              <w:bottom w:val="single" w:sz="4" w:space="0" w:color="auto"/>
              <w:right w:val="single" w:sz="4" w:space="0" w:color="auto"/>
            </w:tcBorders>
            <w:hideMark/>
          </w:tcPr>
          <w:p w14:paraId="643BD9CF"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
                <w:kern w:val="2"/>
                <w:sz w:val="13"/>
                <w:szCs w:val="13"/>
              </w:rPr>
              <w:t>Prerequisite feature groups</w:t>
            </w:r>
          </w:p>
        </w:tc>
        <w:tc>
          <w:tcPr>
            <w:tcW w:w="716" w:type="dxa"/>
            <w:tcBorders>
              <w:top w:val="single" w:sz="4" w:space="0" w:color="auto"/>
              <w:left w:val="single" w:sz="4" w:space="0" w:color="auto"/>
              <w:bottom w:val="single" w:sz="4" w:space="0" w:color="auto"/>
              <w:right w:val="single" w:sz="4" w:space="0" w:color="auto"/>
            </w:tcBorders>
            <w:hideMark/>
          </w:tcPr>
          <w:p w14:paraId="671FD082"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
                <w:kern w:val="2"/>
                <w:sz w:val="13"/>
                <w:szCs w:val="13"/>
              </w:rPr>
              <w:t xml:space="preserve">Need for the </w:t>
            </w:r>
            <w:proofErr w:type="spellStart"/>
            <w:r>
              <w:rPr>
                <w:rFonts w:ascii="Arial" w:hAnsi="Arial" w:cs="Arial"/>
                <w:b/>
                <w:kern w:val="2"/>
                <w:sz w:val="13"/>
                <w:szCs w:val="13"/>
              </w:rPr>
              <w:t>gNB</w:t>
            </w:r>
            <w:proofErr w:type="spellEnd"/>
            <w:r>
              <w:rPr>
                <w:rFonts w:ascii="Arial" w:hAnsi="Arial" w:cs="Arial"/>
                <w:b/>
                <w:kern w:val="2"/>
                <w:sz w:val="13"/>
                <w:szCs w:val="13"/>
              </w:rPr>
              <w:t xml:space="preserve"> to know if the feature is supported</w:t>
            </w:r>
          </w:p>
        </w:tc>
        <w:tc>
          <w:tcPr>
            <w:tcW w:w="812" w:type="dxa"/>
            <w:tcBorders>
              <w:top w:val="single" w:sz="4" w:space="0" w:color="auto"/>
              <w:left w:val="single" w:sz="4" w:space="0" w:color="auto"/>
              <w:bottom w:val="single" w:sz="4" w:space="0" w:color="auto"/>
              <w:right w:val="single" w:sz="4" w:space="0" w:color="auto"/>
            </w:tcBorders>
            <w:hideMark/>
          </w:tcPr>
          <w:p w14:paraId="4A8F0429" w14:textId="77777777" w:rsidR="00D92C44" w:rsidRDefault="00D92C44">
            <w:pPr>
              <w:keepNext/>
              <w:keepLines/>
              <w:overflowPunct w:val="0"/>
              <w:autoSpaceDE w:val="0"/>
              <w:autoSpaceDN w:val="0"/>
              <w:adjustRightInd w:val="0"/>
              <w:textAlignment w:val="baseline"/>
              <w:rPr>
                <w:rFonts w:ascii="Arial" w:eastAsia="Gulim" w:hAnsi="Arial" w:cs="Arial"/>
                <w:bCs/>
                <w:color w:val="000000"/>
                <w:kern w:val="2"/>
                <w:sz w:val="18"/>
              </w:rPr>
            </w:pPr>
            <w:r>
              <w:rPr>
                <w:rFonts w:ascii="Arial" w:eastAsia="Gulim" w:hAnsi="Arial" w:cs="Arial"/>
                <w:b/>
                <w:kern w:val="2"/>
                <w:sz w:val="13"/>
                <w:szCs w:val="13"/>
              </w:rPr>
              <w:t xml:space="preserve">Applicable to </w:t>
            </w:r>
            <w:r>
              <w:rPr>
                <w:rFonts w:ascii="Arial" w:hAnsi="Arial" w:cs="Arial"/>
                <w:b/>
                <w:kern w:val="2"/>
                <w:sz w:val="13"/>
                <w:szCs w:val="13"/>
              </w:rPr>
              <w:t>the capability signalling exchange between UEs (V2X WI only)”.</w:t>
            </w:r>
          </w:p>
        </w:tc>
        <w:tc>
          <w:tcPr>
            <w:tcW w:w="911" w:type="dxa"/>
            <w:tcBorders>
              <w:top w:val="single" w:sz="4" w:space="0" w:color="auto"/>
              <w:left w:val="single" w:sz="4" w:space="0" w:color="auto"/>
              <w:bottom w:val="single" w:sz="4" w:space="0" w:color="auto"/>
              <w:right w:val="single" w:sz="4" w:space="0" w:color="auto"/>
            </w:tcBorders>
            <w:hideMark/>
          </w:tcPr>
          <w:p w14:paraId="6B9F792D" w14:textId="77777777" w:rsidR="00D92C44" w:rsidRDefault="00D92C44">
            <w:pPr>
              <w:keepNext/>
              <w:keepLines/>
              <w:overflowPunct w:val="0"/>
              <w:textAlignment w:val="baseline"/>
              <w:rPr>
                <w:rFonts w:ascii="Arial" w:hAnsi="Arial" w:cs="Arial"/>
                <w:bCs/>
                <w:color w:val="000000"/>
                <w:kern w:val="2"/>
                <w:sz w:val="18"/>
              </w:rPr>
            </w:pPr>
            <w:r>
              <w:rPr>
                <w:rFonts w:ascii="Arial" w:hAnsi="Arial" w:cs="Arial"/>
                <w:b/>
                <w:kern w:val="2"/>
                <w:sz w:val="13"/>
                <w:szCs w:val="13"/>
              </w:rPr>
              <w:t>Consequence if the feature is not supported by the UE</w:t>
            </w:r>
          </w:p>
        </w:tc>
        <w:tc>
          <w:tcPr>
            <w:tcW w:w="798" w:type="dxa"/>
            <w:tcBorders>
              <w:top w:val="single" w:sz="4" w:space="0" w:color="auto"/>
              <w:left w:val="single" w:sz="4" w:space="0" w:color="auto"/>
              <w:bottom w:val="single" w:sz="4" w:space="0" w:color="auto"/>
              <w:right w:val="single" w:sz="4" w:space="0" w:color="auto"/>
            </w:tcBorders>
            <w:hideMark/>
          </w:tcPr>
          <w:p w14:paraId="5FF89CD8" w14:textId="77777777" w:rsidR="00D92C44" w:rsidRDefault="00D92C44">
            <w:pPr>
              <w:keepNext/>
              <w:keepLines/>
              <w:overflowPunct w:val="0"/>
              <w:textAlignment w:val="baseline"/>
              <w:rPr>
                <w:rFonts w:ascii="Arial" w:hAnsi="Arial" w:cs="Arial"/>
                <w:bCs/>
                <w:color w:val="000000"/>
                <w:kern w:val="2"/>
                <w:sz w:val="18"/>
              </w:rPr>
            </w:pPr>
            <w:r>
              <w:rPr>
                <w:rFonts w:ascii="Arial" w:hAnsi="Arial" w:cs="Arial"/>
                <w:b/>
                <w:kern w:val="2"/>
                <w:sz w:val="13"/>
                <w:szCs w:val="13"/>
              </w:rPr>
              <w:t>Type (the ‘type’ definition from UE features should be based on the granularity of 1) Per UE or 2) Per Band or 3) Per BC or 4) Per FS or 5) Per FSPC)</w:t>
            </w:r>
          </w:p>
        </w:tc>
        <w:tc>
          <w:tcPr>
            <w:tcW w:w="916" w:type="dxa"/>
            <w:tcBorders>
              <w:top w:val="single" w:sz="4" w:space="0" w:color="auto"/>
              <w:left w:val="single" w:sz="4" w:space="0" w:color="auto"/>
              <w:bottom w:val="single" w:sz="4" w:space="0" w:color="auto"/>
              <w:right w:val="single" w:sz="4" w:space="0" w:color="auto"/>
            </w:tcBorders>
            <w:hideMark/>
          </w:tcPr>
          <w:p w14:paraId="5FA60114"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
                <w:kern w:val="2"/>
                <w:sz w:val="13"/>
                <w:szCs w:val="13"/>
              </w:rPr>
              <w:t>Need of FDD/TDD differentiation</w:t>
            </w:r>
          </w:p>
        </w:tc>
        <w:tc>
          <w:tcPr>
            <w:tcW w:w="916" w:type="dxa"/>
            <w:tcBorders>
              <w:top w:val="single" w:sz="4" w:space="0" w:color="auto"/>
              <w:left w:val="single" w:sz="4" w:space="0" w:color="auto"/>
              <w:bottom w:val="single" w:sz="4" w:space="0" w:color="auto"/>
              <w:right w:val="single" w:sz="4" w:space="0" w:color="auto"/>
            </w:tcBorders>
            <w:hideMark/>
          </w:tcPr>
          <w:p w14:paraId="7E844AB5"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
                <w:kern w:val="2"/>
                <w:sz w:val="13"/>
                <w:szCs w:val="13"/>
              </w:rPr>
              <w:t>Need of FR1/FR2 differentiation</w:t>
            </w:r>
          </w:p>
        </w:tc>
        <w:tc>
          <w:tcPr>
            <w:tcW w:w="981" w:type="dxa"/>
            <w:tcBorders>
              <w:top w:val="single" w:sz="4" w:space="0" w:color="auto"/>
              <w:left w:val="single" w:sz="4" w:space="0" w:color="auto"/>
              <w:bottom w:val="single" w:sz="4" w:space="0" w:color="auto"/>
              <w:right w:val="single" w:sz="4" w:space="0" w:color="auto"/>
            </w:tcBorders>
            <w:hideMark/>
          </w:tcPr>
          <w:p w14:paraId="3432F7EB" w14:textId="77777777" w:rsidR="00D92C44" w:rsidRDefault="00D92C44">
            <w:pPr>
              <w:keepNext/>
              <w:keepLines/>
              <w:overflowPunct w:val="0"/>
              <w:autoSpaceDE w:val="0"/>
              <w:autoSpaceDN w:val="0"/>
              <w:adjustRightInd w:val="0"/>
              <w:textAlignment w:val="baseline"/>
              <w:rPr>
                <w:rFonts w:ascii="Arial" w:hAnsi="Arial" w:cs="Arial"/>
                <w:kern w:val="2"/>
                <w:sz w:val="18"/>
                <w:szCs w:val="18"/>
              </w:rPr>
            </w:pPr>
            <w:r>
              <w:rPr>
                <w:rFonts w:ascii="Arial" w:hAnsi="Arial" w:cs="Arial"/>
                <w:b/>
                <w:kern w:val="2"/>
                <w:sz w:val="13"/>
                <w:szCs w:val="13"/>
              </w:rPr>
              <w:t>Capability interpretation for mixture of FDD/TDD and/or FR1/FR2</w:t>
            </w:r>
          </w:p>
        </w:tc>
        <w:tc>
          <w:tcPr>
            <w:tcW w:w="2224" w:type="dxa"/>
            <w:tcBorders>
              <w:top w:val="single" w:sz="4" w:space="0" w:color="auto"/>
              <w:left w:val="single" w:sz="4" w:space="0" w:color="auto"/>
              <w:bottom w:val="single" w:sz="4" w:space="0" w:color="auto"/>
              <w:right w:val="single" w:sz="4" w:space="0" w:color="auto"/>
            </w:tcBorders>
            <w:hideMark/>
          </w:tcPr>
          <w:p w14:paraId="225DB715" w14:textId="77777777" w:rsidR="00D92C44" w:rsidRDefault="00D92C44">
            <w:pPr>
              <w:keepNext/>
              <w:keepLines/>
              <w:jc w:val="center"/>
              <w:rPr>
                <w:rFonts w:ascii="Arial" w:hAnsi="Arial" w:cs="Arial"/>
                <w:bCs/>
                <w:color w:val="000000"/>
                <w:kern w:val="2"/>
                <w:sz w:val="18"/>
              </w:rPr>
            </w:pPr>
            <w:r>
              <w:rPr>
                <w:rFonts w:ascii="Arial" w:hAnsi="Arial" w:cs="Arial"/>
                <w:b/>
                <w:kern w:val="2"/>
                <w:sz w:val="13"/>
                <w:szCs w:val="13"/>
              </w:rPr>
              <w:t>Note</w:t>
            </w:r>
          </w:p>
        </w:tc>
        <w:tc>
          <w:tcPr>
            <w:tcW w:w="1234" w:type="dxa"/>
            <w:tcBorders>
              <w:top w:val="single" w:sz="4" w:space="0" w:color="auto"/>
              <w:left w:val="single" w:sz="4" w:space="0" w:color="auto"/>
              <w:bottom w:val="single" w:sz="4" w:space="0" w:color="auto"/>
              <w:right w:val="single" w:sz="4" w:space="0" w:color="auto"/>
            </w:tcBorders>
            <w:hideMark/>
          </w:tcPr>
          <w:p w14:paraId="004569C3"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
                <w:kern w:val="2"/>
                <w:sz w:val="13"/>
                <w:szCs w:val="13"/>
              </w:rPr>
              <w:t>Mandatory/Optional</w:t>
            </w:r>
          </w:p>
        </w:tc>
      </w:tr>
      <w:tr w:rsidR="00D92C44" w14:paraId="4FF4CE6E" w14:textId="77777777" w:rsidTr="00D92C44">
        <w:trPr>
          <w:trHeight w:val="318"/>
        </w:trPr>
        <w:tc>
          <w:tcPr>
            <w:tcW w:w="923" w:type="dxa"/>
            <w:tcBorders>
              <w:top w:val="single" w:sz="4" w:space="0" w:color="auto"/>
              <w:left w:val="single" w:sz="4" w:space="0" w:color="auto"/>
              <w:bottom w:val="single" w:sz="4" w:space="0" w:color="auto"/>
              <w:right w:val="single" w:sz="4" w:space="0" w:color="auto"/>
            </w:tcBorders>
            <w:hideMark/>
          </w:tcPr>
          <w:p w14:paraId="7FFE0F79" w14:textId="77777777" w:rsidR="00D92C44" w:rsidRDefault="00D92C44">
            <w:pPr>
              <w:snapToGrid w:val="0"/>
              <w:spacing w:afterLines="50" w:after="120"/>
              <w:contextualSpacing/>
              <w:rPr>
                <w:rFonts w:ascii="Arial" w:hAnsi="Arial" w:cs="Arial"/>
                <w:color w:val="000000"/>
                <w:kern w:val="2"/>
                <w:sz w:val="18"/>
              </w:rPr>
            </w:pPr>
            <w:r>
              <w:rPr>
                <w:rFonts w:ascii="Arial" w:hAnsi="Arial" w:cs="Arial"/>
                <w:color w:val="000000"/>
                <w:kern w:val="2"/>
                <w:sz w:val="18"/>
              </w:rPr>
              <w:lastRenderedPageBreak/>
              <w:t>39.</w:t>
            </w:r>
          </w:p>
          <w:p w14:paraId="50A4911A" w14:textId="77777777" w:rsidR="00D92C44" w:rsidRDefault="00D92C44">
            <w:pPr>
              <w:snapToGrid w:val="0"/>
              <w:contextualSpacing/>
              <w:rPr>
                <w:rFonts w:ascii="Arial" w:hAnsi="Arial" w:cs="Arial"/>
                <w:color w:val="000000"/>
                <w:kern w:val="2"/>
                <w:sz w:val="18"/>
              </w:rPr>
            </w:pPr>
            <w:r>
              <w:rPr>
                <w:rFonts w:ascii="Arial" w:hAnsi="Arial" w:cs="Arial"/>
                <w:kern w:val="2"/>
                <w:sz w:val="18"/>
                <w:szCs w:val="18"/>
              </w:rPr>
              <w:t>NR_Mob_enh2</w:t>
            </w:r>
          </w:p>
        </w:tc>
        <w:tc>
          <w:tcPr>
            <w:tcW w:w="449" w:type="dxa"/>
            <w:tcBorders>
              <w:top w:val="single" w:sz="4" w:space="0" w:color="auto"/>
              <w:left w:val="single" w:sz="4" w:space="0" w:color="auto"/>
              <w:bottom w:val="single" w:sz="4" w:space="0" w:color="auto"/>
              <w:right w:val="single" w:sz="4" w:space="0" w:color="auto"/>
            </w:tcBorders>
            <w:hideMark/>
          </w:tcPr>
          <w:p w14:paraId="545F6BAF"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eastAsiaTheme="minorEastAsia" w:hAnsi="Arial" w:cs="Arial"/>
                <w:bCs/>
                <w:color w:val="000000"/>
                <w:kern w:val="2"/>
                <w:sz w:val="18"/>
              </w:rPr>
              <w:t>39-8</w:t>
            </w:r>
          </w:p>
        </w:tc>
        <w:tc>
          <w:tcPr>
            <w:tcW w:w="911" w:type="dxa"/>
            <w:tcBorders>
              <w:top w:val="single" w:sz="4" w:space="0" w:color="auto"/>
              <w:left w:val="single" w:sz="4" w:space="0" w:color="auto"/>
              <w:bottom w:val="single" w:sz="4" w:space="0" w:color="auto"/>
              <w:right w:val="single" w:sz="4" w:space="0" w:color="auto"/>
            </w:tcBorders>
            <w:hideMark/>
          </w:tcPr>
          <w:p w14:paraId="6BB2FF39" w14:textId="77777777" w:rsidR="00D92C44" w:rsidRDefault="00D92C44">
            <w:pPr>
              <w:keepNext/>
              <w:keepLines/>
              <w:overflowPunct w:val="0"/>
              <w:autoSpaceDE w:val="0"/>
              <w:autoSpaceDN w:val="0"/>
              <w:adjustRightInd w:val="0"/>
              <w:textAlignment w:val="baseline"/>
              <w:rPr>
                <w:rFonts w:ascii="Arial" w:hAnsi="Arial" w:cs="Arial"/>
                <w:bCs/>
                <w:kern w:val="2"/>
                <w:sz w:val="18"/>
              </w:rPr>
            </w:pPr>
            <w:r>
              <w:rPr>
                <w:rFonts w:ascii="Arial" w:hAnsi="Arial" w:cs="Arial"/>
                <w:bCs/>
                <w:color w:val="000000"/>
                <w:kern w:val="2"/>
                <w:sz w:val="18"/>
              </w:rPr>
              <w:t>Measurement validation based on EMR measurement during connection setup/resume</w:t>
            </w:r>
          </w:p>
        </w:tc>
        <w:tc>
          <w:tcPr>
            <w:tcW w:w="1826" w:type="dxa"/>
            <w:tcBorders>
              <w:top w:val="single" w:sz="4" w:space="0" w:color="auto"/>
              <w:left w:val="single" w:sz="4" w:space="0" w:color="auto"/>
              <w:bottom w:val="single" w:sz="4" w:space="0" w:color="auto"/>
              <w:right w:val="single" w:sz="4" w:space="0" w:color="auto"/>
            </w:tcBorders>
            <w:hideMark/>
          </w:tcPr>
          <w:p w14:paraId="4CF62811" w14:textId="77777777" w:rsidR="00D92C44" w:rsidRDefault="00D92C44">
            <w:pPr>
              <w:keepNext/>
              <w:keepLines/>
              <w:rPr>
                <w:rFonts w:ascii="Arial" w:hAnsi="Arial" w:cs="Arial"/>
                <w:bCs/>
                <w:color w:val="000000"/>
                <w:kern w:val="2"/>
                <w:sz w:val="18"/>
              </w:rPr>
            </w:pPr>
            <w:r>
              <w:rPr>
                <w:rFonts w:ascii="Arial" w:hAnsi="Arial" w:cs="Arial"/>
                <w:bCs/>
                <w:color w:val="000000"/>
                <w:kern w:val="2"/>
                <w:sz w:val="18"/>
              </w:rPr>
              <w:t>Indicate UE supporting measurement validation and report based on EMR measurement during connection setup/resume for fast CA/DC setup</w:t>
            </w:r>
          </w:p>
        </w:tc>
        <w:tc>
          <w:tcPr>
            <w:tcW w:w="871" w:type="dxa"/>
            <w:tcBorders>
              <w:top w:val="single" w:sz="4" w:space="0" w:color="auto"/>
              <w:left w:val="single" w:sz="4" w:space="0" w:color="auto"/>
              <w:bottom w:val="single" w:sz="4" w:space="0" w:color="auto"/>
              <w:right w:val="single" w:sz="4" w:space="0" w:color="auto"/>
            </w:tcBorders>
          </w:tcPr>
          <w:p w14:paraId="1A6BDF7B"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p>
        </w:tc>
        <w:tc>
          <w:tcPr>
            <w:tcW w:w="716" w:type="dxa"/>
            <w:tcBorders>
              <w:top w:val="single" w:sz="4" w:space="0" w:color="auto"/>
              <w:left w:val="single" w:sz="4" w:space="0" w:color="auto"/>
              <w:bottom w:val="single" w:sz="4" w:space="0" w:color="auto"/>
              <w:right w:val="single" w:sz="4" w:space="0" w:color="auto"/>
            </w:tcBorders>
            <w:hideMark/>
          </w:tcPr>
          <w:p w14:paraId="37693A37"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Cs/>
                <w:color w:val="000000"/>
                <w:kern w:val="2"/>
                <w:sz w:val="18"/>
              </w:rPr>
              <w:t>Yes</w:t>
            </w:r>
          </w:p>
        </w:tc>
        <w:tc>
          <w:tcPr>
            <w:tcW w:w="812" w:type="dxa"/>
            <w:tcBorders>
              <w:top w:val="single" w:sz="4" w:space="0" w:color="auto"/>
              <w:left w:val="single" w:sz="4" w:space="0" w:color="auto"/>
              <w:bottom w:val="single" w:sz="4" w:space="0" w:color="auto"/>
              <w:right w:val="single" w:sz="4" w:space="0" w:color="auto"/>
            </w:tcBorders>
            <w:hideMark/>
          </w:tcPr>
          <w:p w14:paraId="5AEB2339" w14:textId="77777777" w:rsidR="00D92C44" w:rsidRDefault="00D92C44">
            <w:pPr>
              <w:keepNext/>
              <w:keepLines/>
              <w:overflowPunct w:val="0"/>
              <w:autoSpaceDE w:val="0"/>
              <w:autoSpaceDN w:val="0"/>
              <w:adjustRightInd w:val="0"/>
              <w:textAlignment w:val="baseline"/>
              <w:rPr>
                <w:rFonts w:ascii="Arial" w:eastAsia="Gulim" w:hAnsi="Arial" w:cs="Arial"/>
                <w:bCs/>
                <w:color w:val="000000"/>
                <w:kern w:val="2"/>
                <w:sz w:val="18"/>
              </w:rPr>
            </w:pPr>
            <w:r>
              <w:rPr>
                <w:rFonts w:ascii="Arial" w:eastAsia="Gulim" w:hAnsi="Arial" w:cs="Arial"/>
                <w:bCs/>
                <w:color w:val="000000"/>
                <w:kern w:val="2"/>
                <w:sz w:val="18"/>
              </w:rPr>
              <w:t>N/A</w:t>
            </w:r>
          </w:p>
        </w:tc>
        <w:tc>
          <w:tcPr>
            <w:tcW w:w="911" w:type="dxa"/>
            <w:tcBorders>
              <w:top w:val="single" w:sz="4" w:space="0" w:color="auto"/>
              <w:left w:val="single" w:sz="4" w:space="0" w:color="auto"/>
              <w:bottom w:val="single" w:sz="4" w:space="0" w:color="auto"/>
              <w:right w:val="single" w:sz="4" w:space="0" w:color="auto"/>
            </w:tcBorders>
            <w:hideMark/>
          </w:tcPr>
          <w:p w14:paraId="09B33A58" w14:textId="77777777" w:rsidR="00D92C44" w:rsidRDefault="00D92C44">
            <w:pPr>
              <w:keepNext/>
              <w:keepLines/>
              <w:overflowPunct w:val="0"/>
              <w:textAlignment w:val="baseline"/>
              <w:rPr>
                <w:rFonts w:ascii="Arial" w:hAnsi="Arial" w:cs="Arial"/>
                <w:bCs/>
                <w:color w:val="000000"/>
                <w:kern w:val="2"/>
                <w:sz w:val="18"/>
              </w:rPr>
            </w:pPr>
            <w:r>
              <w:rPr>
                <w:rFonts w:ascii="Arial" w:hAnsi="Arial" w:cs="Arial"/>
                <w:bCs/>
                <w:color w:val="000000"/>
                <w:kern w:val="2"/>
                <w:sz w:val="18"/>
              </w:rPr>
              <w:t>UE does not support measurement validation during connection setup/resume</w:t>
            </w:r>
          </w:p>
        </w:tc>
        <w:tc>
          <w:tcPr>
            <w:tcW w:w="798" w:type="dxa"/>
            <w:tcBorders>
              <w:top w:val="single" w:sz="4" w:space="0" w:color="auto"/>
              <w:left w:val="single" w:sz="4" w:space="0" w:color="auto"/>
              <w:bottom w:val="single" w:sz="4" w:space="0" w:color="auto"/>
              <w:right w:val="single" w:sz="4" w:space="0" w:color="auto"/>
            </w:tcBorders>
            <w:hideMark/>
          </w:tcPr>
          <w:p w14:paraId="3BD20661" w14:textId="77777777" w:rsidR="00D92C44" w:rsidRDefault="00D92C44">
            <w:pPr>
              <w:keepNext/>
              <w:keepLines/>
              <w:overflowPunct w:val="0"/>
              <w:textAlignment w:val="baseline"/>
              <w:rPr>
                <w:rFonts w:ascii="Arial" w:hAnsi="Arial" w:cs="Arial"/>
                <w:bCs/>
                <w:color w:val="000000"/>
                <w:kern w:val="2"/>
                <w:sz w:val="18"/>
              </w:rPr>
            </w:pPr>
            <w:r>
              <w:rPr>
                <w:rFonts w:ascii="Arial" w:hAnsi="Arial" w:cs="Arial"/>
                <w:bCs/>
                <w:color w:val="000000"/>
                <w:kern w:val="2"/>
                <w:sz w:val="18"/>
              </w:rPr>
              <w:t xml:space="preserve">Per-UE </w:t>
            </w:r>
          </w:p>
        </w:tc>
        <w:tc>
          <w:tcPr>
            <w:tcW w:w="916" w:type="dxa"/>
            <w:tcBorders>
              <w:top w:val="single" w:sz="4" w:space="0" w:color="auto"/>
              <w:left w:val="single" w:sz="4" w:space="0" w:color="auto"/>
              <w:bottom w:val="single" w:sz="4" w:space="0" w:color="auto"/>
              <w:right w:val="single" w:sz="4" w:space="0" w:color="auto"/>
            </w:tcBorders>
            <w:hideMark/>
          </w:tcPr>
          <w:p w14:paraId="034B8ADD"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Cs/>
                <w:color w:val="000000"/>
                <w:kern w:val="2"/>
                <w:sz w:val="18"/>
              </w:rPr>
              <w:t>No</w:t>
            </w:r>
          </w:p>
        </w:tc>
        <w:tc>
          <w:tcPr>
            <w:tcW w:w="916" w:type="dxa"/>
            <w:tcBorders>
              <w:top w:val="single" w:sz="4" w:space="0" w:color="auto"/>
              <w:left w:val="single" w:sz="4" w:space="0" w:color="auto"/>
              <w:bottom w:val="single" w:sz="4" w:space="0" w:color="auto"/>
              <w:right w:val="single" w:sz="4" w:space="0" w:color="auto"/>
            </w:tcBorders>
            <w:hideMark/>
          </w:tcPr>
          <w:p w14:paraId="041AE8AD"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Cs/>
                <w:color w:val="000000"/>
                <w:kern w:val="2"/>
                <w:sz w:val="18"/>
              </w:rPr>
              <w:t>FFS</w:t>
            </w:r>
          </w:p>
        </w:tc>
        <w:tc>
          <w:tcPr>
            <w:tcW w:w="981" w:type="dxa"/>
            <w:tcBorders>
              <w:top w:val="single" w:sz="4" w:space="0" w:color="auto"/>
              <w:left w:val="single" w:sz="4" w:space="0" w:color="auto"/>
              <w:bottom w:val="single" w:sz="4" w:space="0" w:color="auto"/>
              <w:right w:val="single" w:sz="4" w:space="0" w:color="auto"/>
            </w:tcBorders>
            <w:hideMark/>
          </w:tcPr>
          <w:p w14:paraId="175CE4A8"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kern w:val="2"/>
                <w:sz w:val="18"/>
                <w:szCs w:val="18"/>
              </w:rPr>
              <w:t>N/A</w:t>
            </w:r>
          </w:p>
        </w:tc>
        <w:tc>
          <w:tcPr>
            <w:tcW w:w="2224" w:type="dxa"/>
            <w:tcBorders>
              <w:top w:val="single" w:sz="4" w:space="0" w:color="auto"/>
              <w:left w:val="single" w:sz="4" w:space="0" w:color="auto"/>
              <w:bottom w:val="single" w:sz="4" w:space="0" w:color="auto"/>
              <w:right w:val="single" w:sz="4" w:space="0" w:color="auto"/>
            </w:tcBorders>
          </w:tcPr>
          <w:p w14:paraId="61BCC727" w14:textId="77777777" w:rsidR="00D92C44" w:rsidRDefault="00D92C44">
            <w:pPr>
              <w:keepNext/>
              <w:keepLines/>
              <w:jc w:val="center"/>
              <w:rPr>
                <w:rFonts w:ascii="Arial" w:hAnsi="Arial" w:cs="Arial"/>
                <w:bCs/>
                <w:color w:val="000000"/>
                <w:kern w:val="2"/>
                <w:sz w:val="18"/>
              </w:rPr>
            </w:pPr>
          </w:p>
        </w:tc>
        <w:tc>
          <w:tcPr>
            <w:tcW w:w="1234" w:type="dxa"/>
            <w:tcBorders>
              <w:top w:val="single" w:sz="4" w:space="0" w:color="auto"/>
              <w:left w:val="single" w:sz="4" w:space="0" w:color="auto"/>
              <w:bottom w:val="single" w:sz="4" w:space="0" w:color="auto"/>
              <w:right w:val="single" w:sz="4" w:space="0" w:color="auto"/>
            </w:tcBorders>
            <w:hideMark/>
          </w:tcPr>
          <w:p w14:paraId="223114B9"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Cs/>
                <w:color w:val="000000"/>
                <w:kern w:val="2"/>
                <w:sz w:val="18"/>
              </w:rPr>
              <w:t>Optional with capability</w:t>
            </w:r>
            <w:r>
              <w:rPr>
                <w:rFonts w:ascii="Arial" w:eastAsia="PMingLiU" w:hAnsi="Arial" w:cs="Arial"/>
                <w:bCs/>
                <w:color w:val="000000"/>
                <w:kern w:val="2"/>
                <w:sz w:val="18"/>
                <w:lang w:eastAsia="zh-TW"/>
              </w:rPr>
              <w:t xml:space="preserve"> </w:t>
            </w:r>
            <w:proofErr w:type="spellStart"/>
            <w:r>
              <w:rPr>
                <w:rFonts w:ascii="Arial" w:eastAsia="PMingLiU" w:hAnsi="Arial" w:cs="Arial"/>
                <w:bCs/>
                <w:color w:val="000000"/>
                <w:kern w:val="2"/>
                <w:sz w:val="18"/>
                <w:lang w:eastAsia="zh-TW"/>
              </w:rPr>
              <w:t>signaling</w:t>
            </w:r>
            <w:proofErr w:type="spellEnd"/>
          </w:p>
        </w:tc>
      </w:tr>
      <w:tr w:rsidR="00D92C44" w14:paraId="08373C8F" w14:textId="77777777" w:rsidTr="00D92C44">
        <w:trPr>
          <w:trHeight w:val="318"/>
        </w:trPr>
        <w:tc>
          <w:tcPr>
            <w:tcW w:w="923" w:type="dxa"/>
            <w:tcBorders>
              <w:top w:val="single" w:sz="4" w:space="0" w:color="auto"/>
              <w:left w:val="single" w:sz="4" w:space="0" w:color="auto"/>
              <w:bottom w:val="single" w:sz="4" w:space="0" w:color="auto"/>
              <w:right w:val="single" w:sz="4" w:space="0" w:color="auto"/>
            </w:tcBorders>
            <w:hideMark/>
          </w:tcPr>
          <w:p w14:paraId="7DA027E6" w14:textId="77777777" w:rsidR="00D92C44" w:rsidRDefault="00D92C44">
            <w:pPr>
              <w:snapToGrid w:val="0"/>
              <w:spacing w:afterLines="50" w:after="120"/>
              <w:contextualSpacing/>
              <w:rPr>
                <w:rFonts w:ascii="Arial" w:hAnsi="Arial" w:cs="Arial"/>
                <w:color w:val="000000"/>
                <w:kern w:val="2"/>
                <w:sz w:val="18"/>
              </w:rPr>
            </w:pPr>
            <w:r>
              <w:rPr>
                <w:rFonts w:ascii="Arial" w:hAnsi="Arial" w:cs="Arial"/>
                <w:color w:val="000000"/>
                <w:kern w:val="2"/>
                <w:sz w:val="18"/>
              </w:rPr>
              <w:t>39.</w:t>
            </w:r>
          </w:p>
          <w:p w14:paraId="0427AFE0" w14:textId="77777777" w:rsidR="00D92C44" w:rsidRDefault="00D92C44">
            <w:pPr>
              <w:snapToGrid w:val="0"/>
              <w:contextualSpacing/>
              <w:rPr>
                <w:rFonts w:ascii="Arial" w:hAnsi="Arial" w:cs="Arial"/>
                <w:color w:val="000000"/>
                <w:kern w:val="2"/>
                <w:sz w:val="18"/>
              </w:rPr>
            </w:pPr>
            <w:r>
              <w:rPr>
                <w:rFonts w:ascii="Arial" w:hAnsi="Arial" w:cs="Arial"/>
                <w:kern w:val="2"/>
                <w:sz w:val="18"/>
                <w:szCs w:val="18"/>
              </w:rPr>
              <w:t>NR_Mob_enh2</w:t>
            </w:r>
          </w:p>
        </w:tc>
        <w:tc>
          <w:tcPr>
            <w:tcW w:w="449" w:type="dxa"/>
            <w:tcBorders>
              <w:top w:val="single" w:sz="4" w:space="0" w:color="auto"/>
              <w:left w:val="single" w:sz="4" w:space="0" w:color="auto"/>
              <w:bottom w:val="single" w:sz="4" w:space="0" w:color="auto"/>
              <w:right w:val="single" w:sz="4" w:space="0" w:color="auto"/>
            </w:tcBorders>
            <w:hideMark/>
          </w:tcPr>
          <w:p w14:paraId="0192C7AC"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eastAsiaTheme="minorEastAsia" w:hAnsi="Arial" w:cs="Arial"/>
                <w:bCs/>
                <w:color w:val="000000"/>
                <w:kern w:val="2"/>
                <w:sz w:val="18"/>
              </w:rPr>
              <w:t>39-9</w:t>
            </w:r>
          </w:p>
        </w:tc>
        <w:tc>
          <w:tcPr>
            <w:tcW w:w="911" w:type="dxa"/>
            <w:tcBorders>
              <w:top w:val="single" w:sz="4" w:space="0" w:color="auto"/>
              <w:left w:val="single" w:sz="4" w:space="0" w:color="auto"/>
              <w:bottom w:val="single" w:sz="4" w:space="0" w:color="auto"/>
              <w:right w:val="single" w:sz="4" w:space="0" w:color="auto"/>
            </w:tcBorders>
            <w:hideMark/>
          </w:tcPr>
          <w:p w14:paraId="7702B3CC" w14:textId="77777777" w:rsidR="00D92C44" w:rsidRDefault="00D92C44">
            <w:pPr>
              <w:keepNext/>
              <w:keepLines/>
              <w:overflowPunct w:val="0"/>
              <w:autoSpaceDE w:val="0"/>
              <w:autoSpaceDN w:val="0"/>
              <w:adjustRightInd w:val="0"/>
              <w:textAlignment w:val="baseline"/>
              <w:rPr>
                <w:rFonts w:ascii="Arial" w:hAnsi="Arial" w:cs="Arial"/>
                <w:bCs/>
                <w:kern w:val="2"/>
                <w:sz w:val="18"/>
              </w:rPr>
            </w:pPr>
            <w:r>
              <w:rPr>
                <w:rFonts w:ascii="Arial" w:hAnsi="Arial" w:cs="Arial"/>
                <w:bCs/>
                <w:color w:val="000000"/>
                <w:kern w:val="2"/>
                <w:sz w:val="18"/>
              </w:rPr>
              <w:t>Measurement validation based on non-EMR measurement during connection setup/resume</w:t>
            </w:r>
          </w:p>
        </w:tc>
        <w:tc>
          <w:tcPr>
            <w:tcW w:w="1826" w:type="dxa"/>
            <w:tcBorders>
              <w:top w:val="single" w:sz="4" w:space="0" w:color="auto"/>
              <w:left w:val="single" w:sz="4" w:space="0" w:color="auto"/>
              <w:bottom w:val="single" w:sz="4" w:space="0" w:color="auto"/>
              <w:right w:val="single" w:sz="4" w:space="0" w:color="auto"/>
            </w:tcBorders>
            <w:hideMark/>
          </w:tcPr>
          <w:p w14:paraId="3DB8A0A8" w14:textId="77777777" w:rsidR="00D92C44" w:rsidRDefault="00D92C44">
            <w:pPr>
              <w:keepNext/>
              <w:keepLines/>
              <w:rPr>
                <w:rFonts w:ascii="Arial" w:hAnsi="Arial" w:cs="Arial"/>
                <w:bCs/>
                <w:color w:val="000000"/>
                <w:kern w:val="2"/>
                <w:sz w:val="18"/>
              </w:rPr>
            </w:pPr>
            <w:r>
              <w:rPr>
                <w:rFonts w:ascii="Arial" w:hAnsi="Arial" w:cs="Arial"/>
                <w:bCs/>
                <w:color w:val="000000"/>
                <w:kern w:val="2"/>
                <w:sz w:val="18"/>
              </w:rPr>
              <w:t>Indicate UE supporting measurement validation and report based on non-EMR measurement during connection setup/resume for fast CA/DC setup</w:t>
            </w:r>
          </w:p>
        </w:tc>
        <w:tc>
          <w:tcPr>
            <w:tcW w:w="871" w:type="dxa"/>
            <w:tcBorders>
              <w:top w:val="single" w:sz="4" w:space="0" w:color="auto"/>
              <w:left w:val="single" w:sz="4" w:space="0" w:color="auto"/>
              <w:bottom w:val="single" w:sz="4" w:space="0" w:color="auto"/>
              <w:right w:val="single" w:sz="4" w:space="0" w:color="auto"/>
            </w:tcBorders>
          </w:tcPr>
          <w:p w14:paraId="6EF822AC"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p>
        </w:tc>
        <w:tc>
          <w:tcPr>
            <w:tcW w:w="716" w:type="dxa"/>
            <w:tcBorders>
              <w:top w:val="single" w:sz="4" w:space="0" w:color="auto"/>
              <w:left w:val="single" w:sz="4" w:space="0" w:color="auto"/>
              <w:bottom w:val="single" w:sz="4" w:space="0" w:color="auto"/>
              <w:right w:val="single" w:sz="4" w:space="0" w:color="auto"/>
            </w:tcBorders>
            <w:hideMark/>
          </w:tcPr>
          <w:p w14:paraId="405711ED"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Cs/>
                <w:color w:val="000000"/>
                <w:kern w:val="2"/>
                <w:sz w:val="18"/>
              </w:rPr>
              <w:t>Yes</w:t>
            </w:r>
          </w:p>
        </w:tc>
        <w:tc>
          <w:tcPr>
            <w:tcW w:w="812" w:type="dxa"/>
            <w:tcBorders>
              <w:top w:val="single" w:sz="4" w:space="0" w:color="auto"/>
              <w:left w:val="single" w:sz="4" w:space="0" w:color="auto"/>
              <w:bottom w:val="single" w:sz="4" w:space="0" w:color="auto"/>
              <w:right w:val="single" w:sz="4" w:space="0" w:color="auto"/>
            </w:tcBorders>
            <w:hideMark/>
          </w:tcPr>
          <w:p w14:paraId="67578B3C" w14:textId="77777777" w:rsidR="00D92C44" w:rsidRDefault="00D92C44">
            <w:pPr>
              <w:keepNext/>
              <w:keepLines/>
              <w:overflowPunct w:val="0"/>
              <w:autoSpaceDE w:val="0"/>
              <w:autoSpaceDN w:val="0"/>
              <w:adjustRightInd w:val="0"/>
              <w:textAlignment w:val="baseline"/>
              <w:rPr>
                <w:rFonts w:ascii="Arial" w:eastAsia="Gulim" w:hAnsi="Arial" w:cs="Arial"/>
                <w:bCs/>
                <w:color w:val="000000"/>
                <w:kern w:val="2"/>
                <w:sz w:val="18"/>
              </w:rPr>
            </w:pPr>
            <w:r>
              <w:rPr>
                <w:rFonts w:ascii="Arial" w:eastAsia="Gulim" w:hAnsi="Arial" w:cs="Arial"/>
                <w:bCs/>
                <w:color w:val="000000"/>
                <w:kern w:val="2"/>
                <w:sz w:val="18"/>
              </w:rPr>
              <w:t>N/A</w:t>
            </w:r>
          </w:p>
        </w:tc>
        <w:tc>
          <w:tcPr>
            <w:tcW w:w="911" w:type="dxa"/>
            <w:tcBorders>
              <w:top w:val="single" w:sz="4" w:space="0" w:color="auto"/>
              <w:left w:val="single" w:sz="4" w:space="0" w:color="auto"/>
              <w:bottom w:val="single" w:sz="4" w:space="0" w:color="auto"/>
              <w:right w:val="single" w:sz="4" w:space="0" w:color="auto"/>
            </w:tcBorders>
            <w:hideMark/>
          </w:tcPr>
          <w:p w14:paraId="24856A58" w14:textId="77777777" w:rsidR="00D92C44" w:rsidRDefault="00D92C44">
            <w:pPr>
              <w:keepNext/>
              <w:keepLines/>
              <w:overflowPunct w:val="0"/>
              <w:textAlignment w:val="baseline"/>
              <w:rPr>
                <w:rFonts w:ascii="Arial" w:hAnsi="Arial" w:cs="Arial"/>
                <w:bCs/>
                <w:color w:val="000000"/>
                <w:kern w:val="2"/>
                <w:sz w:val="18"/>
              </w:rPr>
            </w:pPr>
            <w:r>
              <w:rPr>
                <w:rFonts w:ascii="Arial" w:hAnsi="Arial" w:cs="Arial"/>
                <w:bCs/>
                <w:color w:val="000000"/>
                <w:kern w:val="2"/>
                <w:sz w:val="18"/>
              </w:rPr>
              <w:t>UE does not support measurement validation during connection setup/resume</w:t>
            </w:r>
          </w:p>
        </w:tc>
        <w:tc>
          <w:tcPr>
            <w:tcW w:w="798" w:type="dxa"/>
            <w:tcBorders>
              <w:top w:val="single" w:sz="4" w:space="0" w:color="auto"/>
              <w:left w:val="single" w:sz="4" w:space="0" w:color="auto"/>
              <w:bottom w:val="single" w:sz="4" w:space="0" w:color="auto"/>
              <w:right w:val="single" w:sz="4" w:space="0" w:color="auto"/>
            </w:tcBorders>
            <w:hideMark/>
          </w:tcPr>
          <w:p w14:paraId="2D4D7AE0" w14:textId="77777777" w:rsidR="00D92C44" w:rsidRDefault="00D92C44">
            <w:pPr>
              <w:keepNext/>
              <w:keepLines/>
              <w:overflowPunct w:val="0"/>
              <w:textAlignment w:val="baseline"/>
              <w:rPr>
                <w:rFonts w:ascii="Arial" w:hAnsi="Arial" w:cs="Arial"/>
                <w:bCs/>
                <w:color w:val="000000"/>
                <w:kern w:val="2"/>
                <w:sz w:val="18"/>
              </w:rPr>
            </w:pPr>
            <w:r>
              <w:rPr>
                <w:rFonts w:ascii="Arial" w:hAnsi="Arial" w:cs="Arial"/>
                <w:bCs/>
                <w:color w:val="000000"/>
                <w:kern w:val="2"/>
                <w:sz w:val="18"/>
              </w:rPr>
              <w:t xml:space="preserve">Per-UE </w:t>
            </w:r>
          </w:p>
        </w:tc>
        <w:tc>
          <w:tcPr>
            <w:tcW w:w="916" w:type="dxa"/>
            <w:tcBorders>
              <w:top w:val="single" w:sz="4" w:space="0" w:color="auto"/>
              <w:left w:val="single" w:sz="4" w:space="0" w:color="auto"/>
              <w:bottom w:val="single" w:sz="4" w:space="0" w:color="auto"/>
              <w:right w:val="single" w:sz="4" w:space="0" w:color="auto"/>
            </w:tcBorders>
            <w:hideMark/>
          </w:tcPr>
          <w:p w14:paraId="106FB31A"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Cs/>
                <w:color w:val="000000"/>
                <w:kern w:val="2"/>
                <w:sz w:val="18"/>
              </w:rPr>
              <w:t>No</w:t>
            </w:r>
          </w:p>
        </w:tc>
        <w:tc>
          <w:tcPr>
            <w:tcW w:w="916" w:type="dxa"/>
            <w:tcBorders>
              <w:top w:val="single" w:sz="4" w:space="0" w:color="auto"/>
              <w:left w:val="single" w:sz="4" w:space="0" w:color="auto"/>
              <w:bottom w:val="single" w:sz="4" w:space="0" w:color="auto"/>
              <w:right w:val="single" w:sz="4" w:space="0" w:color="auto"/>
            </w:tcBorders>
            <w:hideMark/>
          </w:tcPr>
          <w:p w14:paraId="2836AA1D"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Cs/>
                <w:color w:val="000000"/>
                <w:kern w:val="2"/>
                <w:sz w:val="18"/>
              </w:rPr>
              <w:t xml:space="preserve">FFS </w:t>
            </w:r>
          </w:p>
        </w:tc>
        <w:tc>
          <w:tcPr>
            <w:tcW w:w="981" w:type="dxa"/>
            <w:tcBorders>
              <w:top w:val="single" w:sz="4" w:space="0" w:color="auto"/>
              <w:left w:val="single" w:sz="4" w:space="0" w:color="auto"/>
              <w:bottom w:val="single" w:sz="4" w:space="0" w:color="auto"/>
              <w:right w:val="single" w:sz="4" w:space="0" w:color="auto"/>
            </w:tcBorders>
            <w:hideMark/>
          </w:tcPr>
          <w:p w14:paraId="5428E0D1"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kern w:val="2"/>
                <w:sz w:val="18"/>
                <w:szCs w:val="18"/>
              </w:rPr>
              <w:t>N/A</w:t>
            </w:r>
          </w:p>
        </w:tc>
        <w:tc>
          <w:tcPr>
            <w:tcW w:w="2224" w:type="dxa"/>
            <w:tcBorders>
              <w:top w:val="single" w:sz="4" w:space="0" w:color="auto"/>
              <w:left w:val="single" w:sz="4" w:space="0" w:color="auto"/>
              <w:bottom w:val="single" w:sz="4" w:space="0" w:color="auto"/>
              <w:right w:val="single" w:sz="4" w:space="0" w:color="auto"/>
            </w:tcBorders>
          </w:tcPr>
          <w:p w14:paraId="3F459A4D" w14:textId="77777777" w:rsidR="00D92C44" w:rsidRDefault="00D92C44">
            <w:pPr>
              <w:keepNext/>
              <w:keepLines/>
              <w:jc w:val="center"/>
              <w:rPr>
                <w:rFonts w:ascii="Arial" w:hAnsi="Arial" w:cs="Arial"/>
                <w:bCs/>
                <w:color w:val="000000"/>
                <w:kern w:val="2"/>
                <w:sz w:val="18"/>
              </w:rPr>
            </w:pPr>
          </w:p>
        </w:tc>
        <w:tc>
          <w:tcPr>
            <w:tcW w:w="1234" w:type="dxa"/>
            <w:tcBorders>
              <w:top w:val="single" w:sz="4" w:space="0" w:color="auto"/>
              <w:left w:val="single" w:sz="4" w:space="0" w:color="auto"/>
              <w:bottom w:val="single" w:sz="4" w:space="0" w:color="auto"/>
              <w:right w:val="single" w:sz="4" w:space="0" w:color="auto"/>
            </w:tcBorders>
            <w:hideMark/>
          </w:tcPr>
          <w:p w14:paraId="6C3D56C9" w14:textId="77777777" w:rsidR="00D92C44" w:rsidRDefault="00D92C44">
            <w:pPr>
              <w:keepNext/>
              <w:keepLines/>
              <w:overflowPunct w:val="0"/>
              <w:autoSpaceDE w:val="0"/>
              <w:autoSpaceDN w:val="0"/>
              <w:adjustRightInd w:val="0"/>
              <w:textAlignment w:val="baseline"/>
              <w:rPr>
                <w:rFonts w:ascii="Arial" w:hAnsi="Arial" w:cs="Arial"/>
                <w:bCs/>
                <w:color w:val="000000"/>
                <w:kern w:val="2"/>
                <w:sz w:val="18"/>
              </w:rPr>
            </w:pPr>
            <w:r>
              <w:rPr>
                <w:rFonts w:ascii="Arial" w:hAnsi="Arial" w:cs="Arial"/>
                <w:bCs/>
                <w:color w:val="000000"/>
                <w:kern w:val="2"/>
                <w:sz w:val="18"/>
              </w:rPr>
              <w:t>Optional with capability</w:t>
            </w:r>
            <w:r>
              <w:rPr>
                <w:rFonts w:ascii="Arial" w:eastAsia="PMingLiU" w:hAnsi="Arial" w:cs="Arial"/>
                <w:bCs/>
                <w:color w:val="000000"/>
                <w:kern w:val="2"/>
                <w:sz w:val="18"/>
                <w:lang w:eastAsia="zh-TW"/>
              </w:rPr>
              <w:t xml:space="preserve"> </w:t>
            </w:r>
            <w:proofErr w:type="spellStart"/>
            <w:r>
              <w:rPr>
                <w:rFonts w:ascii="Arial" w:eastAsia="PMingLiU" w:hAnsi="Arial" w:cs="Arial"/>
                <w:bCs/>
                <w:color w:val="000000"/>
                <w:kern w:val="2"/>
                <w:sz w:val="18"/>
                <w:lang w:eastAsia="zh-TW"/>
              </w:rPr>
              <w:t>signaling</w:t>
            </w:r>
            <w:proofErr w:type="spellEnd"/>
          </w:p>
        </w:tc>
      </w:tr>
    </w:tbl>
    <w:p w14:paraId="4A1ADDD7" w14:textId="77777777" w:rsidR="00D92C44" w:rsidRDefault="00D92C44" w:rsidP="00D92C44">
      <w:pPr>
        <w:spacing w:after="0" w:line="240" w:lineRule="exact"/>
        <w:rPr>
          <w:lang w:val="en-US"/>
        </w:rPr>
      </w:pPr>
    </w:p>
    <w:p w14:paraId="5723DF61" w14:textId="4FB23A35" w:rsidR="00D92C44" w:rsidRDefault="00D92C44" w:rsidP="00D92C44">
      <w:pPr>
        <w:spacing w:after="120" w:line="259" w:lineRule="auto"/>
        <w:rPr>
          <w:rFonts w:eastAsia="宋体"/>
          <w:sz w:val="24"/>
          <w:szCs w:val="24"/>
          <w:lang w:eastAsia="zh-CN"/>
        </w:rPr>
      </w:pPr>
    </w:p>
    <w:sectPr w:rsidR="00D92C44" w:rsidSect="00D92C44">
      <w:footnotePr>
        <w:numRestart w:val="eachSect"/>
      </w:footnotePr>
      <w:pgSz w:w="16840" w:h="11907" w:orient="landscape" w:code="9"/>
      <w:pgMar w:top="1140" w:right="1412" w:bottom="1140"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482FE" w14:textId="77777777" w:rsidR="002641F2" w:rsidRDefault="002641F2">
      <w:r>
        <w:separator/>
      </w:r>
    </w:p>
  </w:endnote>
  <w:endnote w:type="continuationSeparator" w:id="0">
    <w:p w14:paraId="00D3390A" w14:textId="77777777" w:rsidR="002641F2" w:rsidRDefault="0026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8B289" w14:textId="77777777" w:rsidR="002641F2" w:rsidRDefault="002641F2">
      <w:r>
        <w:separator/>
      </w:r>
    </w:p>
  </w:footnote>
  <w:footnote w:type="continuationSeparator" w:id="0">
    <w:p w14:paraId="26FFBD3E" w14:textId="77777777" w:rsidR="002641F2" w:rsidRDefault="00264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8015"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宋体" w:hAnsi="Times New Roman" w:cs="Times New Roman"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7"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76E7FBD"/>
    <w:multiLevelType w:val="hybridMultilevel"/>
    <w:tmpl w:val="BCF2213A"/>
    <w:lvl w:ilvl="0" w:tplc="4AE6D1B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733709"/>
    <w:multiLevelType w:val="hybridMultilevel"/>
    <w:tmpl w:val="62DA9D42"/>
    <w:lvl w:ilvl="0" w:tplc="431AC68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575726"/>
    <w:multiLevelType w:val="hybridMultilevel"/>
    <w:tmpl w:val="073AB352"/>
    <w:lvl w:ilvl="0" w:tplc="E356E5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6"/>
  </w:num>
  <w:num w:numId="2">
    <w:abstractNumId w:val="13"/>
  </w:num>
  <w:num w:numId="3">
    <w:abstractNumId w:val="14"/>
  </w:num>
  <w:num w:numId="4">
    <w:abstractNumId w:val="2"/>
  </w:num>
  <w:num w:numId="5">
    <w:abstractNumId w:val="0"/>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11"/>
  </w:num>
  <w:num w:numId="11">
    <w:abstractNumId w:val="9"/>
  </w:num>
  <w:num w:numId="12">
    <w:abstractNumId w:val="9"/>
  </w:num>
  <w:num w:numId="1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6"/>
  </w:num>
  <w:num w:numId="17">
    <w:abstractNumId w:val="6"/>
  </w:num>
  <w:num w:numId="18">
    <w:abstractNumId w:val="8"/>
  </w:num>
  <w:num w:numId="19">
    <w:abstractNumId w:val="6"/>
  </w:num>
  <w:num w:numId="20">
    <w:abstractNumId w:val="6"/>
  </w:num>
  <w:num w:numId="21">
    <w:abstractNumId w:val="6"/>
  </w:num>
  <w:num w:numId="22">
    <w:abstractNumId w:val="6"/>
  </w:num>
  <w:num w:numId="23">
    <w:abstractNumId w:val="12"/>
  </w:num>
  <w:num w:numId="24">
    <w:abstractNumId w:val="9"/>
  </w:num>
  <w:num w:numId="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0MjawMDIztjA1NjNS0lEKTi0uzszPAykwsagFAIZUYrgtAAAA"/>
  </w:docVars>
  <w:rsids>
    <w:rsidRoot w:val="00482B06"/>
    <w:rsid w:val="00000196"/>
    <w:rsid w:val="00000A54"/>
    <w:rsid w:val="00000B62"/>
    <w:rsid w:val="00001021"/>
    <w:rsid w:val="000011FD"/>
    <w:rsid w:val="000018A0"/>
    <w:rsid w:val="00001953"/>
    <w:rsid w:val="00001D7B"/>
    <w:rsid w:val="00001DF7"/>
    <w:rsid w:val="00001E8F"/>
    <w:rsid w:val="00001E96"/>
    <w:rsid w:val="00002835"/>
    <w:rsid w:val="00002C6E"/>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1E1"/>
    <w:rsid w:val="000076A4"/>
    <w:rsid w:val="00010283"/>
    <w:rsid w:val="00010285"/>
    <w:rsid w:val="0001034A"/>
    <w:rsid w:val="00010EE0"/>
    <w:rsid w:val="00010FA3"/>
    <w:rsid w:val="000113B2"/>
    <w:rsid w:val="0001181D"/>
    <w:rsid w:val="00011C44"/>
    <w:rsid w:val="000120E9"/>
    <w:rsid w:val="0001245D"/>
    <w:rsid w:val="000126F8"/>
    <w:rsid w:val="000127E2"/>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857"/>
    <w:rsid w:val="00021CF3"/>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8B1"/>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299"/>
    <w:rsid w:val="00031339"/>
    <w:rsid w:val="000317A7"/>
    <w:rsid w:val="000318E5"/>
    <w:rsid w:val="00031BAA"/>
    <w:rsid w:val="00031D4D"/>
    <w:rsid w:val="00031E5D"/>
    <w:rsid w:val="00031F08"/>
    <w:rsid w:val="00031F9B"/>
    <w:rsid w:val="00031FA9"/>
    <w:rsid w:val="00032846"/>
    <w:rsid w:val="00032C72"/>
    <w:rsid w:val="000332A1"/>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1F7B"/>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3"/>
    <w:rsid w:val="00046088"/>
    <w:rsid w:val="000461F4"/>
    <w:rsid w:val="00046313"/>
    <w:rsid w:val="000463EF"/>
    <w:rsid w:val="000466A9"/>
    <w:rsid w:val="000468F6"/>
    <w:rsid w:val="00046B02"/>
    <w:rsid w:val="000471F8"/>
    <w:rsid w:val="0004791F"/>
    <w:rsid w:val="0004795F"/>
    <w:rsid w:val="00047A40"/>
    <w:rsid w:val="00047DC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450"/>
    <w:rsid w:val="000549BA"/>
    <w:rsid w:val="00054A77"/>
    <w:rsid w:val="000550EF"/>
    <w:rsid w:val="000555DB"/>
    <w:rsid w:val="00055B21"/>
    <w:rsid w:val="00055CF0"/>
    <w:rsid w:val="00055DC9"/>
    <w:rsid w:val="00055F19"/>
    <w:rsid w:val="00056775"/>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181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36"/>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4E90"/>
    <w:rsid w:val="0007531E"/>
    <w:rsid w:val="0007555F"/>
    <w:rsid w:val="0007577E"/>
    <w:rsid w:val="000758E0"/>
    <w:rsid w:val="00075F81"/>
    <w:rsid w:val="00076054"/>
    <w:rsid w:val="000760DF"/>
    <w:rsid w:val="00076370"/>
    <w:rsid w:val="000767B3"/>
    <w:rsid w:val="00076CEE"/>
    <w:rsid w:val="00076CFC"/>
    <w:rsid w:val="00076F8C"/>
    <w:rsid w:val="000772B1"/>
    <w:rsid w:val="0007768A"/>
    <w:rsid w:val="00077FE0"/>
    <w:rsid w:val="00080990"/>
    <w:rsid w:val="00080EDD"/>
    <w:rsid w:val="000810F6"/>
    <w:rsid w:val="0008118C"/>
    <w:rsid w:val="000812C8"/>
    <w:rsid w:val="000814D7"/>
    <w:rsid w:val="000818DA"/>
    <w:rsid w:val="000818F9"/>
    <w:rsid w:val="0008197D"/>
    <w:rsid w:val="00081DD5"/>
    <w:rsid w:val="00081E1F"/>
    <w:rsid w:val="000820D7"/>
    <w:rsid w:val="000823D2"/>
    <w:rsid w:val="00082D87"/>
    <w:rsid w:val="00083081"/>
    <w:rsid w:val="000831B5"/>
    <w:rsid w:val="00083212"/>
    <w:rsid w:val="00083354"/>
    <w:rsid w:val="0008336D"/>
    <w:rsid w:val="000834A4"/>
    <w:rsid w:val="00083DB5"/>
    <w:rsid w:val="000841A8"/>
    <w:rsid w:val="00084301"/>
    <w:rsid w:val="0008452A"/>
    <w:rsid w:val="00084779"/>
    <w:rsid w:val="00084A3F"/>
    <w:rsid w:val="00084BE4"/>
    <w:rsid w:val="00085380"/>
    <w:rsid w:val="0008544F"/>
    <w:rsid w:val="00085C24"/>
    <w:rsid w:val="00085DB7"/>
    <w:rsid w:val="00085E6C"/>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1DC7"/>
    <w:rsid w:val="00092076"/>
    <w:rsid w:val="00092919"/>
    <w:rsid w:val="00092B20"/>
    <w:rsid w:val="00092DCA"/>
    <w:rsid w:val="00093273"/>
    <w:rsid w:val="000935E6"/>
    <w:rsid w:val="000937D2"/>
    <w:rsid w:val="00094060"/>
    <w:rsid w:val="000940C0"/>
    <w:rsid w:val="00094236"/>
    <w:rsid w:val="000947D3"/>
    <w:rsid w:val="00094B78"/>
    <w:rsid w:val="00094FFF"/>
    <w:rsid w:val="000952C2"/>
    <w:rsid w:val="00095ACA"/>
    <w:rsid w:val="00095F15"/>
    <w:rsid w:val="00096355"/>
    <w:rsid w:val="000969FD"/>
    <w:rsid w:val="00097210"/>
    <w:rsid w:val="000972E8"/>
    <w:rsid w:val="000974EC"/>
    <w:rsid w:val="00097968"/>
    <w:rsid w:val="00097E06"/>
    <w:rsid w:val="000A01A0"/>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2E"/>
    <w:rsid w:val="000A343E"/>
    <w:rsid w:val="000A3A69"/>
    <w:rsid w:val="000A3BF5"/>
    <w:rsid w:val="000A3F33"/>
    <w:rsid w:val="000A40EE"/>
    <w:rsid w:val="000A412F"/>
    <w:rsid w:val="000A457C"/>
    <w:rsid w:val="000A479D"/>
    <w:rsid w:val="000A4864"/>
    <w:rsid w:val="000A561C"/>
    <w:rsid w:val="000A5C5D"/>
    <w:rsid w:val="000A6602"/>
    <w:rsid w:val="000A6A04"/>
    <w:rsid w:val="000A7047"/>
    <w:rsid w:val="000A7264"/>
    <w:rsid w:val="000A77C8"/>
    <w:rsid w:val="000A786A"/>
    <w:rsid w:val="000A79E3"/>
    <w:rsid w:val="000B0386"/>
    <w:rsid w:val="000B075B"/>
    <w:rsid w:val="000B0794"/>
    <w:rsid w:val="000B0B23"/>
    <w:rsid w:val="000B0B73"/>
    <w:rsid w:val="000B0D61"/>
    <w:rsid w:val="000B125B"/>
    <w:rsid w:val="000B1F4E"/>
    <w:rsid w:val="000B24B0"/>
    <w:rsid w:val="000B275A"/>
    <w:rsid w:val="000B2836"/>
    <w:rsid w:val="000B2A42"/>
    <w:rsid w:val="000B2C91"/>
    <w:rsid w:val="000B2CF6"/>
    <w:rsid w:val="000B2EFB"/>
    <w:rsid w:val="000B305B"/>
    <w:rsid w:val="000B38C6"/>
    <w:rsid w:val="000B3A48"/>
    <w:rsid w:val="000B3B17"/>
    <w:rsid w:val="000B434A"/>
    <w:rsid w:val="000B4DF2"/>
    <w:rsid w:val="000B5119"/>
    <w:rsid w:val="000B5189"/>
    <w:rsid w:val="000B522B"/>
    <w:rsid w:val="000B5482"/>
    <w:rsid w:val="000B5DA1"/>
    <w:rsid w:val="000B5DA3"/>
    <w:rsid w:val="000B5FC6"/>
    <w:rsid w:val="000B6334"/>
    <w:rsid w:val="000B68BD"/>
    <w:rsid w:val="000B69FC"/>
    <w:rsid w:val="000B6A7A"/>
    <w:rsid w:val="000B6B3E"/>
    <w:rsid w:val="000B6CC8"/>
    <w:rsid w:val="000B6D46"/>
    <w:rsid w:val="000B6EF5"/>
    <w:rsid w:val="000B7018"/>
    <w:rsid w:val="000B72EA"/>
    <w:rsid w:val="000B74B2"/>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100"/>
    <w:rsid w:val="000C2600"/>
    <w:rsid w:val="000C27B8"/>
    <w:rsid w:val="000C291C"/>
    <w:rsid w:val="000C29AA"/>
    <w:rsid w:val="000C29FE"/>
    <w:rsid w:val="000C2AD2"/>
    <w:rsid w:val="000C3179"/>
    <w:rsid w:val="000C3266"/>
    <w:rsid w:val="000C3CDF"/>
    <w:rsid w:val="000C3F13"/>
    <w:rsid w:val="000C3FE9"/>
    <w:rsid w:val="000C44E4"/>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6D77"/>
    <w:rsid w:val="000C6DB5"/>
    <w:rsid w:val="000C7201"/>
    <w:rsid w:val="000C73B4"/>
    <w:rsid w:val="000C7863"/>
    <w:rsid w:val="000C7D4E"/>
    <w:rsid w:val="000C7E14"/>
    <w:rsid w:val="000D01BA"/>
    <w:rsid w:val="000D07C3"/>
    <w:rsid w:val="000D0DE2"/>
    <w:rsid w:val="000D0E14"/>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41F"/>
    <w:rsid w:val="000D46EE"/>
    <w:rsid w:val="000D4905"/>
    <w:rsid w:val="000D4997"/>
    <w:rsid w:val="000D4CE6"/>
    <w:rsid w:val="000D4E0C"/>
    <w:rsid w:val="000D55D1"/>
    <w:rsid w:val="000D5A4C"/>
    <w:rsid w:val="000D5C1C"/>
    <w:rsid w:val="000D5C37"/>
    <w:rsid w:val="000D5F83"/>
    <w:rsid w:val="000D6056"/>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7D9"/>
    <w:rsid w:val="000E58CF"/>
    <w:rsid w:val="000E5A81"/>
    <w:rsid w:val="000E5C05"/>
    <w:rsid w:val="000E5DCD"/>
    <w:rsid w:val="000E6208"/>
    <w:rsid w:val="000E63A8"/>
    <w:rsid w:val="000E63C1"/>
    <w:rsid w:val="000E6A1B"/>
    <w:rsid w:val="000E6F2D"/>
    <w:rsid w:val="000E71BC"/>
    <w:rsid w:val="000E725C"/>
    <w:rsid w:val="000E7569"/>
    <w:rsid w:val="000E7792"/>
    <w:rsid w:val="000E7CE0"/>
    <w:rsid w:val="000E7E5D"/>
    <w:rsid w:val="000F0D98"/>
    <w:rsid w:val="000F0E0B"/>
    <w:rsid w:val="000F121D"/>
    <w:rsid w:val="000F156E"/>
    <w:rsid w:val="000F1912"/>
    <w:rsid w:val="000F197F"/>
    <w:rsid w:val="000F1DA5"/>
    <w:rsid w:val="000F1DCC"/>
    <w:rsid w:val="000F21A0"/>
    <w:rsid w:val="000F21CF"/>
    <w:rsid w:val="000F2216"/>
    <w:rsid w:val="000F2669"/>
    <w:rsid w:val="000F2A62"/>
    <w:rsid w:val="000F2E48"/>
    <w:rsid w:val="000F33F8"/>
    <w:rsid w:val="000F3EE0"/>
    <w:rsid w:val="000F424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55C3"/>
    <w:rsid w:val="00105AD5"/>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E5E"/>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789"/>
    <w:rsid w:val="00125C52"/>
    <w:rsid w:val="00125E63"/>
    <w:rsid w:val="00125F26"/>
    <w:rsid w:val="00125FF1"/>
    <w:rsid w:val="001266F1"/>
    <w:rsid w:val="001267B1"/>
    <w:rsid w:val="0012690F"/>
    <w:rsid w:val="00126A0C"/>
    <w:rsid w:val="00126DA5"/>
    <w:rsid w:val="001271F9"/>
    <w:rsid w:val="0012725A"/>
    <w:rsid w:val="00127407"/>
    <w:rsid w:val="0012741B"/>
    <w:rsid w:val="0012772E"/>
    <w:rsid w:val="001279A1"/>
    <w:rsid w:val="00127DFD"/>
    <w:rsid w:val="00127E48"/>
    <w:rsid w:val="00130319"/>
    <w:rsid w:val="00130320"/>
    <w:rsid w:val="001304A3"/>
    <w:rsid w:val="00130B20"/>
    <w:rsid w:val="00130CE2"/>
    <w:rsid w:val="00131543"/>
    <w:rsid w:val="001315ED"/>
    <w:rsid w:val="00131878"/>
    <w:rsid w:val="00131CCC"/>
    <w:rsid w:val="00131DE9"/>
    <w:rsid w:val="00131E56"/>
    <w:rsid w:val="00131FD4"/>
    <w:rsid w:val="00132E79"/>
    <w:rsid w:val="00133103"/>
    <w:rsid w:val="0013328B"/>
    <w:rsid w:val="001337E7"/>
    <w:rsid w:val="001338E6"/>
    <w:rsid w:val="0013441D"/>
    <w:rsid w:val="00134714"/>
    <w:rsid w:val="001348CC"/>
    <w:rsid w:val="00134DB0"/>
    <w:rsid w:val="001352DA"/>
    <w:rsid w:val="00135E13"/>
    <w:rsid w:val="0013603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2D1"/>
    <w:rsid w:val="001423A1"/>
    <w:rsid w:val="0014252B"/>
    <w:rsid w:val="0014256A"/>
    <w:rsid w:val="001425D9"/>
    <w:rsid w:val="0014261C"/>
    <w:rsid w:val="00142FCB"/>
    <w:rsid w:val="001430CD"/>
    <w:rsid w:val="00143946"/>
    <w:rsid w:val="00143F5B"/>
    <w:rsid w:val="0014436D"/>
    <w:rsid w:val="00144488"/>
    <w:rsid w:val="001445CF"/>
    <w:rsid w:val="001447B2"/>
    <w:rsid w:val="00144C5E"/>
    <w:rsid w:val="00144CF2"/>
    <w:rsid w:val="00145056"/>
    <w:rsid w:val="001458BF"/>
    <w:rsid w:val="00145C8F"/>
    <w:rsid w:val="00145E66"/>
    <w:rsid w:val="00146078"/>
    <w:rsid w:val="00146354"/>
    <w:rsid w:val="0014638D"/>
    <w:rsid w:val="00146462"/>
    <w:rsid w:val="0014657E"/>
    <w:rsid w:val="00146693"/>
    <w:rsid w:val="00146A24"/>
    <w:rsid w:val="001470BB"/>
    <w:rsid w:val="001479DA"/>
    <w:rsid w:val="00147C15"/>
    <w:rsid w:val="00147DE3"/>
    <w:rsid w:val="00147F35"/>
    <w:rsid w:val="0015074E"/>
    <w:rsid w:val="00150F51"/>
    <w:rsid w:val="00151091"/>
    <w:rsid w:val="0015144E"/>
    <w:rsid w:val="00151665"/>
    <w:rsid w:val="001516D8"/>
    <w:rsid w:val="001517A4"/>
    <w:rsid w:val="00151825"/>
    <w:rsid w:val="00151ABA"/>
    <w:rsid w:val="00152025"/>
    <w:rsid w:val="00152169"/>
    <w:rsid w:val="0015239C"/>
    <w:rsid w:val="001525ED"/>
    <w:rsid w:val="00152859"/>
    <w:rsid w:val="001528E5"/>
    <w:rsid w:val="0015297C"/>
    <w:rsid w:val="001530DF"/>
    <w:rsid w:val="00153107"/>
    <w:rsid w:val="00153822"/>
    <w:rsid w:val="0015383D"/>
    <w:rsid w:val="0015388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A22"/>
    <w:rsid w:val="00164E99"/>
    <w:rsid w:val="00164F18"/>
    <w:rsid w:val="001650B3"/>
    <w:rsid w:val="0016554F"/>
    <w:rsid w:val="00165FAB"/>
    <w:rsid w:val="001661AA"/>
    <w:rsid w:val="00166427"/>
    <w:rsid w:val="00166544"/>
    <w:rsid w:val="00166901"/>
    <w:rsid w:val="00166A4F"/>
    <w:rsid w:val="00166CB7"/>
    <w:rsid w:val="0016746F"/>
    <w:rsid w:val="0016787E"/>
    <w:rsid w:val="001679C5"/>
    <w:rsid w:val="00167D02"/>
    <w:rsid w:val="0017014B"/>
    <w:rsid w:val="00170337"/>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76F"/>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644"/>
    <w:rsid w:val="001827C3"/>
    <w:rsid w:val="00182838"/>
    <w:rsid w:val="00182942"/>
    <w:rsid w:val="00182AE3"/>
    <w:rsid w:val="00182B7F"/>
    <w:rsid w:val="00182E7C"/>
    <w:rsid w:val="00183384"/>
    <w:rsid w:val="00183A29"/>
    <w:rsid w:val="00183BAA"/>
    <w:rsid w:val="001842E4"/>
    <w:rsid w:val="00184407"/>
    <w:rsid w:val="0018446D"/>
    <w:rsid w:val="00184499"/>
    <w:rsid w:val="00184BF9"/>
    <w:rsid w:val="0018555B"/>
    <w:rsid w:val="00185893"/>
    <w:rsid w:val="00185A63"/>
    <w:rsid w:val="00185B25"/>
    <w:rsid w:val="00185DA8"/>
    <w:rsid w:val="0018608D"/>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7D8"/>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6DB0"/>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3CF7"/>
    <w:rsid w:val="001A4C57"/>
    <w:rsid w:val="001A50B1"/>
    <w:rsid w:val="001A5A07"/>
    <w:rsid w:val="001A5F42"/>
    <w:rsid w:val="001A6604"/>
    <w:rsid w:val="001A6625"/>
    <w:rsid w:val="001A6716"/>
    <w:rsid w:val="001A6B26"/>
    <w:rsid w:val="001A745C"/>
    <w:rsid w:val="001A79A4"/>
    <w:rsid w:val="001A7C8B"/>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284"/>
    <w:rsid w:val="001B2495"/>
    <w:rsid w:val="001B31C0"/>
    <w:rsid w:val="001B3291"/>
    <w:rsid w:val="001B3810"/>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954"/>
    <w:rsid w:val="001B7A1F"/>
    <w:rsid w:val="001B7E7E"/>
    <w:rsid w:val="001C00E1"/>
    <w:rsid w:val="001C027D"/>
    <w:rsid w:val="001C02E6"/>
    <w:rsid w:val="001C064F"/>
    <w:rsid w:val="001C08F3"/>
    <w:rsid w:val="001C0AC3"/>
    <w:rsid w:val="001C0C94"/>
    <w:rsid w:val="001C138C"/>
    <w:rsid w:val="001C177B"/>
    <w:rsid w:val="001C186E"/>
    <w:rsid w:val="001C1DDA"/>
    <w:rsid w:val="001C26CE"/>
    <w:rsid w:val="001C2A3F"/>
    <w:rsid w:val="001C3588"/>
    <w:rsid w:val="001C36B5"/>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92"/>
    <w:rsid w:val="001D24BE"/>
    <w:rsid w:val="001D25A6"/>
    <w:rsid w:val="001D27ED"/>
    <w:rsid w:val="001D2896"/>
    <w:rsid w:val="001D28C3"/>
    <w:rsid w:val="001D2E6A"/>
    <w:rsid w:val="001D2E79"/>
    <w:rsid w:val="001D309C"/>
    <w:rsid w:val="001D371D"/>
    <w:rsid w:val="001D382B"/>
    <w:rsid w:val="001D3CC1"/>
    <w:rsid w:val="001D43C3"/>
    <w:rsid w:val="001D44AA"/>
    <w:rsid w:val="001D46B3"/>
    <w:rsid w:val="001D472D"/>
    <w:rsid w:val="001D4854"/>
    <w:rsid w:val="001D4ABF"/>
    <w:rsid w:val="001D4FC4"/>
    <w:rsid w:val="001D5080"/>
    <w:rsid w:val="001D50BC"/>
    <w:rsid w:val="001D52E4"/>
    <w:rsid w:val="001D53D2"/>
    <w:rsid w:val="001D5430"/>
    <w:rsid w:val="001D5755"/>
    <w:rsid w:val="001D5B58"/>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0D27"/>
    <w:rsid w:val="001F11EB"/>
    <w:rsid w:val="001F161C"/>
    <w:rsid w:val="001F197D"/>
    <w:rsid w:val="001F1AFB"/>
    <w:rsid w:val="001F1C48"/>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B5B"/>
    <w:rsid w:val="001F5C35"/>
    <w:rsid w:val="001F6261"/>
    <w:rsid w:val="001F6341"/>
    <w:rsid w:val="001F6A48"/>
    <w:rsid w:val="001F6E40"/>
    <w:rsid w:val="001F71DC"/>
    <w:rsid w:val="001F7246"/>
    <w:rsid w:val="001F76C6"/>
    <w:rsid w:val="001F786D"/>
    <w:rsid w:val="001F7A15"/>
    <w:rsid w:val="001F7D63"/>
    <w:rsid w:val="0020036A"/>
    <w:rsid w:val="002005EB"/>
    <w:rsid w:val="00200D15"/>
    <w:rsid w:val="00201631"/>
    <w:rsid w:val="00201637"/>
    <w:rsid w:val="0020165E"/>
    <w:rsid w:val="002019FF"/>
    <w:rsid w:val="00201A22"/>
    <w:rsid w:val="00201CA6"/>
    <w:rsid w:val="00201EC9"/>
    <w:rsid w:val="00202368"/>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72C"/>
    <w:rsid w:val="00204E86"/>
    <w:rsid w:val="00205225"/>
    <w:rsid w:val="00205322"/>
    <w:rsid w:val="002053DA"/>
    <w:rsid w:val="00205462"/>
    <w:rsid w:val="0020587C"/>
    <w:rsid w:val="00205938"/>
    <w:rsid w:val="002064D1"/>
    <w:rsid w:val="002069A6"/>
    <w:rsid w:val="00206B0D"/>
    <w:rsid w:val="00206E6A"/>
    <w:rsid w:val="002076F3"/>
    <w:rsid w:val="00207BD8"/>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7B4"/>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02D"/>
    <w:rsid w:val="00230C94"/>
    <w:rsid w:val="00230EB7"/>
    <w:rsid w:val="00230EC6"/>
    <w:rsid w:val="00230FCF"/>
    <w:rsid w:val="00231076"/>
    <w:rsid w:val="002310AF"/>
    <w:rsid w:val="00232177"/>
    <w:rsid w:val="002322D9"/>
    <w:rsid w:val="002322F6"/>
    <w:rsid w:val="00232321"/>
    <w:rsid w:val="002328CF"/>
    <w:rsid w:val="00232AA8"/>
    <w:rsid w:val="00232ABE"/>
    <w:rsid w:val="00233355"/>
    <w:rsid w:val="002337A8"/>
    <w:rsid w:val="00233AC6"/>
    <w:rsid w:val="0023458E"/>
    <w:rsid w:val="00234C5F"/>
    <w:rsid w:val="0023519B"/>
    <w:rsid w:val="00235827"/>
    <w:rsid w:val="0023585F"/>
    <w:rsid w:val="00235D88"/>
    <w:rsid w:val="00235F0C"/>
    <w:rsid w:val="0023615E"/>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54"/>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0BB"/>
    <w:rsid w:val="00260452"/>
    <w:rsid w:val="002604B0"/>
    <w:rsid w:val="0026084E"/>
    <w:rsid w:val="00260D9B"/>
    <w:rsid w:val="00261335"/>
    <w:rsid w:val="00261579"/>
    <w:rsid w:val="002616D0"/>
    <w:rsid w:val="002619F2"/>
    <w:rsid w:val="00261BFA"/>
    <w:rsid w:val="00261E1D"/>
    <w:rsid w:val="0026241D"/>
    <w:rsid w:val="00262601"/>
    <w:rsid w:val="00262697"/>
    <w:rsid w:val="00262CD3"/>
    <w:rsid w:val="00262CE8"/>
    <w:rsid w:val="00262D9A"/>
    <w:rsid w:val="00262FAD"/>
    <w:rsid w:val="0026304D"/>
    <w:rsid w:val="00263228"/>
    <w:rsid w:val="002635B5"/>
    <w:rsid w:val="00263CB3"/>
    <w:rsid w:val="00263DAA"/>
    <w:rsid w:val="00263E9A"/>
    <w:rsid w:val="002641F2"/>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0C6"/>
    <w:rsid w:val="002702A5"/>
    <w:rsid w:val="00270BC6"/>
    <w:rsid w:val="00270F79"/>
    <w:rsid w:val="0027102E"/>
    <w:rsid w:val="00271B1A"/>
    <w:rsid w:val="00272474"/>
    <w:rsid w:val="0027251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98C"/>
    <w:rsid w:val="00276E11"/>
    <w:rsid w:val="002778DC"/>
    <w:rsid w:val="0027794D"/>
    <w:rsid w:val="00277A30"/>
    <w:rsid w:val="00277B68"/>
    <w:rsid w:val="00277B7A"/>
    <w:rsid w:val="00277C58"/>
    <w:rsid w:val="00277C99"/>
    <w:rsid w:val="00277E0B"/>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DA"/>
    <w:rsid w:val="002841E4"/>
    <w:rsid w:val="00284250"/>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5E2"/>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40F"/>
    <w:rsid w:val="002A3737"/>
    <w:rsid w:val="002A39DD"/>
    <w:rsid w:val="002A3BBF"/>
    <w:rsid w:val="002A3BFD"/>
    <w:rsid w:val="002A3FC8"/>
    <w:rsid w:val="002A429C"/>
    <w:rsid w:val="002A4621"/>
    <w:rsid w:val="002A4B2C"/>
    <w:rsid w:val="002A4E8A"/>
    <w:rsid w:val="002A4F15"/>
    <w:rsid w:val="002A506F"/>
    <w:rsid w:val="002A57D4"/>
    <w:rsid w:val="002A5DBE"/>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E7F"/>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12"/>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71"/>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955"/>
    <w:rsid w:val="002E3BD7"/>
    <w:rsid w:val="002E3F59"/>
    <w:rsid w:val="002E3F75"/>
    <w:rsid w:val="002E407E"/>
    <w:rsid w:val="002E408A"/>
    <w:rsid w:val="002E4628"/>
    <w:rsid w:val="002E49C3"/>
    <w:rsid w:val="002E4A14"/>
    <w:rsid w:val="002E4A17"/>
    <w:rsid w:val="002E4D02"/>
    <w:rsid w:val="002E4DE2"/>
    <w:rsid w:val="002E51A4"/>
    <w:rsid w:val="002E53A4"/>
    <w:rsid w:val="002E55A2"/>
    <w:rsid w:val="002E5B49"/>
    <w:rsid w:val="002E5DB1"/>
    <w:rsid w:val="002E5E7D"/>
    <w:rsid w:val="002E66A5"/>
    <w:rsid w:val="002E674A"/>
    <w:rsid w:val="002E67E7"/>
    <w:rsid w:val="002E7119"/>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6C1"/>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79E"/>
    <w:rsid w:val="00301843"/>
    <w:rsid w:val="0030196C"/>
    <w:rsid w:val="00301B0D"/>
    <w:rsid w:val="00301C13"/>
    <w:rsid w:val="00301EFA"/>
    <w:rsid w:val="00301F30"/>
    <w:rsid w:val="00301FCC"/>
    <w:rsid w:val="003021E0"/>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2CF"/>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171"/>
    <w:rsid w:val="00317696"/>
    <w:rsid w:val="003176C7"/>
    <w:rsid w:val="00317A7D"/>
    <w:rsid w:val="00317E1E"/>
    <w:rsid w:val="00317E88"/>
    <w:rsid w:val="00320167"/>
    <w:rsid w:val="0032051C"/>
    <w:rsid w:val="00320660"/>
    <w:rsid w:val="00320874"/>
    <w:rsid w:val="00320A99"/>
    <w:rsid w:val="003211A2"/>
    <w:rsid w:val="0032122B"/>
    <w:rsid w:val="0032168C"/>
    <w:rsid w:val="0032183F"/>
    <w:rsid w:val="00321D66"/>
    <w:rsid w:val="003222C7"/>
    <w:rsid w:val="00322EBD"/>
    <w:rsid w:val="0032351E"/>
    <w:rsid w:val="003238B5"/>
    <w:rsid w:val="00323D34"/>
    <w:rsid w:val="00323F04"/>
    <w:rsid w:val="0032431C"/>
    <w:rsid w:val="00324937"/>
    <w:rsid w:val="00324DA0"/>
    <w:rsid w:val="00324F75"/>
    <w:rsid w:val="0032516F"/>
    <w:rsid w:val="0032549A"/>
    <w:rsid w:val="0032561E"/>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37EB9"/>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2F56"/>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2C19"/>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040"/>
    <w:rsid w:val="00360857"/>
    <w:rsid w:val="003608F5"/>
    <w:rsid w:val="00360AA6"/>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2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0F1A"/>
    <w:rsid w:val="003712FC"/>
    <w:rsid w:val="0037138E"/>
    <w:rsid w:val="0037181C"/>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AC2"/>
    <w:rsid w:val="00374E69"/>
    <w:rsid w:val="003752DA"/>
    <w:rsid w:val="0037533B"/>
    <w:rsid w:val="00375B1E"/>
    <w:rsid w:val="0037610F"/>
    <w:rsid w:val="00376F94"/>
    <w:rsid w:val="0037724D"/>
    <w:rsid w:val="00377374"/>
    <w:rsid w:val="00377482"/>
    <w:rsid w:val="0038013F"/>
    <w:rsid w:val="00380144"/>
    <w:rsid w:val="00380234"/>
    <w:rsid w:val="00380411"/>
    <w:rsid w:val="00380520"/>
    <w:rsid w:val="003805AF"/>
    <w:rsid w:val="00380A47"/>
    <w:rsid w:val="00380B4E"/>
    <w:rsid w:val="00380CA3"/>
    <w:rsid w:val="00380D90"/>
    <w:rsid w:val="00380F57"/>
    <w:rsid w:val="00381587"/>
    <w:rsid w:val="003818FB"/>
    <w:rsid w:val="00381B06"/>
    <w:rsid w:val="00382216"/>
    <w:rsid w:val="0038237B"/>
    <w:rsid w:val="00382913"/>
    <w:rsid w:val="0038297C"/>
    <w:rsid w:val="00382986"/>
    <w:rsid w:val="00383272"/>
    <w:rsid w:val="00383432"/>
    <w:rsid w:val="00383571"/>
    <w:rsid w:val="00383849"/>
    <w:rsid w:val="00383E30"/>
    <w:rsid w:val="00384792"/>
    <w:rsid w:val="00384A48"/>
    <w:rsid w:val="00384C3E"/>
    <w:rsid w:val="00384DC1"/>
    <w:rsid w:val="00384F48"/>
    <w:rsid w:val="00385043"/>
    <w:rsid w:val="00385C4E"/>
    <w:rsid w:val="00385D57"/>
    <w:rsid w:val="003861E5"/>
    <w:rsid w:val="003862B7"/>
    <w:rsid w:val="00386966"/>
    <w:rsid w:val="003869CB"/>
    <w:rsid w:val="003870AA"/>
    <w:rsid w:val="003873A6"/>
    <w:rsid w:val="00387BA4"/>
    <w:rsid w:val="0039022D"/>
    <w:rsid w:val="0039037A"/>
    <w:rsid w:val="00390AFC"/>
    <w:rsid w:val="00390CC2"/>
    <w:rsid w:val="00391070"/>
    <w:rsid w:val="00391171"/>
    <w:rsid w:val="003914E7"/>
    <w:rsid w:val="00391CEC"/>
    <w:rsid w:val="00391CF7"/>
    <w:rsid w:val="00391D92"/>
    <w:rsid w:val="00391F1E"/>
    <w:rsid w:val="00391FD7"/>
    <w:rsid w:val="0039273C"/>
    <w:rsid w:val="003927C8"/>
    <w:rsid w:val="00392C2C"/>
    <w:rsid w:val="0039329D"/>
    <w:rsid w:val="00393306"/>
    <w:rsid w:val="003933BE"/>
    <w:rsid w:val="00393803"/>
    <w:rsid w:val="00393BD2"/>
    <w:rsid w:val="00393C37"/>
    <w:rsid w:val="00393C75"/>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5FCA"/>
    <w:rsid w:val="00396083"/>
    <w:rsid w:val="00396093"/>
    <w:rsid w:val="003961A7"/>
    <w:rsid w:val="00396258"/>
    <w:rsid w:val="00396303"/>
    <w:rsid w:val="003964AE"/>
    <w:rsid w:val="00396725"/>
    <w:rsid w:val="00396B03"/>
    <w:rsid w:val="003971B2"/>
    <w:rsid w:val="00397385"/>
    <w:rsid w:val="003979D6"/>
    <w:rsid w:val="003979F7"/>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07B"/>
    <w:rsid w:val="003B00C4"/>
    <w:rsid w:val="003B0234"/>
    <w:rsid w:val="003B0394"/>
    <w:rsid w:val="003B0495"/>
    <w:rsid w:val="003B06AC"/>
    <w:rsid w:val="003B0B0E"/>
    <w:rsid w:val="003B0C9D"/>
    <w:rsid w:val="003B0E99"/>
    <w:rsid w:val="003B11F6"/>
    <w:rsid w:val="003B1501"/>
    <w:rsid w:val="003B1747"/>
    <w:rsid w:val="003B1F9E"/>
    <w:rsid w:val="003B2506"/>
    <w:rsid w:val="003B2540"/>
    <w:rsid w:val="003B2729"/>
    <w:rsid w:val="003B2A9F"/>
    <w:rsid w:val="003B337C"/>
    <w:rsid w:val="003B34BB"/>
    <w:rsid w:val="003B378E"/>
    <w:rsid w:val="003B3ACB"/>
    <w:rsid w:val="003B3BF9"/>
    <w:rsid w:val="003B4244"/>
    <w:rsid w:val="003B4600"/>
    <w:rsid w:val="003B48E0"/>
    <w:rsid w:val="003B49EF"/>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5D48"/>
    <w:rsid w:val="003C614C"/>
    <w:rsid w:val="003C6410"/>
    <w:rsid w:val="003C64B2"/>
    <w:rsid w:val="003C64DD"/>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8DA"/>
    <w:rsid w:val="003D2962"/>
    <w:rsid w:val="003D2A12"/>
    <w:rsid w:val="003D2E4D"/>
    <w:rsid w:val="003D3214"/>
    <w:rsid w:val="003D3513"/>
    <w:rsid w:val="003D37B0"/>
    <w:rsid w:val="003D399C"/>
    <w:rsid w:val="003D3D19"/>
    <w:rsid w:val="003D47DB"/>
    <w:rsid w:val="003D4F62"/>
    <w:rsid w:val="003D5120"/>
    <w:rsid w:val="003D53C0"/>
    <w:rsid w:val="003D551D"/>
    <w:rsid w:val="003D598A"/>
    <w:rsid w:val="003D5AAD"/>
    <w:rsid w:val="003D5B56"/>
    <w:rsid w:val="003D5E57"/>
    <w:rsid w:val="003D5FB8"/>
    <w:rsid w:val="003D67B6"/>
    <w:rsid w:val="003D67BB"/>
    <w:rsid w:val="003D68F7"/>
    <w:rsid w:val="003D6903"/>
    <w:rsid w:val="003D6C47"/>
    <w:rsid w:val="003D6CF7"/>
    <w:rsid w:val="003D6EBB"/>
    <w:rsid w:val="003D6F0B"/>
    <w:rsid w:val="003D75EC"/>
    <w:rsid w:val="003D77C5"/>
    <w:rsid w:val="003D7986"/>
    <w:rsid w:val="003D79A9"/>
    <w:rsid w:val="003D7EC3"/>
    <w:rsid w:val="003E0085"/>
    <w:rsid w:val="003E0A46"/>
    <w:rsid w:val="003E0A7D"/>
    <w:rsid w:val="003E1856"/>
    <w:rsid w:val="003E1B49"/>
    <w:rsid w:val="003E1C2C"/>
    <w:rsid w:val="003E20DA"/>
    <w:rsid w:val="003E2180"/>
    <w:rsid w:val="003E2264"/>
    <w:rsid w:val="003E230F"/>
    <w:rsid w:val="003E24E0"/>
    <w:rsid w:val="003E2674"/>
    <w:rsid w:val="003E2DB4"/>
    <w:rsid w:val="003E357A"/>
    <w:rsid w:val="003E3A86"/>
    <w:rsid w:val="003E3BAA"/>
    <w:rsid w:val="003E3ED3"/>
    <w:rsid w:val="003E4781"/>
    <w:rsid w:val="003E4ABD"/>
    <w:rsid w:val="003E4D0F"/>
    <w:rsid w:val="003E4F1B"/>
    <w:rsid w:val="003E50B3"/>
    <w:rsid w:val="003E5136"/>
    <w:rsid w:val="003E51AB"/>
    <w:rsid w:val="003E5226"/>
    <w:rsid w:val="003E5922"/>
    <w:rsid w:val="003E618B"/>
    <w:rsid w:val="003E658E"/>
    <w:rsid w:val="003E65BD"/>
    <w:rsid w:val="003E69B5"/>
    <w:rsid w:val="003E69B9"/>
    <w:rsid w:val="003E6F84"/>
    <w:rsid w:val="003E7070"/>
    <w:rsid w:val="003E70FF"/>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690"/>
    <w:rsid w:val="003F28F9"/>
    <w:rsid w:val="003F29FB"/>
    <w:rsid w:val="003F2C8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40C"/>
    <w:rsid w:val="003F7613"/>
    <w:rsid w:val="003F7668"/>
    <w:rsid w:val="003F7BB8"/>
    <w:rsid w:val="003F7BE6"/>
    <w:rsid w:val="0040051B"/>
    <w:rsid w:val="0040065D"/>
    <w:rsid w:val="004008B0"/>
    <w:rsid w:val="00400BE2"/>
    <w:rsid w:val="00400C39"/>
    <w:rsid w:val="0040118B"/>
    <w:rsid w:val="00401211"/>
    <w:rsid w:val="00401AC2"/>
    <w:rsid w:val="00401AF0"/>
    <w:rsid w:val="004020C7"/>
    <w:rsid w:val="00402187"/>
    <w:rsid w:val="00403299"/>
    <w:rsid w:val="004032AC"/>
    <w:rsid w:val="0040343B"/>
    <w:rsid w:val="00403F04"/>
    <w:rsid w:val="00404108"/>
    <w:rsid w:val="00404175"/>
    <w:rsid w:val="0040441F"/>
    <w:rsid w:val="004045B3"/>
    <w:rsid w:val="004048C5"/>
    <w:rsid w:val="00404EBA"/>
    <w:rsid w:val="00404FA6"/>
    <w:rsid w:val="00405BB0"/>
    <w:rsid w:val="00405BC8"/>
    <w:rsid w:val="00405C9A"/>
    <w:rsid w:val="00405EE7"/>
    <w:rsid w:val="00405F8D"/>
    <w:rsid w:val="004061B0"/>
    <w:rsid w:val="00406828"/>
    <w:rsid w:val="004070B7"/>
    <w:rsid w:val="004074FC"/>
    <w:rsid w:val="004079A4"/>
    <w:rsid w:val="00407A40"/>
    <w:rsid w:val="00407FE3"/>
    <w:rsid w:val="004105DB"/>
    <w:rsid w:val="00410B14"/>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2F6C"/>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30F"/>
    <w:rsid w:val="00421582"/>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5B5"/>
    <w:rsid w:val="00431BE6"/>
    <w:rsid w:val="00431DD6"/>
    <w:rsid w:val="00432232"/>
    <w:rsid w:val="004325E2"/>
    <w:rsid w:val="0043260B"/>
    <w:rsid w:val="0043285A"/>
    <w:rsid w:val="00432C62"/>
    <w:rsid w:val="00432E9D"/>
    <w:rsid w:val="00432F0A"/>
    <w:rsid w:val="004330F6"/>
    <w:rsid w:val="004333DC"/>
    <w:rsid w:val="00433592"/>
    <w:rsid w:val="0043377A"/>
    <w:rsid w:val="004338E9"/>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01"/>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BB5"/>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642"/>
    <w:rsid w:val="00455884"/>
    <w:rsid w:val="00455C75"/>
    <w:rsid w:val="00456226"/>
    <w:rsid w:val="00456562"/>
    <w:rsid w:val="00456B0E"/>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BA"/>
    <w:rsid w:val="00461AC6"/>
    <w:rsid w:val="00461BEC"/>
    <w:rsid w:val="00461D96"/>
    <w:rsid w:val="00461E6D"/>
    <w:rsid w:val="00461E85"/>
    <w:rsid w:val="004620F4"/>
    <w:rsid w:val="00462119"/>
    <w:rsid w:val="0046216C"/>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D4D"/>
    <w:rsid w:val="00467FB5"/>
    <w:rsid w:val="0047008E"/>
    <w:rsid w:val="004703C6"/>
    <w:rsid w:val="00470D35"/>
    <w:rsid w:val="00470E52"/>
    <w:rsid w:val="004714EB"/>
    <w:rsid w:val="004717C4"/>
    <w:rsid w:val="00471B2D"/>
    <w:rsid w:val="00471F48"/>
    <w:rsid w:val="004722D3"/>
    <w:rsid w:val="004728F4"/>
    <w:rsid w:val="004729B1"/>
    <w:rsid w:val="00472BA0"/>
    <w:rsid w:val="00472BDD"/>
    <w:rsid w:val="0047332B"/>
    <w:rsid w:val="004738A1"/>
    <w:rsid w:val="004738A4"/>
    <w:rsid w:val="00473B3D"/>
    <w:rsid w:val="0047402B"/>
    <w:rsid w:val="00474055"/>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094"/>
    <w:rsid w:val="004852B8"/>
    <w:rsid w:val="004852CF"/>
    <w:rsid w:val="0048543B"/>
    <w:rsid w:val="00485497"/>
    <w:rsid w:val="00485732"/>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6D"/>
    <w:rsid w:val="00496FD1"/>
    <w:rsid w:val="00497477"/>
    <w:rsid w:val="004976A7"/>
    <w:rsid w:val="00497799"/>
    <w:rsid w:val="0049784C"/>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3401"/>
    <w:rsid w:val="004A454B"/>
    <w:rsid w:val="004A4625"/>
    <w:rsid w:val="004A4CA0"/>
    <w:rsid w:val="004A4E16"/>
    <w:rsid w:val="004A5345"/>
    <w:rsid w:val="004A58FB"/>
    <w:rsid w:val="004A5929"/>
    <w:rsid w:val="004A62F1"/>
    <w:rsid w:val="004A6900"/>
    <w:rsid w:val="004A74B6"/>
    <w:rsid w:val="004A7558"/>
    <w:rsid w:val="004A779D"/>
    <w:rsid w:val="004A799D"/>
    <w:rsid w:val="004A7B1E"/>
    <w:rsid w:val="004B01F1"/>
    <w:rsid w:val="004B0416"/>
    <w:rsid w:val="004B074B"/>
    <w:rsid w:val="004B0836"/>
    <w:rsid w:val="004B0847"/>
    <w:rsid w:val="004B0C67"/>
    <w:rsid w:val="004B1A64"/>
    <w:rsid w:val="004B1CA9"/>
    <w:rsid w:val="004B1F23"/>
    <w:rsid w:val="004B22D2"/>
    <w:rsid w:val="004B23C3"/>
    <w:rsid w:val="004B2DE1"/>
    <w:rsid w:val="004B3158"/>
    <w:rsid w:val="004B323C"/>
    <w:rsid w:val="004B325B"/>
    <w:rsid w:val="004B3628"/>
    <w:rsid w:val="004B36F6"/>
    <w:rsid w:val="004B3753"/>
    <w:rsid w:val="004B37F8"/>
    <w:rsid w:val="004B3C14"/>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1E2"/>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C7E03"/>
    <w:rsid w:val="004D029B"/>
    <w:rsid w:val="004D032C"/>
    <w:rsid w:val="004D0378"/>
    <w:rsid w:val="004D0639"/>
    <w:rsid w:val="004D0A1E"/>
    <w:rsid w:val="004D0FD0"/>
    <w:rsid w:val="004D1277"/>
    <w:rsid w:val="004D163E"/>
    <w:rsid w:val="004D1F08"/>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2F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0F8"/>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327"/>
    <w:rsid w:val="004F19E3"/>
    <w:rsid w:val="004F252D"/>
    <w:rsid w:val="004F26FA"/>
    <w:rsid w:val="004F27D6"/>
    <w:rsid w:val="004F2825"/>
    <w:rsid w:val="004F2F62"/>
    <w:rsid w:val="004F37F0"/>
    <w:rsid w:val="004F40F8"/>
    <w:rsid w:val="004F4207"/>
    <w:rsid w:val="004F4543"/>
    <w:rsid w:val="004F4823"/>
    <w:rsid w:val="004F49FE"/>
    <w:rsid w:val="004F4A1D"/>
    <w:rsid w:val="004F4B02"/>
    <w:rsid w:val="004F4B78"/>
    <w:rsid w:val="004F4B79"/>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3FD4"/>
    <w:rsid w:val="0050420E"/>
    <w:rsid w:val="00504449"/>
    <w:rsid w:val="005048BE"/>
    <w:rsid w:val="0050490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2EF"/>
    <w:rsid w:val="005077D8"/>
    <w:rsid w:val="00507A3F"/>
    <w:rsid w:val="00507B00"/>
    <w:rsid w:val="00507B8A"/>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D6E"/>
    <w:rsid w:val="00513FA0"/>
    <w:rsid w:val="005142B1"/>
    <w:rsid w:val="005143F8"/>
    <w:rsid w:val="0051510D"/>
    <w:rsid w:val="005152B0"/>
    <w:rsid w:val="00515948"/>
    <w:rsid w:val="00515A24"/>
    <w:rsid w:val="00515AB2"/>
    <w:rsid w:val="00515BFB"/>
    <w:rsid w:val="00515CDF"/>
    <w:rsid w:val="00515D82"/>
    <w:rsid w:val="00515F04"/>
    <w:rsid w:val="00516792"/>
    <w:rsid w:val="005167E8"/>
    <w:rsid w:val="00516945"/>
    <w:rsid w:val="00516ABF"/>
    <w:rsid w:val="005171DE"/>
    <w:rsid w:val="005179A5"/>
    <w:rsid w:val="00517EB6"/>
    <w:rsid w:val="00517FC3"/>
    <w:rsid w:val="005200B3"/>
    <w:rsid w:val="005206F5"/>
    <w:rsid w:val="00520C6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613"/>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0295"/>
    <w:rsid w:val="00531295"/>
    <w:rsid w:val="00532084"/>
    <w:rsid w:val="0053208A"/>
    <w:rsid w:val="0053232B"/>
    <w:rsid w:val="0053279B"/>
    <w:rsid w:val="005327B6"/>
    <w:rsid w:val="00532855"/>
    <w:rsid w:val="005328EA"/>
    <w:rsid w:val="00532DBC"/>
    <w:rsid w:val="00532FC9"/>
    <w:rsid w:val="005331CE"/>
    <w:rsid w:val="00533210"/>
    <w:rsid w:val="005334D0"/>
    <w:rsid w:val="00533D16"/>
    <w:rsid w:val="0053417C"/>
    <w:rsid w:val="00534442"/>
    <w:rsid w:val="00534924"/>
    <w:rsid w:val="00534C5F"/>
    <w:rsid w:val="00535095"/>
    <w:rsid w:val="0053509D"/>
    <w:rsid w:val="0053533C"/>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1FD1"/>
    <w:rsid w:val="005524FE"/>
    <w:rsid w:val="00552B50"/>
    <w:rsid w:val="00552C6C"/>
    <w:rsid w:val="00552CBB"/>
    <w:rsid w:val="00553675"/>
    <w:rsid w:val="00553816"/>
    <w:rsid w:val="00553AE1"/>
    <w:rsid w:val="00553BBD"/>
    <w:rsid w:val="0055410C"/>
    <w:rsid w:val="005541F1"/>
    <w:rsid w:val="00554608"/>
    <w:rsid w:val="0055466E"/>
    <w:rsid w:val="00554B68"/>
    <w:rsid w:val="00554C5E"/>
    <w:rsid w:val="00554DDB"/>
    <w:rsid w:val="00554F48"/>
    <w:rsid w:val="00555033"/>
    <w:rsid w:val="0055522B"/>
    <w:rsid w:val="005553B3"/>
    <w:rsid w:val="0055543E"/>
    <w:rsid w:val="00555F57"/>
    <w:rsid w:val="0055637B"/>
    <w:rsid w:val="00556BFE"/>
    <w:rsid w:val="00556F00"/>
    <w:rsid w:val="00556F71"/>
    <w:rsid w:val="00556FA8"/>
    <w:rsid w:val="0055749E"/>
    <w:rsid w:val="005576F7"/>
    <w:rsid w:val="005577D4"/>
    <w:rsid w:val="00557878"/>
    <w:rsid w:val="00557943"/>
    <w:rsid w:val="00557A53"/>
    <w:rsid w:val="00557C8F"/>
    <w:rsid w:val="005600F3"/>
    <w:rsid w:val="00560757"/>
    <w:rsid w:val="005608FE"/>
    <w:rsid w:val="00560A3B"/>
    <w:rsid w:val="0056158D"/>
    <w:rsid w:val="00561D87"/>
    <w:rsid w:val="00561D9A"/>
    <w:rsid w:val="00562B13"/>
    <w:rsid w:val="00562E05"/>
    <w:rsid w:val="00563AD5"/>
    <w:rsid w:val="00563DDA"/>
    <w:rsid w:val="00563E88"/>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6D37"/>
    <w:rsid w:val="005670B1"/>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0F5"/>
    <w:rsid w:val="005724AC"/>
    <w:rsid w:val="00572669"/>
    <w:rsid w:val="00572748"/>
    <w:rsid w:val="00572DA1"/>
    <w:rsid w:val="00573196"/>
    <w:rsid w:val="005738F8"/>
    <w:rsid w:val="00573B54"/>
    <w:rsid w:val="00573C07"/>
    <w:rsid w:val="005744DE"/>
    <w:rsid w:val="0057486A"/>
    <w:rsid w:val="00574C5C"/>
    <w:rsid w:val="00574E85"/>
    <w:rsid w:val="00575579"/>
    <w:rsid w:val="00575BC4"/>
    <w:rsid w:val="00575DB5"/>
    <w:rsid w:val="00575ED0"/>
    <w:rsid w:val="00575F89"/>
    <w:rsid w:val="005769E8"/>
    <w:rsid w:val="00576A03"/>
    <w:rsid w:val="00576A82"/>
    <w:rsid w:val="00576C0C"/>
    <w:rsid w:val="00576EC9"/>
    <w:rsid w:val="00577612"/>
    <w:rsid w:val="00577C25"/>
    <w:rsid w:val="00577F9C"/>
    <w:rsid w:val="0058025A"/>
    <w:rsid w:val="00580977"/>
    <w:rsid w:val="00580A0B"/>
    <w:rsid w:val="00580CB9"/>
    <w:rsid w:val="005812C1"/>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6F50"/>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BE1"/>
    <w:rsid w:val="005A3C41"/>
    <w:rsid w:val="005A3D27"/>
    <w:rsid w:val="005A43B1"/>
    <w:rsid w:val="005A4935"/>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47EB"/>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BB8"/>
    <w:rsid w:val="005C6EA5"/>
    <w:rsid w:val="005C6FB8"/>
    <w:rsid w:val="005C7358"/>
    <w:rsid w:val="005C7676"/>
    <w:rsid w:val="005C7721"/>
    <w:rsid w:val="005C7858"/>
    <w:rsid w:val="005C7B71"/>
    <w:rsid w:val="005C7E53"/>
    <w:rsid w:val="005C7E98"/>
    <w:rsid w:val="005D0052"/>
    <w:rsid w:val="005D00AA"/>
    <w:rsid w:val="005D03AD"/>
    <w:rsid w:val="005D1301"/>
    <w:rsid w:val="005D1853"/>
    <w:rsid w:val="005D19A5"/>
    <w:rsid w:val="005D1A0F"/>
    <w:rsid w:val="005D1B96"/>
    <w:rsid w:val="005D1C3D"/>
    <w:rsid w:val="005D203B"/>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621"/>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280"/>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3C"/>
    <w:rsid w:val="005F2549"/>
    <w:rsid w:val="005F2818"/>
    <w:rsid w:val="005F28F5"/>
    <w:rsid w:val="005F2A90"/>
    <w:rsid w:val="005F30B5"/>
    <w:rsid w:val="005F3326"/>
    <w:rsid w:val="005F351E"/>
    <w:rsid w:val="005F3B25"/>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6F36"/>
    <w:rsid w:val="005F76A4"/>
    <w:rsid w:val="005F7A21"/>
    <w:rsid w:val="005F7DCE"/>
    <w:rsid w:val="00600072"/>
    <w:rsid w:val="006002E4"/>
    <w:rsid w:val="00600639"/>
    <w:rsid w:val="00600BA2"/>
    <w:rsid w:val="00600E23"/>
    <w:rsid w:val="00600EAD"/>
    <w:rsid w:val="00600EF9"/>
    <w:rsid w:val="006010DC"/>
    <w:rsid w:val="006017FF"/>
    <w:rsid w:val="006018B4"/>
    <w:rsid w:val="00601B8E"/>
    <w:rsid w:val="00601E48"/>
    <w:rsid w:val="0060212F"/>
    <w:rsid w:val="00602446"/>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94B"/>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061"/>
    <w:rsid w:val="00615436"/>
    <w:rsid w:val="006154B2"/>
    <w:rsid w:val="00615908"/>
    <w:rsid w:val="00615B9C"/>
    <w:rsid w:val="006161A2"/>
    <w:rsid w:val="006162EC"/>
    <w:rsid w:val="0061659B"/>
    <w:rsid w:val="006167FC"/>
    <w:rsid w:val="0061685D"/>
    <w:rsid w:val="0061691F"/>
    <w:rsid w:val="006169E2"/>
    <w:rsid w:val="00616A74"/>
    <w:rsid w:val="00616B22"/>
    <w:rsid w:val="0061700B"/>
    <w:rsid w:val="00617100"/>
    <w:rsid w:val="0061722F"/>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BB9"/>
    <w:rsid w:val="00623C0E"/>
    <w:rsid w:val="00623FD3"/>
    <w:rsid w:val="00623FDF"/>
    <w:rsid w:val="0062416F"/>
    <w:rsid w:val="0062446C"/>
    <w:rsid w:val="00624553"/>
    <w:rsid w:val="00624B89"/>
    <w:rsid w:val="00624BCA"/>
    <w:rsid w:val="00624BEF"/>
    <w:rsid w:val="00624E83"/>
    <w:rsid w:val="0062523E"/>
    <w:rsid w:val="006252F1"/>
    <w:rsid w:val="006255D8"/>
    <w:rsid w:val="00625743"/>
    <w:rsid w:val="00625806"/>
    <w:rsid w:val="00625B5D"/>
    <w:rsid w:val="00625D4A"/>
    <w:rsid w:val="0062606D"/>
    <w:rsid w:val="006260C1"/>
    <w:rsid w:val="0062624E"/>
    <w:rsid w:val="0062680E"/>
    <w:rsid w:val="0062731E"/>
    <w:rsid w:val="006273BD"/>
    <w:rsid w:val="00627A10"/>
    <w:rsid w:val="00630322"/>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62F"/>
    <w:rsid w:val="00633792"/>
    <w:rsid w:val="006337F9"/>
    <w:rsid w:val="00633854"/>
    <w:rsid w:val="006339EF"/>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3AA"/>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2B29"/>
    <w:rsid w:val="0064361F"/>
    <w:rsid w:val="006436DF"/>
    <w:rsid w:val="00643CD3"/>
    <w:rsid w:val="00643ECF"/>
    <w:rsid w:val="00644992"/>
    <w:rsid w:val="00644ADD"/>
    <w:rsid w:val="00644B0C"/>
    <w:rsid w:val="00644C82"/>
    <w:rsid w:val="00644DAD"/>
    <w:rsid w:val="0064511A"/>
    <w:rsid w:val="006455D4"/>
    <w:rsid w:val="00645E08"/>
    <w:rsid w:val="006460BD"/>
    <w:rsid w:val="00646A38"/>
    <w:rsid w:val="00646BFA"/>
    <w:rsid w:val="00646CC7"/>
    <w:rsid w:val="006473D1"/>
    <w:rsid w:val="0064774A"/>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867"/>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3E"/>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8A"/>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931"/>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6B7C"/>
    <w:rsid w:val="00687024"/>
    <w:rsid w:val="0068705F"/>
    <w:rsid w:val="006870D0"/>
    <w:rsid w:val="006876CA"/>
    <w:rsid w:val="00687761"/>
    <w:rsid w:val="00687ACD"/>
    <w:rsid w:val="00687EB2"/>
    <w:rsid w:val="006905FA"/>
    <w:rsid w:val="00690650"/>
    <w:rsid w:val="00690878"/>
    <w:rsid w:val="00690924"/>
    <w:rsid w:val="00690C3C"/>
    <w:rsid w:val="00691240"/>
    <w:rsid w:val="00691309"/>
    <w:rsid w:val="006913F1"/>
    <w:rsid w:val="00691566"/>
    <w:rsid w:val="006915A6"/>
    <w:rsid w:val="006915D3"/>
    <w:rsid w:val="006915FE"/>
    <w:rsid w:val="00691827"/>
    <w:rsid w:val="00691DF9"/>
    <w:rsid w:val="006924C8"/>
    <w:rsid w:val="00692524"/>
    <w:rsid w:val="0069257A"/>
    <w:rsid w:val="006927CF"/>
    <w:rsid w:val="00692C6D"/>
    <w:rsid w:val="00692E62"/>
    <w:rsid w:val="00692E86"/>
    <w:rsid w:val="00693165"/>
    <w:rsid w:val="00693469"/>
    <w:rsid w:val="006934D2"/>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8BA"/>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560"/>
    <w:rsid w:val="006A1617"/>
    <w:rsid w:val="006A1679"/>
    <w:rsid w:val="006A1BDE"/>
    <w:rsid w:val="006A1C5C"/>
    <w:rsid w:val="006A2474"/>
    <w:rsid w:val="006A26A1"/>
    <w:rsid w:val="006A2708"/>
    <w:rsid w:val="006A2793"/>
    <w:rsid w:val="006A2805"/>
    <w:rsid w:val="006A28BE"/>
    <w:rsid w:val="006A2AAE"/>
    <w:rsid w:val="006A2CE8"/>
    <w:rsid w:val="006A2E0D"/>
    <w:rsid w:val="006A3A09"/>
    <w:rsid w:val="006A3F4A"/>
    <w:rsid w:val="006A40FB"/>
    <w:rsid w:val="006A4E7E"/>
    <w:rsid w:val="006A4FF4"/>
    <w:rsid w:val="006A5200"/>
    <w:rsid w:val="006A5398"/>
    <w:rsid w:val="006A549A"/>
    <w:rsid w:val="006A54AD"/>
    <w:rsid w:val="006A566E"/>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72A"/>
    <w:rsid w:val="006B1C59"/>
    <w:rsid w:val="006B1D09"/>
    <w:rsid w:val="006B243C"/>
    <w:rsid w:val="006B2565"/>
    <w:rsid w:val="006B289A"/>
    <w:rsid w:val="006B299D"/>
    <w:rsid w:val="006B29C7"/>
    <w:rsid w:val="006B2AD2"/>
    <w:rsid w:val="006B2B81"/>
    <w:rsid w:val="006B2F0D"/>
    <w:rsid w:val="006B36C2"/>
    <w:rsid w:val="006B3DE1"/>
    <w:rsid w:val="006B3E16"/>
    <w:rsid w:val="006B4331"/>
    <w:rsid w:val="006B4942"/>
    <w:rsid w:val="006B49F6"/>
    <w:rsid w:val="006B4CDB"/>
    <w:rsid w:val="006B4ED9"/>
    <w:rsid w:val="006B500D"/>
    <w:rsid w:val="006B53CB"/>
    <w:rsid w:val="006B547A"/>
    <w:rsid w:val="006B568C"/>
    <w:rsid w:val="006B59E2"/>
    <w:rsid w:val="006B5BB1"/>
    <w:rsid w:val="006B5DD2"/>
    <w:rsid w:val="006B64A0"/>
    <w:rsid w:val="006B68B8"/>
    <w:rsid w:val="006B6DAA"/>
    <w:rsid w:val="006B7132"/>
    <w:rsid w:val="006B73C2"/>
    <w:rsid w:val="006B77EA"/>
    <w:rsid w:val="006B77EF"/>
    <w:rsid w:val="006B78CC"/>
    <w:rsid w:val="006B7D70"/>
    <w:rsid w:val="006C011C"/>
    <w:rsid w:val="006C02FE"/>
    <w:rsid w:val="006C0349"/>
    <w:rsid w:val="006C03E4"/>
    <w:rsid w:val="006C0A93"/>
    <w:rsid w:val="006C13BE"/>
    <w:rsid w:val="006C18B7"/>
    <w:rsid w:val="006C19D1"/>
    <w:rsid w:val="006C1CA4"/>
    <w:rsid w:val="006C1D3E"/>
    <w:rsid w:val="006C1F85"/>
    <w:rsid w:val="006C235E"/>
    <w:rsid w:val="006C24E6"/>
    <w:rsid w:val="006C29E2"/>
    <w:rsid w:val="006C2C0A"/>
    <w:rsid w:val="006C2C1C"/>
    <w:rsid w:val="006C31D6"/>
    <w:rsid w:val="006C3A13"/>
    <w:rsid w:val="006C3E1E"/>
    <w:rsid w:val="006C4016"/>
    <w:rsid w:val="006C423A"/>
    <w:rsid w:val="006C42C9"/>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4D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BF0"/>
    <w:rsid w:val="006D5EB3"/>
    <w:rsid w:val="006D61EE"/>
    <w:rsid w:val="006D64C0"/>
    <w:rsid w:val="006D6D3E"/>
    <w:rsid w:val="006D7134"/>
    <w:rsid w:val="006D71C0"/>
    <w:rsid w:val="006D7740"/>
    <w:rsid w:val="006D7EAD"/>
    <w:rsid w:val="006E01A9"/>
    <w:rsid w:val="006E0370"/>
    <w:rsid w:val="006E06D3"/>
    <w:rsid w:val="006E0E9E"/>
    <w:rsid w:val="006E198F"/>
    <w:rsid w:val="006E19A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28B"/>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1A9"/>
    <w:rsid w:val="00712B7E"/>
    <w:rsid w:val="00712CB4"/>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634"/>
    <w:rsid w:val="007217B0"/>
    <w:rsid w:val="00721CB7"/>
    <w:rsid w:val="00721D65"/>
    <w:rsid w:val="00721FD3"/>
    <w:rsid w:val="007223AE"/>
    <w:rsid w:val="007225D7"/>
    <w:rsid w:val="0072293D"/>
    <w:rsid w:val="00722B4F"/>
    <w:rsid w:val="00722ED2"/>
    <w:rsid w:val="00722FDD"/>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91"/>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047"/>
    <w:rsid w:val="00740108"/>
    <w:rsid w:val="007403B1"/>
    <w:rsid w:val="00740402"/>
    <w:rsid w:val="00740481"/>
    <w:rsid w:val="00740A44"/>
    <w:rsid w:val="0074181F"/>
    <w:rsid w:val="00741ED7"/>
    <w:rsid w:val="007420DD"/>
    <w:rsid w:val="0074249E"/>
    <w:rsid w:val="0074272E"/>
    <w:rsid w:val="00742990"/>
    <w:rsid w:val="00742C4C"/>
    <w:rsid w:val="00742F94"/>
    <w:rsid w:val="00743185"/>
    <w:rsid w:val="0074355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AF0"/>
    <w:rsid w:val="00745BE9"/>
    <w:rsid w:val="007463B9"/>
    <w:rsid w:val="0074697D"/>
    <w:rsid w:val="00746A31"/>
    <w:rsid w:val="00746F72"/>
    <w:rsid w:val="00750205"/>
    <w:rsid w:val="00750207"/>
    <w:rsid w:val="007508AD"/>
    <w:rsid w:val="00750C3A"/>
    <w:rsid w:val="00750E7F"/>
    <w:rsid w:val="00751024"/>
    <w:rsid w:val="00751067"/>
    <w:rsid w:val="007513C1"/>
    <w:rsid w:val="007515DC"/>
    <w:rsid w:val="00751CF0"/>
    <w:rsid w:val="00752882"/>
    <w:rsid w:val="00752974"/>
    <w:rsid w:val="00753473"/>
    <w:rsid w:val="007535AF"/>
    <w:rsid w:val="00753EE3"/>
    <w:rsid w:val="0075405B"/>
    <w:rsid w:val="00754235"/>
    <w:rsid w:val="007543A8"/>
    <w:rsid w:val="00754862"/>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1E16"/>
    <w:rsid w:val="007620EB"/>
    <w:rsid w:val="0076213A"/>
    <w:rsid w:val="0076227C"/>
    <w:rsid w:val="007622DB"/>
    <w:rsid w:val="00762481"/>
    <w:rsid w:val="00762588"/>
    <w:rsid w:val="00762ED5"/>
    <w:rsid w:val="007637DD"/>
    <w:rsid w:val="007638BB"/>
    <w:rsid w:val="007638D3"/>
    <w:rsid w:val="007639B2"/>
    <w:rsid w:val="00763E0C"/>
    <w:rsid w:val="00763FEB"/>
    <w:rsid w:val="00763FED"/>
    <w:rsid w:val="007642FA"/>
    <w:rsid w:val="0076433C"/>
    <w:rsid w:val="0076473A"/>
    <w:rsid w:val="00764A45"/>
    <w:rsid w:val="00764FA2"/>
    <w:rsid w:val="00765065"/>
    <w:rsid w:val="00765416"/>
    <w:rsid w:val="007654F2"/>
    <w:rsid w:val="007656A9"/>
    <w:rsid w:val="00765749"/>
    <w:rsid w:val="00765EB7"/>
    <w:rsid w:val="007660A7"/>
    <w:rsid w:val="007660CE"/>
    <w:rsid w:val="007663F2"/>
    <w:rsid w:val="007666BA"/>
    <w:rsid w:val="0076674F"/>
    <w:rsid w:val="00766816"/>
    <w:rsid w:val="00766B23"/>
    <w:rsid w:val="00767163"/>
    <w:rsid w:val="00767180"/>
    <w:rsid w:val="00767328"/>
    <w:rsid w:val="00767485"/>
    <w:rsid w:val="00767677"/>
    <w:rsid w:val="00767825"/>
    <w:rsid w:val="00767ECB"/>
    <w:rsid w:val="00770801"/>
    <w:rsid w:val="00770C50"/>
    <w:rsid w:val="00770C66"/>
    <w:rsid w:val="00770DB7"/>
    <w:rsid w:val="007715FE"/>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0EC4"/>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91E"/>
    <w:rsid w:val="00785C71"/>
    <w:rsid w:val="00785E2A"/>
    <w:rsid w:val="00785E32"/>
    <w:rsid w:val="007860F3"/>
    <w:rsid w:val="007861A4"/>
    <w:rsid w:val="00786375"/>
    <w:rsid w:val="00786432"/>
    <w:rsid w:val="007864CE"/>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DC4"/>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3E9B"/>
    <w:rsid w:val="007A4232"/>
    <w:rsid w:val="007A427F"/>
    <w:rsid w:val="007A4593"/>
    <w:rsid w:val="007A4596"/>
    <w:rsid w:val="007A4713"/>
    <w:rsid w:val="007A47B8"/>
    <w:rsid w:val="007A4D14"/>
    <w:rsid w:val="007A5651"/>
    <w:rsid w:val="007A56DF"/>
    <w:rsid w:val="007A5716"/>
    <w:rsid w:val="007A5730"/>
    <w:rsid w:val="007A5822"/>
    <w:rsid w:val="007A59E9"/>
    <w:rsid w:val="007A59F9"/>
    <w:rsid w:val="007A5B0B"/>
    <w:rsid w:val="007A5C5C"/>
    <w:rsid w:val="007A5D6D"/>
    <w:rsid w:val="007A6346"/>
    <w:rsid w:val="007A6563"/>
    <w:rsid w:val="007A6809"/>
    <w:rsid w:val="007A6A8C"/>
    <w:rsid w:val="007A72FB"/>
    <w:rsid w:val="007A748E"/>
    <w:rsid w:val="007A77A4"/>
    <w:rsid w:val="007A7856"/>
    <w:rsid w:val="007A7E04"/>
    <w:rsid w:val="007A7F3A"/>
    <w:rsid w:val="007B0288"/>
    <w:rsid w:val="007B0461"/>
    <w:rsid w:val="007B0A67"/>
    <w:rsid w:val="007B0C6C"/>
    <w:rsid w:val="007B0D5D"/>
    <w:rsid w:val="007B0DE3"/>
    <w:rsid w:val="007B0FB3"/>
    <w:rsid w:val="007B12A2"/>
    <w:rsid w:val="007B1475"/>
    <w:rsid w:val="007B1B3B"/>
    <w:rsid w:val="007B2358"/>
    <w:rsid w:val="007B27D2"/>
    <w:rsid w:val="007B28AF"/>
    <w:rsid w:val="007B2980"/>
    <w:rsid w:val="007B29C6"/>
    <w:rsid w:val="007B31A5"/>
    <w:rsid w:val="007B334C"/>
    <w:rsid w:val="007B3515"/>
    <w:rsid w:val="007B39A9"/>
    <w:rsid w:val="007B3B70"/>
    <w:rsid w:val="007B421F"/>
    <w:rsid w:val="007B4BC9"/>
    <w:rsid w:val="007B4E29"/>
    <w:rsid w:val="007B4EF8"/>
    <w:rsid w:val="007B5195"/>
    <w:rsid w:val="007B527A"/>
    <w:rsid w:val="007B54CF"/>
    <w:rsid w:val="007B58FA"/>
    <w:rsid w:val="007B5906"/>
    <w:rsid w:val="007B65A9"/>
    <w:rsid w:val="007B66FD"/>
    <w:rsid w:val="007B6853"/>
    <w:rsid w:val="007B688F"/>
    <w:rsid w:val="007B6BD5"/>
    <w:rsid w:val="007B74AC"/>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054"/>
    <w:rsid w:val="007C42CC"/>
    <w:rsid w:val="007C42F7"/>
    <w:rsid w:val="007C4A05"/>
    <w:rsid w:val="007C4CFB"/>
    <w:rsid w:val="007C4E56"/>
    <w:rsid w:val="007C512D"/>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1C"/>
    <w:rsid w:val="007D264B"/>
    <w:rsid w:val="007D2899"/>
    <w:rsid w:val="007D2DF5"/>
    <w:rsid w:val="007D327C"/>
    <w:rsid w:val="007D433E"/>
    <w:rsid w:val="007D44DA"/>
    <w:rsid w:val="007D478F"/>
    <w:rsid w:val="007D47CD"/>
    <w:rsid w:val="007D50F3"/>
    <w:rsid w:val="007D5112"/>
    <w:rsid w:val="007D5131"/>
    <w:rsid w:val="007D5364"/>
    <w:rsid w:val="007D5BFB"/>
    <w:rsid w:val="007D5D8C"/>
    <w:rsid w:val="007D619D"/>
    <w:rsid w:val="007D6904"/>
    <w:rsid w:val="007D6CE6"/>
    <w:rsid w:val="007D7872"/>
    <w:rsid w:val="007D7F99"/>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9EA"/>
    <w:rsid w:val="007E2DAA"/>
    <w:rsid w:val="007E2DE2"/>
    <w:rsid w:val="007E2E43"/>
    <w:rsid w:val="007E2F58"/>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2B0"/>
    <w:rsid w:val="007E53FA"/>
    <w:rsid w:val="007E573D"/>
    <w:rsid w:val="007E57E8"/>
    <w:rsid w:val="007E5811"/>
    <w:rsid w:val="007E58B7"/>
    <w:rsid w:val="007E5C31"/>
    <w:rsid w:val="007E682F"/>
    <w:rsid w:val="007E6CA4"/>
    <w:rsid w:val="007E7195"/>
    <w:rsid w:val="007E73DB"/>
    <w:rsid w:val="007E748E"/>
    <w:rsid w:val="007E74E4"/>
    <w:rsid w:val="007E79C0"/>
    <w:rsid w:val="007E79F2"/>
    <w:rsid w:val="007F05BD"/>
    <w:rsid w:val="007F0837"/>
    <w:rsid w:val="007F096A"/>
    <w:rsid w:val="007F0B26"/>
    <w:rsid w:val="007F1241"/>
    <w:rsid w:val="007F1478"/>
    <w:rsid w:val="007F1496"/>
    <w:rsid w:val="007F1587"/>
    <w:rsid w:val="007F174F"/>
    <w:rsid w:val="007F17E5"/>
    <w:rsid w:val="007F20B1"/>
    <w:rsid w:val="007F20E1"/>
    <w:rsid w:val="007F228F"/>
    <w:rsid w:val="007F2462"/>
    <w:rsid w:val="007F2741"/>
    <w:rsid w:val="007F29ED"/>
    <w:rsid w:val="007F2AAA"/>
    <w:rsid w:val="007F340A"/>
    <w:rsid w:val="007F3910"/>
    <w:rsid w:val="007F3DF9"/>
    <w:rsid w:val="007F3F33"/>
    <w:rsid w:val="007F401F"/>
    <w:rsid w:val="007F4335"/>
    <w:rsid w:val="007F4476"/>
    <w:rsid w:val="007F4AC1"/>
    <w:rsid w:val="007F5144"/>
    <w:rsid w:val="007F51CC"/>
    <w:rsid w:val="007F52CB"/>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6FD"/>
    <w:rsid w:val="00803A8F"/>
    <w:rsid w:val="00803BB2"/>
    <w:rsid w:val="00804167"/>
    <w:rsid w:val="00804210"/>
    <w:rsid w:val="00804427"/>
    <w:rsid w:val="0080456E"/>
    <w:rsid w:val="00804F9C"/>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0BDD"/>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2E8E"/>
    <w:rsid w:val="0082380D"/>
    <w:rsid w:val="00823976"/>
    <w:rsid w:val="00823C60"/>
    <w:rsid w:val="00823DE0"/>
    <w:rsid w:val="0082420C"/>
    <w:rsid w:val="0082436F"/>
    <w:rsid w:val="0082451B"/>
    <w:rsid w:val="0082472F"/>
    <w:rsid w:val="00824ABE"/>
    <w:rsid w:val="00824C53"/>
    <w:rsid w:val="00824D2A"/>
    <w:rsid w:val="00824F99"/>
    <w:rsid w:val="00825003"/>
    <w:rsid w:val="0082583F"/>
    <w:rsid w:val="00825B4C"/>
    <w:rsid w:val="00825BE7"/>
    <w:rsid w:val="008263FC"/>
    <w:rsid w:val="00826E58"/>
    <w:rsid w:val="00826E89"/>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3D47"/>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2E3"/>
    <w:rsid w:val="0083742C"/>
    <w:rsid w:val="00837AA5"/>
    <w:rsid w:val="0084009E"/>
    <w:rsid w:val="0084078A"/>
    <w:rsid w:val="00840870"/>
    <w:rsid w:val="00840C7F"/>
    <w:rsid w:val="008411C5"/>
    <w:rsid w:val="008412C7"/>
    <w:rsid w:val="008413D9"/>
    <w:rsid w:val="00841A53"/>
    <w:rsid w:val="00842462"/>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CD7"/>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529D"/>
    <w:rsid w:val="008562A0"/>
    <w:rsid w:val="00856323"/>
    <w:rsid w:val="008563DD"/>
    <w:rsid w:val="00856506"/>
    <w:rsid w:val="0085660A"/>
    <w:rsid w:val="0085663A"/>
    <w:rsid w:val="00856873"/>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1E40"/>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3730"/>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87D"/>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89"/>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54"/>
    <w:rsid w:val="00892CB2"/>
    <w:rsid w:val="00892D9E"/>
    <w:rsid w:val="00892DB1"/>
    <w:rsid w:val="00892E9B"/>
    <w:rsid w:val="00892EC0"/>
    <w:rsid w:val="00892F4C"/>
    <w:rsid w:val="0089349B"/>
    <w:rsid w:val="0089374F"/>
    <w:rsid w:val="00893E32"/>
    <w:rsid w:val="00893ED3"/>
    <w:rsid w:val="0089410A"/>
    <w:rsid w:val="008941F8"/>
    <w:rsid w:val="008944D6"/>
    <w:rsid w:val="00894849"/>
    <w:rsid w:val="008949DB"/>
    <w:rsid w:val="00894D15"/>
    <w:rsid w:val="00894D17"/>
    <w:rsid w:val="00894D56"/>
    <w:rsid w:val="00894DFD"/>
    <w:rsid w:val="00894F5C"/>
    <w:rsid w:val="008951A8"/>
    <w:rsid w:val="00895281"/>
    <w:rsid w:val="00895A14"/>
    <w:rsid w:val="00895A42"/>
    <w:rsid w:val="00895B37"/>
    <w:rsid w:val="00895CDA"/>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1F6"/>
    <w:rsid w:val="008A62C8"/>
    <w:rsid w:val="008A6BB2"/>
    <w:rsid w:val="008A70D8"/>
    <w:rsid w:val="008A7873"/>
    <w:rsid w:val="008A787D"/>
    <w:rsid w:val="008A7E01"/>
    <w:rsid w:val="008B04E3"/>
    <w:rsid w:val="008B06AB"/>
    <w:rsid w:val="008B081D"/>
    <w:rsid w:val="008B092F"/>
    <w:rsid w:val="008B0F95"/>
    <w:rsid w:val="008B115C"/>
    <w:rsid w:val="008B1648"/>
    <w:rsid w:val="008B1DB1"/>
    <w:rsid w:val="008B1ED0"/>
    <w:rsid w:val="008B23D1"/>
    <w:rsid w:val="008B24EF"/>
    <w:rsid w:val="008B2564"/>
    <w:rsid w:val="008B264B"/>
    <w:rsid w:val="008B2657"/>
    <w:rsid w:val="008B272E"/>
    <w:rsid w:val="008B2893"/>
    <w:rsid w:val="008B3245"/>
    <w:rsid w:val="008B356B"/>
    <w:rsid w:val="008B3A5F"/>
    <w:rsid w:val="008B42B2"/>
    <w:rsid w:val="008B45F7"/>
    <w:rsid w:val="008B48D0"/>
    <w:rsid w:val="008B4909"/>
    <w:rsid w:val="008B4E9B"/>
    <w:rsid w:val="008B5072"/>
    <w:rsid w:val="008B64A6"/>
    <w:rsid w:val="008B65BE"/>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157"/>
    <w:rsid w:val="008C22B2"/>
    <w:rsid w:val="008C23A2"/>
    <w:rsid w:val="008C31E0"/>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275"/>
    <w:rsid w:val="008C63F9"/>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51"/>
    <w:rsid w:val="008E2080"/>
    <w:rsid w:val="008E2095"/>
    <w:rsid w:val="008E2899"/>
    <w:rsid w:val="008E2C29"/>
    <w:rsid w:val="008E3533"/>
    <w:rsid w:val="008E3AAC"/>
    <w:rsid w:val="008E4318"/>
    <w:rsid w:val="008E431B"/>
    <w:rsid w:val="008E4558"/>
    <w:rsid w:val="008E51F3"/>
    <w:rsid w:val="008E57E0"/>
    <w:rsid w:val="008E5C71"/>
    <w:rsid w:val="008E5E0F"/>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2F9A"/>
    <w:rsid w:val="008F33AA"/>
    <w:rsid w:val="008F34C0"/>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19D"/>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411"/>
    <w:rsid w:val="00910610"/>
    <w:rsid w:val="00910B0D"/>
    <w:rsid w:val="00910C42"/>
    <w:rsid w:val="00910DC9"/>
    <w:rsid w:val="00911040"/>
    <w:rsid w:val="00911246"/>
    <w:rsid w:val="0091131E"/>
    <w:rsid w:val="009113A5"/>
    <w:rsid w:val="00911403"/>
    <w:rsid w:val="00911A73"/>
    <w:rsid w:val="00911EB5"/>
    <w:rsid w:val="00912095"/>
    <w:rsid w:val="00912569"/>
    <w:rsid w:val="009128D9"/>
    <w:rsid w:val="00912A86"/>
    <w:rsid w:val="00912BBC"/>
    <w:rsid w:val="009130C1"/>
    <w:rsid w:val="00913586"/>
    <w:rsid w:val="009136DA"/>
    <w:rsid w:val="009137DA"/>
    <w:rsid w:val="00913C22"/>
    <w:rsid w:val="00913CD7"/>
    <w:rsid w:val="00913E1D"/>
    <w:rsid w:val="00913EF2"/>
    <w:rsid w:val="00913FF8"/>
    <w:rsid w:val="0091417E"/>
    <w:rsid w:val="0091428C"/>
    <w:rsid w:val="00914346"/>
    <w:rsid w:val="0091469B"/>
    <w:rsid w:val="00914799"/>
    <w:rsid w:val="009148EE"/>
    <w:rsid w:val="00914DF3"/>
    <w:rsid w:val="00914EFA"/>
    <w:rsid w:val="009150BE"/>
    <w:rsid w:val="0091532A"/>
    <w:rsid w:val="009156C4"/>
    <w:rsid w:val="00915762"/>
    <w:rsid w:val="00915959"/>
    <w:rsid w:val="009159CA"/>
    <w:rsid w:val="00915EF2"/>
    <w:rsid w:val="00916589"/>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EB"/>
    <w:rsid w:val="00926CF6"/>
    <w:rsid w:val="00926D5A"/>
    <w:rsid w:val="00926EC6"/>
    <w:rsid w:val="00926F73"/>
    <w:rsid w:val="00927063"/>
    <w:rsid w:val="009270A3"/>
    <w:rsid w:val="009270B0"/>
    <w:rsid w:val="00927490"/>
    <w:rsid w:val="0092777D"/>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96F"/>
    <w:rsid w:val="00931CCF"/>
    <w:rsid w:val="009322B3"/>
    <w:rsid w:val="0093230B"/>
    <w:rsid w:val="00932873"/>
    <w:rsid w:val="00932E26"/>
    <w:rsid w:val="009339EC"/>
    <w:rsid w:val="00933B2F"/>
    <w:rsid w:val="00934019"/>
    <w:rsid w:val="009340B4"/>
    <w:rsid w:val="00934188"/>
    <w:rsid w:val="0093427C"/>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185F"/>
    <w:rsid w:val="00941DBF"/>
    <w:rsid w:val="009421AA"/>
    <w:rsid w:val="00942356"/>
    <w:rsid w:val="00942837"/>
    <w:rsid w:val="009428CB"/>
    <w:rsid w:val="00942A08"/>
    <w:rsid w:val="00942B71"/>
    <w:rsid w:val="0094312F"/>
    <w:rsid w:val="009431C1"/>
    <w:rsid w:val="009431CF"/>
    <w:rsid w:val="0094347F"/>
    <w:rsid w:val="009434A8"/>
    <w:rsid w:val="009435D0"/>
    <w:rsid w:val="00943A2D"/>
    <w:rsid w:val="00944233"/>
    <w:rsid w:val="00944444"/>
    <w:rsid w:val="00944623"/>
    <w:rsid w:val="0094476A"/>
    <w:rsid w:val="00945517"/>
    <w:rsid w:val="0094552F"/>
    <w:rsid w:val="00945B33"/>
    <w:rsid w:val="00945D58"/>
    <w:rsid w:val="009461B7"/>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541"/>
    <w:rsid w:val="0095468F"/>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734"/>
    <w:rsid w:val="0096199C"/>
    <w:rsid w:val="00961AA1"/>
    <w:rsid w:val="00961B7B"/>
    <w:rsid w:val="00962444"/>
    <w:rsid w:val="0096321A"/>
    <w:rsid w:val="0096346D"/>
    <w:rsid w:val="00963C0E"/>
    <w:rsid w:val="00963EC5"/>
    <w:rsid w:val="00964435"/>
    <w:rsid w:val="009644E1"/>
    <w:rsid w:val="00964514"/>
    <w:rsid w:val="00964531"/>
    <w:rsid w:val="00964583"/>
    <w:rsid w:val="00964747"/>
    <w:rsid w:val="009649C8"/>
    <w:rsid w:val="00964A09"/>
    <w:rsid w:val="00964C2D"/>
    <w:rsid w:val="009656C5"/>
    <w:rsid w:val="00965A16"/>
    <w:rsid w:val="00965A35"/>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800"/>
    <w:rsid w:val="00973D6D"/>
    <w:rsid w:val="00973D79"/>
    <w:rsid w:val="0097467A"/>
    <w:rsid w:val="00974762"/>
    <w:rsid w:val="00974845"/>
    <w:rsid w:val="00974B5A"/>
    <w:rsid w:val="00975201"/>
    <w:rsid w:val="00975207"/>
    <w:rsid w:val="00975224"/>
    <w:rsid w:val="009759B5"/>
    <w:rsid w:val="00975BD7"/>
    <w:rsid w:val="00975FB6"/>
    <w:rsid w:val="00976066"/>
    <w:rsid w:val="009762B4"/>
    <w:rsid w:val="009769C3"/>
    <w:rsid w:val="00976CCD"/>
    <w:rsid w:val="00976CD1"/>
    <w:rsid w:val="00976D4E"/>
    <w:rsid w:val="00976DAF"/>
    <w:rsid w:val="00977CBE"/>
    <w:rsid w:val="00977D95"/>
    <w:rsid w:val="0098044C"/>
    <w:rsid w:val="009806DD"/>
    <w:rsid w:val="00980700"/>
    <w:rsid w:val="0098076D"/>
    <w:rsid w:val="0098097E"/>
    <w:rsid w:val="009809C6"/>
    <w:rsid w:val="00980BF8"/>
    <w:rsid w:val="009815AA"/>
    <w:rsid w:val="009818B3"/>
    <w:rsid w:val="009818F6"/>
    <w:rsid w:val="009819D3"/>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6CE"/>
    <w:rsid w:val="0099175F"/>
    <w:rsid w:val="0099179A"/>
    <w:rsid w:val="00991C35"/>
    <w:rsid w:val="009921C0"/>
    <w:rsid w:val="009924FC"/>
    <w:rsid w:val="009926B0"/>
    <w:rsid w:val="00992913"/>
    <w:rsid w:val="00992B23"/>
    <w:rsid w:val="00992BD4"/>
    <w:rsid w:val="00992E8E"/>
    <w:rsid w:val="009930B7"/>
    <w:rsid w:val="009937FE"/>
    <w:rsid w:val="0099445A"/>
    <w:rsid w:val="00995180"/>
    <w:rsid w:val="0099554D"/>
    <w:rsid w:val="00995A0D"/>
    <w:rsid w:val="00995A39"/>
    <w:rsid w:val="00995B9A"/>
    <w:rsid w:val="00995CEB"/>
    <w:rsid w:val="00995D79"/>
    <w:rsid w:val="00996712"/>
    <w:rsid w:val="00996C89"/>
    <w:rsid w:val="00996DED"/>
    <w:rsid w:val="009971E7"/>
    <w:rsid w:val="0099731F"/>
    <w:rsid w:val="0099748E"/>
    <w:rsid w:val="00997915"/>
    <w:rsid w:val="009A0059"/>
    <w:rsid w:val="009A0275"/>
    <w:rsid w:val="009A055F"/>
    <w:rsid w:val="009A0750"/>
    <w:rsid w:val="009A0A21"/>
    <w:rsid w:val="009A0CF7"/>
    <w:rsid w:val="009A0ED1"/>
    <w:rsid w:val="009A100C"/>
    <w:rsid w:val="009A18B4"/>
    <w:rsid w:val="009A1ADF"/>
    <w:rsid w:val="009A1D83"/>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DA6"/>
    <w:rsid w:val="009A6EBB"/>
    <w:rsid w:val="009A7904"/>
    <w:rsid w:val="009B0469"/>
    <w:rsid w:val="009B0C75"/>
    <w:rsid w:val="009B0E10"/>
    <w:rsid w:val="009B1343"/>
    <w:rsid w:val="009B156F"/>
    <w:rsid w:val="009B1759"/>
    <w:rsid w:val="009B17EC"/>
    <w:rsid w:val="009B1A17"/>
    <w:rsid w:val="009B22B6"/>
    <w:rsid w:val="009B2307"/>
    <w:rsid w:val="009B26E3"/>
    <w:rsid w:val="009B2757"/>
    <w:rsid w:val="009B2851"/>
    <w:rsid w:val="009B2B4C"/>
    <w:rsid w:val="009B2DD8"/>
    <w:rsid w:val="009B2E24"/>
    <w:rsid w:val="009B3028"/>
    <w:rsid w:val="009B30A9"/>
    <w:rsid w:val="009B3290"/>
    <w:rsid w:val="009B33EC"/>
    <w:rsid w:val="009B3C6C"/>
    <w:rsid w:val="009B3D88"/>
    <w:rsid w:val="009B437E"/>
    <w:rsid w:val="009B4625"/>
    <w:rsid w:val="009B4740"/>
    <w:rsid w:val="009B48FB"/>
    <w:rsid w:val="009B4D50"/>
    <w:rsid w:val="009B4D59"/>
    <w:rsid w:val="009B4E0F"/>
    <w:rsid w:val="009B4E2D"/>
    <w:rsid w:val="009B51BA"/>
    <w:rsid w:val="009B545F"/>
    <w:rsid w:val="009B5CE9"/>
    <w:rsid w:val="009B6A77"/>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44"/>
    <w:rsid w:val="009C0981"/>
    <w:rsid w:val="009C09CA"/>
    <w:rsid w:val="009C0AD7"/>
    <w:rsid w:val="009C0C36"/>
    <w:rsid w:val="009C1578"/>
    <w:rsid w:val="009C18A1"/>
    <w:rsid w:val="009C1AD9"/>
    <w:rsid w:val="009C1BD2"/>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6FA8"/>
    <w:rsid w:val="009C755C"/>
    <w:rsid w:val="009C75C0"/>
    <w:rsid w:val="009C75F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26"/>
    <w:rsid w:val="009E019C"/>
    <w:rsid w:val="009E0413"/>
    <w:rsid w:val="009E04D3"/>
    <w:rsid w:val="009E09BD"/>
    <w:rsid w:val="009E09DA"/>
    <w:rsid w:val="009E0B89"/>
    <w:rsid w:val="009E14D0"/>
    <w:rsid w:val="009E1749"/>
    <w:rsid w:val="009E19DC"/>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285"/>
    <w:rsid w:val="009E5364"/>
    <w:rsid w:val="009E5544"/>
    <w:rsid w:val="009E55A0"/>
    <w:rsid w:val="009E5991"/>
    <w:rsid w:val="009E5BC9"/>
    <w:rsid w:val="009E5FE9"/>
    <w:rsid w:val="009E6041"/>
    <w:rsid w:val="009E6311"/>
    <w:rsid w:val="009E6510"/>
    <w:rsid w:val="009E7355"/>
    <w:rsid w:val="009E735C"/>
    <w:rsid w:val="009E7D13"/>
    <w:rsid w:val="009F082F"/>
    <w:rsid w:val="009F08FE"/>
    <w:rsid w:val="009F0B3B"/>
    <w:rsid w:val="009F1328"/>
    <w:rsid w:val="009F1385"/>
    <w:rsid w:val="009F1511"/>
    <w:rsid w:val="009F15D5"/>
    <w:rsid w:val="009F16E1"/>
    <w:rsid w:val="009F1A95"/>
    <w:rsid w:val="009F1C91"/>
    <w:rsid w:val="009F1E72"/>
    <w:rsid w:val="009F230A"/>
    <w:rsid w:val="009F2793"/>
    <w:rsid w:val="009F2A99"/>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42"/>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8B8"/>
    <w:rsid w:val="00A00940"/>
    <w:rsid w:val="00A00953"/>
    <w:rsid w:val="00A00BD8"/>
    <w:rsid w:val="00A00D01"/>
    <w:rsid w:val="00A00DD6"/>
    <w:rsid w:val="00A00E73"/>
    <w:rsid w:val="00A01125"/>
    <w:rsid w:val="00A0188D"/>
    <w:rsid w:val="00A019E2"/>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979"/>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1AF7"/>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AD8"/>
    <w:rsid w:val="00A14E3E"/>
    <w:rsid w:val="00A14E51"/>
    <w:rsid w:val="00A15014"/>
    <w:rsid w:val="00A15663"/>
    <w:rsid w:val="00A157AE"/>
    <w:rsid w:val="00A15A19"/>
    <w:rsid w:val="00A15B12"/>
    <w:rsid w:val="00A15F04"/>
    <w:rsid w:val="00A16469"/>
    <w:rsid w:val="00A16647"/>
    <w:rsid w:val="00A166F5"/>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007"/>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3BE1"/>
    <w:rsid w:val="00A3404B"/>
    <w:rsid w:val="00A34A5E"/>
    <w:rsid w:val="00A34CA6"/>
    <w:rsid w:val="00A35285"/>
    <w:rsid w:val="00A356AC"/>
    <w:rsid w:val="00A35DAF"/>
    <w:rsid w:val="00A361D2"/>
    <w:rsid w:val="00A363CF"/>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46"/>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82"/>
    <w:rsid w:val="00A462AE"/>
    <w:rsid w:val="00A466A2"/>
    <w:rsid w:val="00A4670C"/>
    <w:rsid w:val="00A4718F"/>
    <w:rsid w:val="00A471D7"/>
    <w:rsid w:val="00A47389"/>
    <w:rsid w:val="00A4745D"/>
    <w:rsid w:val="00A47728"/>
    <w:rsid w:val="00A478D7"/>
    <w:rsid w:val="00A479B8"/>
    <w:rsid w:val="00A47AFF"/>
    <w:rsid w:val="00A47C64"/>
    <w:rsid w:val="00A47F10"/>
    <w:rsid w:val="00A50607"/>
    <w:rsid w:val="00A50898"/>
    <w:rsid w:val="00A50A94"/>
    <w:rsid w:val="00A50B9A"/>
    <w:rsid w:val="00A50C00"/>
    <w:rsid w:val="00A50C54"/>
    <w:rsid w:val="00A50D81"/>
    <w:rsid w:val="00A510C0"/>
    <w:rsid w:val="00A5161B"/>
    <w:rsid w:val="00A51BFF"/>
    <w:rsid w:val="00A51CE0"/>
    <w:rsid w:val="00A51D95"/>
    <w:rsid w:val="00A51E37"/>
    <w:rsid w:val="00A51F6B"/>
    <w:rsid w:val="00A51FD1"/>
    <w:rsid w:val="00A520E1"/>
    <w:rsid w:val="00A521A6"/>
    <w:rsid w:val="00A521EC"/>
    <w:rsid w:val="00A52888"/>
    <w:rsid w:val="00A529B9"/>
    <w:rsid w:val="00A52DD9"/>
    <w:rsid w:val="00A5302A"/>
    <w:rsid w:val="00A53653"/>
    <w:rsid w:val="00A536DF"/>
    <w:rsid w:val="00A53B94"/>
    <w:rsid w:val="00A53EBA"/>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942"/>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89"/>
    <w:rsid w:val="00A61FAC"/>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1BF"/>
    <w:rsid w:val="00A65A23"/>
    <w:rsid w:val="00A66069"/>
    <w:rsid w:val="00A660FF"/>
    <w:rsid w:val="00A66AFB"/>
    <w:rsid w:val="00A66C5A"/>
    <w:rsid w:val="00A67C66"/>
    <w:rsid w:val="00A67F8B"/>
    <w:rsid w:val="00A704FC"/>
    <w:rsid w:val="00A70920"/>
    <w:rsid w:val="00A70A64"/>
    <w:rsid w:val="00A70C74"/>
    <w:rsid w:val="00A70E8B"/>
    <w:rsid w:val="00A71260"/>
    <w:rsid w:val="00A717E4"/>
    <w:rsid w:val="00A7185E"/>
    <w:rsid w:val="00A718E5"/>
    <w:rsid w:val="00A71E1E"/>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043"/>
    <w:rsid w:val="00A757D1"/>
    <w:rsid w:val="00A75D57"/>
    <w:rsid w:val="00A7627E"/>
    <w:rsid w:val="00A763C8"/>
    <w:rsid w:val="00A764F1"/>
    <w:rsid w:val="00A76880"/>
    <w:rsid w:val="00A76D21"/>
    <w:rsid w:val="00A76FFF"/>
    <w:rsid w:val="00A77C7B"/>
    <w:rsid w:val="00A8048E"/>
    <w:rsid w:val="00A8055E"/>
    <w:rsid w:val="00A80568"/>
    <w:rsid w:val="00A805C3"/>
    <w:rsid w:val="00A8074C"/>
    <w:rsid w:val="00A8086A"/>
    <w:rsid w:val="00A80F7C"/>
    <w:rsid w:val="00A812CC"/>
    <w:rsid w:val="00A81519"/>
    <w:rsid w:val="00A81C04"/>
    <w:rsid w:val="00A81C8C"/>
    <w:rsid w:val="00A81CE5"/>
    <w:rsid w:val="00A81FF7"/>
    <w:rsid w:val="00A82895"/>
    <w:rsid w:val="00A829C2"/>
    <w:rsid w:val="00A82D60"/>
    <w:rsid w:val="00A82FFB"/>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67F"/>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BB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A7F83"/>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6A7"/>
    <w:rsid w:val="00AB6943"/>
    <w:rsid w:val="00AB7519"/>
    <w:rsid w:val="00AB786B"/>
    <w:rsid w:val="00AB791B"/>
    <w:rsid w:val="00AB7C26"/>
    <w:rsid w:val="00AC17F3"/>
    <w:rsid w:val="00AC1807"/>
    <w:rsid w:val="00AC1B97"/>
    <w:rsid w:val="00AC1D9E"/>
    <w:rsid w:val="00AC1F59"/>
    <w:rsid w:val="00AC209A"/>
    <w:rsid w:val="00AC2F83"/>
    <w:rsid w:val="00AC3292"/>
    <w:rsid w:val="00AC34DB"/>
    <w:rsid w:val="00AC3C71"/>
    <w:rsid w:val="00AC47AB"/>
    <w:rsid w:val="00AC4BD6"/>
    <w:rsid w:val="00AC5197"/>
    <w:rsid w:val="00AC5213"/>
    <w:rsid w:val="00AC58B4"/>
    <w:rsid w:val="00AC5C69"/>
    <w:rsid w:val="00AC5D37"/>
    <w:rsid w:val="00AC5D62"/>
    <w:rsid w:val="00AC634D"/>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23C"/>
    <w:rsid w:val="00AD63A5"/>
    <w:rsid w:val="00AD693F"/>
    <w:rsid w:val="00AD6FFD"/>
    <w:rsid w:val="00AD77B5"/>
    <w:rsid w:val="00AD7813"/>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606"/>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0C9"/>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AF7FC8"/>
    <w:rsid w:val="00B004A6"/>
    <w:rsid w:val="00B00907"/>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32D"/>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31C"/>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7B5"/>
    <w:rsid w:val="00B338BB"/>
    <w:rsid w:val="00B33AEE"/>
    <w:rsid w:val="00B33F5D"/>
    <w:rsid w:val="00B340A1"/>
    <w:rsid w:val="00B340B3"/>
    <w:rsid w:val="00B34A64"/>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37B41"/>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518"/>
    <w:rsid w:val="00B4360B"/>
    <w:rsid w:val="00B436C7"/>
    <w:rsid w:val="00B4380E"/>
    <w:rsid w:val="00B43CEC"/>
    <w:rsid w:val="00B43D1D"/>
    <w:rsid w:val="00B44426"/>
    <w:rsid w:val="00B45552"/>
    <w:rsid w:val="00B4589F"/>
    <w:rsid w:val="00B45B70"/>
    <w:rsid w:val="00B46047"/>
    <w:rsid w:val="00B4615E"/>
    <w:rsid w:val="00B463E4"/>
    <w:rsid w:val="00B4648E"/>
    <w:rsid w:val="00B46723"/>
    <w:rsid w:val="00B47223"/>
    <w:rsid w:val="00B47751"/>
    <w:rsid w:val="00B47BD5"/>
    <w:rsid w:val="00B507CE"/>
    <w:rsid w:val="00B50E20"/>
    <w:rsid w:val="00B515F3"/>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39F"/>
    <w:rsid w:val="00B615BC"/>
    <w:rsid w:val="00B6179D"/>
    <w:rsid w:val="00B61C7E"/>
    <w:rsid w:val="00B62114"/>
    <w:rsid w:val="00B62507"/>
    <w:rsid w:val="00B62C3E"/>
    <w:rsid w:val="00B62E0C"/>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3E3"/>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4FCE"/>
    <w:rsid w:val="00B751F0"/>
    <w:rsid w:val="00B755CE"/>
    <w:rsid w:val="00B755FD"/>
    <w:rsid w:val="00B761B3"/>
    <w:rsid w:val="00B76314"/>
    <w:rsid w:val="00B76411"/>
    <w:rsid w:val="00B764FA"/>
    <w:rsid w:val="00B76517"/>
    <w:rsid w:val="00B7658D"/>
    <w:rsid w:val="00B7702A"/>
    <w:rsid w:val="00B7721B"/>
    <w:rsid w:val="00B77413"/>
    <w:rsid w:val="00B77417"/>
    <w:rsid w:val="00B778A6"/>
    <w:rsid w:val="00B778AA"/>
    <w:rsid w:val="00B7790B"/>
    <w:rsid w:val="00B77B94"/>
    <w:rsid w:val="00B8051B"/>
    <w:rsid w:val="00B806A3"/>
    <w:rsid w:val="00B8088A"/>
    <w:rsid w:val="00B815E1"/>
    <w:rsid w:val="00B81794"/>
    <w:rsid w:val="00B81FC0"/>
    <w:rsid w:val="00B81FFC"/>
    <w:rsid w:val="00B82171"/>
    <w:rsid w:val="00B824FA"/>
    <w:rsid w:val="00B8289C"/>
    <w:rsid w:val="00B82F31"/>
    <w:rsid w:val="00B83318"/>
    <w:rsid w:val="00B83866"/>
    <w:rsid w:val="00B83CA8"/>
    <w:rsid w:val="00B83D8F"/>
    <w:rsid w:val="00B84204"/>
    <w:rsid w:val="00B84464"/>
    <w:rsid w:val="00B8446F"/>
    <w:rsid w:val="00B84535"/>
    <w:rsid w:val="00B84A06"/>
    <w:rsid w:val="00B84AF6"/>
    <w:rsid w:val="00B84D2F"/>
    <w:rsid w:val="00B84DC1"/>
    <w:rsid w:val="00B85071"/>
    <w:rsid w:val="00B861ED"/>
    <w:rsid w:val="00B86523"/>
    <w:rsid w:val="00B868B9"/>
    <w:rsid w:val="00B86A10"/>
    <w:rsid w:val="00B86A7C"/>
    <w:rsid w:val="00B86B98"/>
    <w:rsid w:val="00B86BD6"/>
    <w:rsid w:val="00B86D7D"/>
    <w:rsid w:val="00B872BE"/>
    <w:rsid w:val="00B87961"/>
    <w:rsid w:val="00B87CAC"/>
    <w:rsid w:val="00B908B1"/>
    <w:rsid w:val="00B908B7"/>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2D5B"/>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6C"/>
    <w:rsid w:val="00B976FB"/>
    <w:rsid w:val="00B9773C"/>
    <w:rsid w:val="00B97BC6"/>
    <w:rsid w:val="00B97DEF"/>
    <w:rsid w:val="00BA0257"/>
    <w:rsid w:val="00BA025F"/>
    <w:rsid w:val="00BA1193"/>
    <w:rsid w:val="00BA142F"/>
    <w:rsid w:val="00BA145B"/>
    <w:rsid w:val="00BA18D2"/>
    <w:rsid w:val="00BA1DB3"/>
    <w:rsid w:val="00BA20FB"/>
    <w:rsid w:val="00BA2120"/>
    <w:rsid w:val="00BA215E"/>
    <w:rsid w:val="00BA216E"/>
    <w:rsid w:val="00BA2360"/>
    <w:rsid w:val="00BA27F7"/>
    <w:rsid w:val="00BA28F6"/>
    <w:rsid w:val="00BA29F0"/>
    <w:rsid w:val="00BA29FE"/>
    <w:rsid w:val="00BA313F"/>
    <w:rsid w:val="00BA3182"/>
    <w:rsid w:val="00BA3436"/>
    <w:rsid w:val="00BA348D"/>
    <w:rsid w:val="00BA34C9"/>
    <w:rsid w:val="00BA3732"/>
    <w:rsid w:val="00BA37EF"/>
    <w:rsid w:val="00BA3EB1"/>
    <w:rsid w:val="00BA3F15"/>
    <w:rsid w:val="00BA4A05"/>
    <w:rsid w:val="00BA5193"/>
    <w:rsid w:val="00BA58E3"/>
    <w:rsid w:val="00BA6295"/>
    <w:rsid w:val="00BA62B2"/>
    <w:rsid w:val="00BA6504"/>
    <w:rsid w:val="00BA687D"/>
    <w:rsid w:val="00BA6C4B"/>
    <w:rsid w:val="00BA6D4B"/>
    <w:rsid w:val="00BA6EF3"/>
    <w:rsid w:val="00BA7711"/>
    <w:rsid w:val="00BA7B75"/>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2FB9"/>
    <w:rsid w:val="00BB3243"/>
    <w:rsid w:val="00BB3CD5"/>
    <w:rsid w:val="00BB3DAB"/>
    <w:rsid w:val="00BB42E2"/>
    <w:rsid w:val="00BB4596"/>
    <w:rsid w:val="00BB4A68"/>
    <w:rsid w:val="00BB4F91"/>
    <w:rsid w:val="00BB54AA"/>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292"/>
    <w:rsid w:val="00BC157B"/>
    <w:rsid w:val="00BC177B"/>
    <w:rsid w:val="00BC1AAD"/>
    <w:rsid w:val="00BC1D39"/>
    <w:rsid w:val="00BC1E6E"/>
    <w:rsid w:val="00BC1E76"/>
    <w:rsid w:val="00BC1E9C"/>
    <w:rsid w:val="00BC2191"/>
    <w:rsid w:val="00BC2258"/>
    <w:rsid w:val="00BC230E"/>
    <w:rsid w:val="00BC26F5"/>
    <w:rsid w:val="00BC2B3C"/>
    <w:rsid w:val="00BC2E2D"/>
    <w:rsid w:val="00BC2F4F"/>
    <w:rsid w:val="00BC2F57"/>
    <w:rsid w:val="00BC35FB"/>
    <w:rsid w:val="00BC3712"/>
    <w:rsid w:val="00BC3756"/>
    <w:rsid w:val="00BC3C0D"/>
    <w:rsid w:val="00BC3C58"/>
    <w:rsid w:val="00BC4194"/>
    <w:rsid w:val="00BC41B6"/>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3A99"/>
    <w:rsid w:val="00BD42B0"/>
    <w:rsid w:val="00BD43BE"/>
    <w:rsid w:val="00BD49C2"/>
    <w:rsid w:val="00BD5377"/>
    <w:rsid w:val="00BD54BA"/>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42"/>
    <w:rsid w:val="00BE0C82"/>
    <w:rsid w:val="00BE0F12"/>
    <w:rsid w:val="00BE104A"/>
    <w:rsid w:val="00BE10B7"/>
    <w:rsid w:val="00BE1461"/>
    <w:rsid w:val="00BE175F"/>
    <w:rsid w:val="00BE1A62"/>
    <w:rsid w:val="00BE1B15"/>
    <w:rsid w:val="00BE2082"/>
    <w:rsid w:val="00BE21B2"/>
    <w:rsid w:val="00BE22E0"/>
    <w:rsid w:val="00BE2333"/>
    <w:rsid w:val="00BE254F"/>
    <w:rsid w:val="00BE2B2E"/>
    <w:rsid w:val="00BE3088"/>
    <w:rsid w:val="00BE365E"/>
    <w:rsid w:val="00BE3804"/>
    <w:rsid w:val="00BE3F08"/>
    <w:rsid w:val="00BE42BC"/>
    <w:rsid w:val="00BE4A59"/>
    <w:rsid w:val="00BE4CCC"/>
    <w:rsid w:val="00BE4D2F"/>
    <w:rsid w:val="00BE5566"/>
    <w:rsid w:val="00BE588F"/>
    <w:rsid w:val="00BE59CC"/>
    <w:rsid w:val="00BE5FEF"/>
    <w:rsid w:val="00BE603F"/>
    <w:rsid w:val="00BE60C3"/>
    <w:rsid w:val="00BE63A4"/>
    <w:rsid w:val="00BE63D5"/>
    <w:rsid w:val="00BE6523"/>
    <w:rsid w:val="00BE6991"/>
    <w:rsid w:val="00BE752A"/>
    <w:rsid w:val="00BE757A"/>
    <w:rsid w:val="00BE7679"/>
    <w:rsid w:val="00BE7AFB"/>
    <w:rsid w:val="00BE7F63"/>
    <w:rsid w:val="00BF02E5"/>
    <w:rsid w:val="00BF05B9"/>
    <w:rsid w:val="00BF068F"/>
    <w:rsid w:val="00BF0A3D"/>
    <w:rsid w:val="00BF0A47"/>
    <w:rsid w:val="00BF0D60"/>
    <w:rsid w:val="00BF0F99"/>
    <w:rsid w:val="00BF117A"/>
    <w:rsid w:val="00BF152B"/>
    <w:rsid w:val="00BF16C7"/>
    <w:rsid w:val="00BF1843"/>
    <w:rsid w:val="00BF1AAF"/>
    <w:rsid w:val="00BF1BCA"/>
    <w:rsid w:val="00BF23ED"/>
    <w:rsid w:val="00BF2A5B"/>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85D"/>
    <w:rsid w:val="00BF5A49"/>
    <w:rsid w:val="00BF5B07"/>
    <w:rsid w:val="00BF5D45"/>
    <w:rsid w:val="00BF60A0"/>
    <w:rsid w:val="00BF611D"/>
    <w:rsid w:val="00BF63F2"/>
    <w:rsid w:val="00BF69EA"/>
    <w:rsid w:val="00BF6BE9"/>
    <w:rsid w:val="00BF6D1B"/>
    <w:rsid w:val="00BF6DCD"/>
    <w:rsid w:val="00BF70A0"/>
    <w:rsid w:val="00BF713A"/>
    <w:rsid w:val="00BF76FA"/>
    <w:rsid w:val="00C000E4"/>
    <w:rsid w:val="00C00F79"/>
    <w:rsid w:val="00C01238"/>
    <w:rsid w:val="00C013F1"/>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B01"/>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91A"/>
    <w:rsid w:val="00C15C2B"/>
    <w:rsid w:val="00C15D84"/>
    <w:rsid w:val="00C15E7F"/>
    <w:rsid w:val="00C16122"/>
    <w:rsid w:val="00C16491"/>
    <w:rsid w:val="00C165C8"/>
    <w:rsid w:val="00C1751B"/>
    <w:rsid w:val="00C175EC"/>
    <w:rsid w:val="00C20108"/>
    <w:rsid w:val="00C203A5"/>
    <w:rsid w:val="00C205E5"/>
    <w:rsid w:val="00C2100C"/>
    <w:rsid w:val="00C2185A"/>
    <w:rsid w:val="00C21BFB"/>
    <w:rsid w:val="00C21FBD"/>
    <w:rsid w:val="00C221C5"/>
    <w:rsid w:val="00C222E5"/>
    <w:rsid w:val="00C22579"/>
    <w:rsid w:val="00C226F3"/>
    <w:rsid w:val="00C22845"/>
    <w:rsid w:val="00C2288F"/>
    <w:rsid w:val="00C228F5"/>
    <w:rsid w:val="00C22B7C"/>
    <w:rsid w:val="00C23129"/>
    <w:rsid w:val="00C23749"/>
    <w:rsid w:val="00C238A3"/>
    <w:rsid w:val="00C238F7"/>
    <w:rsid w:val="00C23947"/>
    <w:rsid w:val="00C2418B"/>
    <w:rsid w:val="00C2494C"/>
    <w:rsid w:val="00C24DDB"/>
    <w:rsid w:val="00C25343"/>
    <w:rsid w:val="00C255E3"/>
    <w:rsid w:val="00C25F63"/>
    <w:rsid w:val="00C26169"/>
    <w:rsid w:val="00C26474"/>
    <w:rsid w:val="00C26802"/>
    <w:rsid w:val="00C268C9"/>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6CF"/>
    <w:rsid w:val="00C35A97"/>
    <w:rsid w:val="00C35C6E"/>
    <w:rsid w:val="00C368B5"/>
    <w:rsid w:val="00C36C8B"/>
    <w:rsid w:val="00C37107"/>
    <w:rsid w:val="00C37506"/>
    <w:rsid w:val="00C37693"/>
    <w:rsid w:val="00C37830"/>
    <w:rsid w:val="00C3796F"/>
    <w:rsid w:val="00C4008E"/>
    <w:rsid w:val="00C400E6"/>
    <w:rsid w:val="00C401A6"/>
    <w:rsid w:val="00C409D5"/>
    <w:rsid w:val="00C40D94"/>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9F"/>
    <w:rsid w:val="00C571F6"/>
    <w:rsid w:val="00C5751B"/>
    <w:rsid w:val="00C579F3"/>
    <w:rsid w:val="00C57C32"/>
    <w:rsid w:val="00C57EFB"/>
    <w:rsid w:val="00C600D9"/>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2C"/>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477"/>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2DD5"/>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918"/>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BAC"/>
    <w:rsid w:val="00C92C17"/>
    <w:rsid w:val="00C934EF"/>
    <w:rsid w:val="00C9365C"/>
    <w:rsid w:val="00C93CE0"/>
    <w:rsid w:val="00C93D25"/>
    <w:rsid w:val="00C9421C"/>
    <w:rsid w:val="00C94449"/>
    <w:rsid w:val="00C94518"/>
    <w:rsid w:val="00C946F8"/>
    <w:rsid w:val="00C94D13"/>
    <w:rsid w:val="00C9521C"/>
    <w:rsid w:val="00C9528C"/>
    <w:rsid w:val="00C952EE"/>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B35"/>
    <w:rsid w:val="00CA4C75"/>
    <w:rsid w:val="00CA505E"/>
    <w:rsid w:val="00CA5096"/>
    <w:rsid w:val="00CA519A"/>
    <w:rsid w:val="00CA53D8"/>
    <w:rsid w:val="00CA5709"/>
    <w:rsid w:val="00CA5B34"/>
    <w:rsid w:val="00CA5D80"/>
    <w:rsid w:val="00CA6184"/>
    <w:rsid w:val="00CA61E0"/>
    <w:rsid w:val="00CA6473"/>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0F99"/>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675"/>
    <w:rsid w:val="00CB4715"/>
    <w:rsid w:val="00CB4762"/>
    <w:rsid w:val="00CB4A8A"/>
    <w:rsid w:val="00CB4AAB"/>
    <w:rsid w:val="00CB526B"/>
    <w:rsid w:val="00CB55BC"/>
    <w:rsid w:val="00CB5F0C"/>
    <w:rsid w:val="00CB68BF"/>
    <w:rsid w:val="00CB6B5B"/>
    <w:rsid w:val="00CB6CB3"/>
    <w:rsid w:val="00CB6D87"/>
    <w:rsid w:val="00CB76E9"/>
    <w:rsid w:val="00CB7A3C"/>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39B"/>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850"/>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611"/>
    <w:rsid w:val="00CE3964"/>
    <w:rsid w:val="00CE3FBE"/>
    <w:rsid w:val="00CE413D"/>
    <w:rsid w:val="00CE44DB"/>
    <w:rsid w:val="00CE4770"/>
    <w:rsid w:val="00CE4C57"/>
    <w:rsid w:val="00CE4E5A"/>
    <w:rsid w:val="00CE4F9C"/>
    <w:rsid w:val="00CE5215"/>
    <w:rsid w:val="00CE58E7"/>
    <w:rsid w:val="00CE59DF"/>
    <w:rsid w:val="00CE5AF1"/>
    <w:rsid w:val="00CE5D68"/>
    <w:rsid w:val="00CE5E80"/>
    <w:rsid w:val="00CE6C43"/>
    <w:rsid w:val="00CE739C"/>
    <w:rsid w:val="00CE7474"/>
    <w:rsid w:val="00CE7841"/>
    <w:rsid w:val="00CE7970"/>
    <w:rsid w:val="00CE7BE2"/>
    <w:rsid w:val="00CE7F91"/>
    <w:rsid w:val="00CF00DE"/>
    <w:rsid w:val="00CF010A"/>
    <w:rsid w:val="00CF0235"/>
    <w:rsid w:val="00CF0384"/>
    <w:rsid w:val="00CF08C8"/>
    <w:rsid w:val="00CF08CA"/>
    <w:rsid w:val="00CF0BBC"/>
    <w:rsid w:val="00CF0D80"/>
    <w:rsid w:val="00CF12D5"/>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BE4"/>
    <w:rsid w:val="00CF4F12"/>
    <w:rsid w:val="00CF4F79"/>
    <w:rsid w:val="00CF55D5"/>
    <w:rsid w:val="00CF58FF"/>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2F9F"/>
    <w:rsid w:val="00D03100"/>
    <w:rsid w:val="00D03265"/>
    <w:rsid w:val="00D03393"/>
    <w:rsid w:val="00D03435"/>
    <w:rsid w:val="00D03913"/>
    <w:rsid w:val="00D04054"/>
    <w:rsid w:val="00D04764"/>
    <w:rsid w:val="00D04815"/>
    <w:rsid w:val="00D048EF"/>
    <w:rsid w:val="00D04D46"/>
    <w:rsid w:val="00D05484"/>
    <w:rsid w:val="00D056FD"/>
    <w:rsid w:val="00D0580D"/>
    <w:rsid w:val="00D05E2F"/>
    <w:rsid w:val="00D05E50"/>
    <w:rsid w:val="00D05F7C"/>
    <w:rsid w:val="00D06941"/>
    <w:rsid w:val="00D06E83"/>
    <w:rsid w:val="00D0710C"/>
    <w:rsid w:val="00D074B5"/>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3BE"/>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539"/>
    <w:rsid w:val="00D2690D"/>
    <w:rsid w:val="00D26EA3"/>
    <w:rsid w:val="00D27067"/>
    <w:rsid w:val="00D273DE"/>
    <w:rsid w:val="00D27710"/>
    <w:rsid w:val="00D277D9"/>
    <w:rsid w:val="00D278F7"/>
    <w:rsid w:val="00D27ABA"/>
    <w:rsid w:val="00D27D7E"/>
    <w:rsid w:val="00D300B3"/>
    <w:rsid w:val="00D30B61"/>
    <w:rsid w:val="00D31008"/>
    <w:rsid w:val="00D31226"/>
    <w:rsid w:val="00D31C44"/>
    <w:rsid w:val="00D31E5F"/>
    <w:rsid w:val="00D31F32"/>
    <w:rsid w:val="00D31F3C"/>
    <w:rsid w:val="00D320C3"/>
    <w:rsid w:val="00D3265C"/>
    <w:rsid w:val="00D32F25"/>
    <w:rsid w:val="00D33344"/>
    <w:rsid w:val="00D33CD3"/>
    <w:rsid w:val="00D33F91"/>
    <w:rsid w:val="00D34737"/>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277"/>
    <w:rsid w:val="00D40557"/>
    <w:rsid w:val="00D40D73"/>
    <w:rsid w:val="00D4137A"/>
    <w:rsid w:val="00D41E9B"/>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74B"/>
    <w:rsid w:val="00D45E66"/>
    <w:rsid w:val="00D46180"/>
    <w:rsid w:val="00D4622F"/>
    <w:rsid w:val="00D462CC"/>
    <w:rsid w:val="00D4632E"/>
    <w:rsid w:val="00D4699A"/>
    <w:rsid w:val="00D46B78"/>
    <w:rsid w:val="00D46F12"/>
    <w:rsid w:val="00D46FE1"/>
    <w:rsid w:val="00D471F2"/>
    <w:rsid w:val="00D47564"/>
    <w:rsid w:val="00D4790F"/>
    <w:rsid w:val="00D47BA2"/>
    <w:rsid w:val="00D47D03"/>
    <w:rsid w:val="00D504A1"/>
    <w:rsid w:val="00D50620"/>
    <w:rsid w:val="00D50BC7"/>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27D"/>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174"/>
    <w:rsid w:val="00D62259"/>
    <w:rsid w:val="00D6269D"/>
    <w:rsid w:val="00D62C2A"/>
    <w:rsid w:val="00D63479"/>
    <w:rsid w:val="00D63580"/>
    <w:rsid w:val="00D6365C"/>
    <w:rsid w:val="00D637B2"/>
    <w:rsid w:val="00D63CBF"/>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091"/>
    <w:rsid w:val="00D670FF"/>
    <w:rsid w:val="00D6760F"/>
    <w:rsid w:val="00D67A6D"/>
    <w:rsid w:val="00D67FDE"/>
    <w:rsid w:val="00D7009F"/>
    <w:rsid w:val="00D70686"/>
    <w:rsid w:val="00D709A4"/>
    <w:rsid w:val="00D709AF"/>
    <w:rsid w:val="00D70ADD"/>
    <w:rsid w:val="00D70D05"/>
    <w:rsid w:val="00D71281"/>
    <w:rsid w:val="00D71366"/>
    <w:rsid w:val="00D7136C"/>
    <w:rsid w:val="00D715F9"/>
    <w:rsid w:val="00D717A6"/>
    <w:rsid w:val="00D718ED"/>
    <w:rsid w:val="00D71E18"/>
    <w:rsid w:val="00D71FB9"/>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B81"/>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2DE"/>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2C44"/>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5B4E"/>
    <w:rsid w:val="00D964CC"/>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AD5"/>
    <w:rsid w:val="00DA2D38"/>
    <w:rsid w:val="00DA3137"/>
    <w:rsid w:val="00DA32F9"/>
    <w:rsid w:val="00DA33E9"/>
    <w:rsid w:val="00DA357B"/>
    <w:rsid w:val="00DA35B8"/>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A6B"/>
    <w:rsid w:val="00DA7D42"/>
    <w:rsid w:val="00DA7DAD"/>
    <w:rsid w:val="00DB000C"/>
    <w:rsid w:val="00DB00F2"/>
    <w:rsid w:val="00DB0239"/>
    <w:rsid w:val="00DB09F6"/>
    <w:rsid w:val="00DB0DE0"/>
    <w:rsid w:val="00DB1165"/>
    <w:rsid w:val="00DB1594"/>
    <w:rsid w:val="00DB18FC"/>
    <w:rsid w:val="00DB1D80"/>
    <w:rsid w:val="00DB1DEA"/>
    <w:rsid w:val="00DB21E3"/>
    <w:rsid w:val="00DB2832"/>
    <w:rsid w:val="00DB28E4"/>
    <w:rsid w:val="00DB28EB"/>
    <w:rsid w:val="00DB28F7"/>
    <w:rsid w:val="00DB29AE"/>
    <w:rsid w:val="00DB2B24"/>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B5F"/>
    <w:rsid w:val="00DB4D13"/>
    <w:rsid w:val="00DB50B1"/>
    <w:rsid w:val="00DB61E2"/>
    <w:rsid w:val="00DB63EF"/>
    <w:rsid w:val="00DB6647"/>
    <w:rsid w:val="00DB66A3"/>
    <w:rsid w:val="00DB66CE"/>
    <w:rsid w:val="00DB6A63"/>
    <w:rsid w:val="00DB6E6F"/>
    <w:rsid w:val="00DB741D"/>
    <w:rsid w:val="00DB7CE3"/>
    <w:rsid w:val="00DC038A"/>
    <w:rsid w:val="00DC048B"/>
    <w:rsid w:val="00DC1205"/>
    <w:rsid w:val="00DC18FC"/>
    <w:rsid w:val="00DC1A30"/>
    <w:rsid w:val="00DC2307"/>
    <w:rsid w:val="00DC232B"/>
    <w:rsid w:val="00DC2891"/>
    <w:rsid w:val="00DC2FD5"/>
    <w:rsid w:val="00DC346E"/>
    <w:rsid w:val="00DC3A2B"/>
    <w:rsid w:val="00DC3D69"/>
    <w:rsid w:val="00DC4117"/>
    <w:rsid w:val="00DC42E9"/>
    <w:rsid w:val="00DC4579"/>
    <w:rsid w:val="00DC4A90"/>
    <w:rsid w:val="00DC4BDE"/>
    <w:rsid w:val="00DC4D9D"/>
    <w:rsid w:val="00DC4F94"/>
    <w:rsid w:val="00DC53B6"/>
    <w:rsid w:val="00DC5754"/>
    <w:rsid w:val="00DC5A5D"/>
    <w:rsid w:val="00DC5A80"/>
    <w:rsid w:val="00DC5B73"/>
    <w:rsid w:val="00DC5CE1"/>
    <w:rsid w:val="00DC61B2"/>
    <w:rsid w:val="00DC61F2"/>
    <w:rsid w:val="00DC6438"/>
    <w:rsid w:val="00DC6670"/>
    <w:rsid w:val="00DC66E6"/>
    <w:rsid w:val="00DC681F"/>
    <w:rsid w:val="00DC68F5"/>
    <w:rsid w:val="00DC696D"/>
    <w:rsid w:val="00DC6974"/>
    <w:rsid w:val="00DC69C3"/>
    <w:rsid w:val="00DC6A25"/>
    <w:rsid w:val="00DC6D34"/>
    <w:rsid w:val="00DC6EFC"/>
    <w:rsid w:val="00DC6FDD"/>
    <w:rsid w:val="00DC72C7"/>
    <w:rsid w:val="00DC743A"/>
    <w:rsid w:val="00DD0195"/>
    <w:rsid w:val="00DD0DBC"/>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B32"/>
    <w:rsid w:val="00DD4DE2"/>
    <w:rsid w:val="00DD5019"/>
    <w:rsid w:val="00DD526C"/>
    <w:rsid w:val="00DD54E2"/>
    <w:rsid w:val="00DD57B5"/>
    <w:rsid w:val="00DD5E05"/>
    <w:rsid w:val="00DD5EB7"/>
    <w:rsid w:val="00DD6164"/>
    <w:rsid w:val="00DD630B"/>
    <w:rsid w:val="00DD6734"/>
    <w:rsid w:val="00DD6CC5"/>
    <w:rsid w:val="00DD6F96"/>
    <w:rsid w:val="00DD70F6"/>
    <w:rsid w:val="00DD7203"/>
    <w:rsid w:val="00DD7406"/>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47B"/>
    <w:rsid w:val="00DF14FE"/>
    <w:rsid w:val="00DF1574"/>
    <w:rsid w:val="00DF1835"/>
    <w:rsid w:val="00DF1854"/>
    <w:rsid w:val="00DF199B"/>
    <w:rsid w:val="00DF19BF"/>
    <w:rsid w:val="00DF1E2D"/>
    <w:rsid w:val="00DF201C"/>
    <w:rsid w:val="00DF212B"/>
    <w:rsid w:val="00DF241C"/>
    <w:rsid w:val="00DF2442"/>
    <w:rsid w:val="00DF255E"/>
    <w:rsid w:val="00DF2B15"/>
    <w:rsid w:val="00DF3378"/>
    <w:rsid w:val="00DF346F"/>
    <w:rsid w:val="00DF3A48"/>
    <w:rsid w:val="00DF476A"/>
    <w:rsid w:val="00DF4A8D"/>
    <w:rsid w:val="00DF4AC2"/>
    <w:rsid w:val="00DF4BDD"/>
    <w:rsid w:val="00DF4C20"/>
    <w:rsid w:val="00DF5633"/>
    <w:rsid w:val="00DF56C9"/>
    <w:rsid w:val="00DF59D5"/>
    <w:rsid w:val="00DF59E4"/>
    <w:rsid w:val="00DF5A72"/>
    <w:rsid w:val="00DF5D0E"/>
    <w:rsid w:val="00DF6058"/>
    <w:rsid w:val="00DF630C"/>
    <w:rsid w:val="00DF652F"/>
    <w:rsid w:val="00DF65D6"/>
    <w:rsid w:val="00DF6A6B"/>
    <w:rsid w:val="00DF6CC9"/>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911"/>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AA2"/>
    <w:rsid w:val="00E10EAD"/>
    <w:rsid w:val="00E110E1"/>
    <w:rsid w:val="00E1167D"/>
    <w:rsid w:val="00E116FD"/>
    <w:rsid w:val="00E11966"/>
    <w:rsid w:val="00E11BBC"/>
    <w:rsid w:val="00E11C18"/>
    <w:rsid w:val="00E12024"/>
    <w:rsid w:val="00E12206"/>
    <w:rsid w:val="00E12937"/>
    <w:rsid w:val="00E13032"/>
    <w:rsid w:val="00E13541"/>
    <w:rsid w:val="00E135FF"/>
    <w:rsid w:val="00E13C5F"/>
    <w:rsid w:val="00E13CE9"/>
    <w:rsid w:val="00E140C6"/>
    <w:rsid w:val="00E148B6"/>
    <w:rsid w:val="00E14ACF"/>
    <w:rsid w:val="00E14B46"/>
    <w:rsid w:val="00E14C65"/>
    <w:rsid w:val="00E14D97"/>
    <w:rsid w:val="00E14FE5"/>
    <w:rsid w:val="00E15022"/>
    <w:rsid w:val="00E15100"/>
    <w:rsid w:val="00E151FE"/>
    <w:rsid w:val="00E15211"/>
    <w:rsid w:val="00E1530B"/>
    <w:rsid w:val="00E1538E"/>
    <w:rsid w:val="00E1543D"/>
    <w:rsid w:val="00E1557E"/>
    <w:rsid w:val="00E15A00"/>
    <w:rsid w:val="00E15A02"/>
    <w:rsid w:val="00E15E63"/>
    <w:rsid w:val="00E1630A"/>
    <w:rsid w:val="00E165FF"/>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AA2"/>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A06"/>
    <w:rsid w:val="00E32F1E"/>
    <w:rsid w:val="00E331AA"/>
    <w:rsid w:val="00E336AA"/>
    <w:rsid w:val="00E33CB9"/>
    <w:rsid w:val="00E34173"/>
    <w:rsid w:val="00E343BD"/>
    <w:rsid w:val="00E34ADA"/>
    <w:rsid w:val="00E358EA"/>
    <w:rsid w:val="00E35A26"/>
    <w:rsid w:val="00E35CBD"/>
    <w:rsid w:val="00E35F93"/>
    <w:rsid w:val="00E360BC"/>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36"/>
    <w:rsid w:val="00E54063"/>
    <w:rsid w:val="00E54094"/>
    <w:rsid w:val="00E544EA"/>
    <w:rsid w:val="00E54CA5"/>
    <w:rsid w:val="00E54F0E"/>
    <w:rsid w:val="00E54FA0"/>
    <w:rsid w:val="00E55E18"/>
    <w:rsid w:val="00E55E6B"/>
    <w:rsid w:val="00E56ECD"/>
    <w:rsid w:val="00E573A8"/>
    <w:rsid w:val="00E5785D"/>
    <w:rsid w:val="00E578F9"/>
    <w:rsid w:val="00E579AE"/>
    <w:rsid w:val="00E57E7B"/>
    <w:rsid w:val="00E602B8"/>
    <w:rsid w:val="00E604D3"/>
    <w:rsid w:val="00E60654"/>
    <w:rsid w:val="00E608DB"/>
    <w:rsid w:val="00E60B1A"/>
    <w:rsid w:val="00E613FF"/>
    <w:rsid w:val="00E614EE"/>
    <w:rsid w:val="00E6155B"/>
    <w:rsid w:val="00E6181E"/>
    <w:rsid w:val="00E6188D"/>
    <w:rsid w:val="00E61C1C"/>
    <w:rsid w:val="00E62153"/>
    <w:rsid w:val="00E624ED"/>
    <w:rsid w:val="00E62685"/>
    <w:rsid w:val="00E62BB1"/>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CAE"/>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C79"/>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A93"/>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AD6"/>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3F"/>
    <w:rsid w:val="00EA3DD8"/>
    <w:rsid w:val="00EA4124"/>
    <w:rsid w:val="00EA4212"/>
    <w:rsid w:val="00EA4356"/>
    <w:rsid w:val="00EA4997"/>
    <w:rsid w:val="00EA4A7A"/>
    <w:rsid w:val="00EA4AEA"/>
    <w:rsid w:val="00EA5259"/>
    <w:rsid w:val="00EA5424"/>
    <w:rsid w:val="00EA544B"/>
    <w:rsid w:val="00EA561A"/>
    <w:rsid w:val="00EA5BEA"/>
    <w:rsid w:val="00EA5D61"/>
    <w:rsid w:val="00EA5E79"/>
    <w:rsid w:val="00EA6358"/>
    <w:rsid w:val="00EA6360"/>
    <w:rsid w:val="00EA6685"/>
    <w:rsid w:val="00EA6788"/>
    <w:rsid w:val="00EA68AB"/>
    <w:rsid w:val="00EA6BD3"/>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3F"/>
    <w:rsid w:val="00EB2D93"/>
    <w:rsid w:val="00EB2DE8"/>
    <w:rsid w:val="00EB2E9B"/>
    <w:rsid w:val="00EB3190"/>
    <w:rsid w:val="00EB33EC"/>
    <w:rsid w:val="00EB347A"/>
    <w:rsid w:val="00EB353F"/>
    <w:rsid w:val="00EB3778"/>
    <w:rsid w:val="00EB38F8"/>
    <w:rsid w:val="00EB3A5E"/>
    <w:rsid w:val="00EB3CE6"/>
    <w:rsid w:val="00EB3D96"/>
    <w:rsid w:val="00EB3F32"/>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9A2"/>
    <w:rsid w:val="00EB7A14"/>
    <w:rsid w:val="00EB7AA3"/>
    <w:rsid w:val="00EB7E41"/>
    <w:rsid w:val="00EC0034"/>
    <w:rsid w:val="00EC18AF"/>
    <w:rsid w:val="00EC2028"/>
    <w:rsid w:val="00EC27F0"/>
    <w:rsid w:val="00EC2B10"/>
    <w:rsid w:val="00EC2C24"/>
    <w:rsid w:val="00EC2D43"/>
    <w:rsid w:val="00EC2EEC"/>
    <w:rsid w:val="00EC2F5E"/>
    <w:rsid w:val="00EC2FDF"/>
    <w:rsid w:val="00EC2FFD"/>
    <w:rsid w:val="00EC3193"/>
    <w:rsid w:val="00EC32CC"/>
    <w:rsid w:val="00EC3339"/>
    <w:rsid w:val="00EC35A5"/>
    <w:rsid w:val="00EC3848"/>
    <w:rsid w:val="00EC3DDC"/>
    <w:rsid w:val="00EC47E3"/>
    <w:rsid w:val="00EC4A06"/>
    <w:rsid w:val="00EC4B14"/>
    <w:rsid w:val="00EC4CEA"/>
    <w:rsid w:val="00EC5024"/>
    <w:rsid w:val="00EC5325"/>
    <w:rsid w:val="00EC57A9"/>
    <w:rsid w:val="00EC5BCB"/>
    <w:rsid w:val="00EC5F60"/>
    <w:rsid w:val="00EC6581"/>
    <w:rsid w:val="00EC66F8"/>
    <w:rsid w:val="00EC6BFD"/>
    <w:rsid w:val="00EC6D91"/>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AB5"/>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5FC4"/>
    <w:rsid w:val="00ED6343"/>
    <w:rsid w:val="00ED63CB"/>
    <w:rsid w:val="00ED675D"/>
    <w:rsid w:val="00ED722A"/>
    <w:rsid w:val="00ED7273"/>
    <w:rsid w:val="00ED74B3"/>
    <w:rsid w:val="00ED775D"/>
    <w:rsid w:val="00EE063B"/>
    <w:rsid w:val="00EE07CB"/>
    <w:rsid w:val="00EE08E0"/>
    <w:rsid w:val="00EE09B2"/>
    <w:rsid w:val="00EE1264"/>
    <w:rsid w:val="00EE1502"/>
    <w:rsid w:val="00EE1541"/>
    <w:rsid w:val="00EE1CE8"/>
    <w:rsid w:val="00EE1E5E"/>
    <w:rsid w:val="00EE1FF3"/>
    <w:rsid w:val="00EE249C"/>
    <w:rsid w:val="00EE2647"/>
    <w:rsid w:val="00EE270D"/>
    <w:rsid w:val="00EE2890"/>
    <w:rsid w:val="00EE2ED9"/>
    <w:rsid w:val="00EE2FE0"/>
    <w:rsid w:val="00EE38E7"/>
    <w:rsid w:val="00EE3B7A"/>
    <w:rsid w:val="00EE3C71"/>
    <w:rsid w:val="00EE4301"/>
    <w:rsid w:val="00EE4770"/>
    <w:rsid w:val="00EE4E9D"/>
    <w:rsid w:val="00EE4F93"/>
    <w:rsid w:val="00EE549F"/>
    <w:rsid w:val="00EE55F7"/>
    <w:rsid w:val="00EE580B"/>
    <w:rsid w:val="00EE5A1C"/>
    <w:rsid w:val="00EE5A53"/>
    <w:rsid w:val="00EE5E18"/>
    <w:rsid w:val="00EE5EB0"/>
    <w:rsid w:val="00EE6471"/>
    <w:rsid w:val="00EE6493"/>
    <w:rsid w:val="00EE6630"/>
    <w:rsid w:val="00EE6981"/>
    <w:rsid w:val="00EE6EB6"/>
    <w:rsid w:val="00EE7979"/>
    <w:rsid w:val="00EE7A13"/>
    <w:rsid w:val="00EE7F20"/>
    <w:rsid w:val="00EF0073"/>
    <w:rsid w:val="00EF02F0"/>
    <w:rsid w:val="00EF07F9"/>
    <w:rsid w:val="00EF08B2"/>
    <w:rsid w:val="00EF0B70"/>
    <w:rsid w:val="00EF0C8C"/>
    <w:rsid w:val="00EF0DD2"/>
    <w:rsid w:val="00EF10CC"/>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BBF"/>
    <w:rsid w:val="00EF6EA7"/>
    <w:rsid w:val="00EF74F9"/>
    <w:rsid w:val="00EF78C9"/>
    <w:rsid w:val="00EF7C1C"/>
    <w:rsid w:val="00EF7C60"/>
    <w:rsid w:val="00EF7CE3"/>
    <w:rsid w:val="00EF7D6D"/>
    <w:rsid w:val="00EF7E8E"/>
    <w:rsid w:val="00F00152"/>
    <w:rsid w:val="00F00779"/>
    <w:rsid w:val="00F00B88"/>
    <w:rsid w:val="00F00CBC"/>
    <w:rsid w:val="00F00CCA"/>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2E1"/>
    <w:rsid w:val="00F0630E"/>
    <w:rsid w:val="00F0641A"/>
    <w:rsid w:val="00F066C6"/>
    <w:rsid w:val="00F06C41"/>
    <w:rsid w:val="00F06CDF"/>
    <w:rsid w:val="00F0749A"/>
    <w:rsid w:val="00F077FA"/>
    <w:rsid w:val="00F079C2"/>
    <w:rsid w:val="00F1046E"/>
    <w:rsid w:val="00F1067D"/>
    <w:rsid w:val="00F10787"/>
    <w:rsid w:val="00F10AE7"/>
    <w:rsid w:val="00F10D3A"/>
    <w:rsid w:val="00F10EE0"/>
    <w:rsid w:val="00F1100D"/>
    <w:rsid w:val="00F11029"/>
    <w:rsid w:val="00F11662"/>
    <w:rsid w:val="00F11CEE"/>
    <w:rsid w:val="00F12617"/>
    <w:rsid w:val="00F12807"/>
    <w:rsid w:val="00F12889"/>
    <w:rsid w:val="00F12A88"/>
    <w:rsid w:val="00F12BD8"/>
    <w:rsid w:val="00F12D0A"/>
    <w:rsid w:val="00F12DB8"/>
    <w:rsid w:val="00F12DCA"/>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48"/>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3F94"/>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B8F"/>
    <w:rsid w:val="00F26D3E"/>
    <w:rsid w:val="00F26F6A"/>
    <w:rsid w:val="00F273BF"/>
    <w:rsid w:val="00F27460"/>
    <w:rsid w:val="00F27A86"/>
    <w:rsid w:val="00F27EE5"/>
    <w:rsid w:val="00F30664"/>
    <w:rsid w:val="00F3081E"/>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2EB2"/>
    <w:rsid w:val="00F334DC"/>
    <w:rsid w:val="00F33A6D"/>
    <w:rsid w:val="00F33C8F"/>
    <w:rsid w:val="00F3409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C82"/>
    <w:rsid w:val="00F47D1C"/>
    <w:rsid w:val="00F500BC"/>
    <w:rsid w:val="00F50340"/>
    <w:rsid w:val="00F50852"/>
    <w:rsid w:val="00F50B91"/>
    <w:rsid w:val="00F50B9A"/>
    <w:rsid w:val="00F50F32"/>
    <w:rsid w:val="00F51049"/>
    <w:rsid w:val="00F512FB"/>
    <w:rsid w:val="00F5166E"/>
    <w:rsid w:val="00F51A0E"/>
    <w:rsid w:val="00F51B37"/>
    <w:rsid w:val="00F52304"/>
    <w:rsid w:val="00F52B05"/>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492"/>
    <w:rsid w:val="00F577C7"/>
    <w:rsid w:val="00F57822"/>
    <w:rsid w:val="00F600F5"/>
    <w:rsid w:val="00F6010F"/>
    <w:rsid w:val="00F601AF"/>
    <w:rsid w:val="00F60377"/>
    <w:rsid w:val="00F609D9"/>
    <w:rsid w:val="00F60E9D"/>
    <w:rsid w:val="00F61387"/>
    <w:rsid w:val="00F61632"/>
    <w:rsid w:val="00F617A4"/>
    <w:rsid w:val="00F618C1"/>
    <w:rsid w:val="00F61980"/>
    <w:rsid w:val="00F61AE9"/>
    <w:rsid w:val="00F61D89"/>
    <w:rsid w:val="00F61EE5"/>
    <w:rsid w:val="00F62014"/>
    <w:rsid w:val="00F6220F"/>
    <w:rsid w:val="00F627E9"/>
    <w:rsid w:val="00F62897"/>
    <w:rsid w:val="00F62B53"/>
    <w:rsid w:val="00F62C86"/>
    <w:rsid w:val="00F62CBF"/>
    <w:rsid w:val="00F64146"/>
    <w:rsid w:val="00F64352"/>
    <w:rsid w:val="00F64706"/>
    <w:rsid w:val="00F64ECF"/>
    <w:rsid w:val="00F64F20"/>
    <w:rsid w:val="00F65BBE"/>
    <w:rsid w:val="00F65E8D"/>
    <w:rsid w:val="00F662CB"/>
    <w:rsid w:val="00F664E9"/>
    <w:rsid w:val="00F66591"/>
    <w:rsid w:val="00F66838"/>
    <w:rsid w:val="00F66B5E"/>
    <w:rsid w:val="00F66E70"/>
    <w:rsid w:val="00F67110"/>
    <w:rsid w:val="00F671F0"/>
    <w:rsid w:val="00F674ED"/>
    <w:rsid w:val="00F6755C"/>
    <w:rsid w:val="00F677E1"/>
    <w:rsid w:val="00F679EE"/>
    <w:rsid w:val="00F67A63"/>
    <w:rsid w:val="00F67AC6"/>
    <w:rsid w:val="00F67E09"/>
    <w:rsid w:val="00F70922"/>
    <w:rsid w:val="00F70974"/>
    <w:rsid w:val="00F70B57"/>
    <w:rsid w:val="00F70D7E"/>
    <w:rsid w:val="00F70EE6"/>
    <w:rsid w:val="00F71107"/>
    <w:rsid w:val="00F7176F"/>
    <w:rsid w:val="00F71876"/>
    <w:rsid w:val="00F71ED8"/>
    <w:rsid w:val="00F72225"/>
    <w:rsid w:val="00F72593"/>
    <w:rsid w:val="00F72CD2"/>
    <w:rsid w:val="00F73051"/>
    <w:rsid w:val="00F73062"/>
    <w:rsid w:val="00F734A5"/>
    <w:rsid w:val="00F738B5"/>
    <w:rsid w:val="00F738E0"/>
    <w:rsid w:val="00F739C8"/>
    <w:rsid w:val="00F73C05"/>
    <w:rsid w:val="00F73CB9"/>
    <w:rsid w:val="00F73EE7"/>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B3"/>
    <w:rsid w:val="00F805DA"/>
    <w:rsid w:val="00F80833"/>
    <w:rsid w:val="00F80E8D"/>
    <w:rsid w:val="00F81415"/>
    <w:rsid w:val="00F8148A"/>
    <w:rsid w:val="00F815E0"/>
    <w:rsid w:val="00F81662"/>
    <w:rsid w:val="00F81D31"/>
    <w:rsid w:val="00F82438"/>
    <w:rsid w:val="00F8245B"/>
    <w:rsid w:val="00F82662"/>
    <w:rsid w:val="00F82D27"/>
    <w:rsid w:val="00F830C2"/>
    <w:rsid w:val="00F83227"/>
    <w:rsid w:val="00F8374B"/>
    <w:rsid w:val="00F83762"/>
    <w:rsid w:val="00F83A9E"/>
    <w:rsid w:val="00F83B72"/>
    <w:rsid w:val="00F83C0E"/>
    <w:rsid w:val="00F83D36"/>
    <w:rsid w:val="00F83DDB"/>
    <w:rsid w:val="00F840A3"/>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BA7"/>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126"/>
    <w:rsid w:val="00F933E4"/>
    <w:rsid w:val="00F93600"/>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97FE2"/>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C17"/>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491"/>
    <w:rsid w:val="00FB1790"/>
    <w:rsid w:val="00FB183F"/>
    <w:rsid w:val="00FB1A91"/>
    <w:rsid w:val="00FB1C4E"/>
    <w:rsid w:val="00FB1E5B"/>
    <w:rsid w:val="00FB241F"/>
    <w:rsid w:val="00FB2A38"/>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60E"/>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1E4"/>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757"/>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591"/>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E7E77"/>
    <w:rsid w:val="00FF015B"/>
    <w:rsid w:val="00FF0782"/>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0D1"/>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173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aliases w:val="TableGrid,SGS Table Basic 1"/>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清單段落1"/>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6"/>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7"/>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5151">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77989969">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67599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2538743">
      <w:bodyDiv w:val="1"/>
      <w:marLeft w:val="0"/>
      <w:marRight w:val="0"/>
      <w:marTop w:val="0"/>
      <w:marBottom w:val="0"/>
      <w:divBdr>
        <w:top w:val="none" w:sz="0" w:space="0" w:color="auto"/>
        <w:left w:val="none" w:sz="0" w:space="0" w:color="auto"/>
        <w:bottom w:val="none" w:sz="0" w:space="0" w:color="auto"/>
        <w:right w:val="none" w:sz="0" w:space="0" w:color="auto"/>
      </w:divBdr>
    </w:div>
    <w:div w:id="31229800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0808545">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23572641">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9558763">
      <w:bodyDiv w:val="1"/>
      <w:marLeft w:val="0"/>
      <w:marRight w:val="0"/>
      <w:marTop w:val="0"/>
      <w:marBottom w:val="0"/>
      <w:divBdr>
        <w:top w:val="none" w:sz="0" w:space="0" w:color="auto"/>
        <w:left w:val="none" w:sz="0" w:space="0" w:color="auto"/>
        <w:bottom w:val="none" w:sz="0" w:space="0" w:color="auto"/>
        <w:right w:val="none" w:sz="0" w:space="0" w:color="auto"/>
      </w:divBdr>
    </w:div>
    <w:div w:id="670177645">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040971">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3331124">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8962023">
      <w:bodyDiv w:val="1"/>
      <w:marLeft w:val="0"/>
      <w:marRight w:val="0"/>
      <w:marTop w:val="0"/>
      <w:marBottom w:val="0"/>
      <w:divBdr>
        <w:top w:val="none" w:sz="0" w:space="0" w:color="auto"/>
        <w:left w:val="none" w:sz="0" w:space="0" w:color="auto"/>
        <w:bottom w:val="none" w:sz="0" w:space="0" w:color="auto"/>
        <w:right w:val="none" w:sz="0" w:space="0" w:color="auto"/>
      </w:divBdr>
    </w:div>
    <w:div w:id="7996848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927226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877430">
      <w:bodyDiv w:val="1"/>
      <w:marLeft w:val="0"/>
      <w:marRight w:val="0"/>
      <w:marTop w:val="0"/>
      <w:marBottom w:val="0"/>
      <w:divBdr>
        <w:top w:val="none" w:sz="0" w:space="0" w:color="auto"/>
        <w:left w:val="none" w:sz="0" w:space="0" w:color="auto"/>
        <w:bottom w:val="none" w:sz="0" w:space="0" w:color="auto"/>
        <w:right w:val="none" w:sz="0" w:space="0" w:color="auto"/>
      </w:divBdr>
      <w:divsChild>
        <w:div w:id="227034068">
          <w:marLeft w:val="0"/>
          <w:marRight w:val="0"/>
          <w:marTop w:val="0"/>
          <w:marBottom w:val="0"/>
          <w:divBdr>
            <w:top w:val="none" w:sz="0" w:space="0" w:color="auto"/>
            <w:left w:val="none" w:sz="0" w:space="0" w:color="auto"/>
            <w:bottom w:val="none" w:sz="0" w:space="0" w:color="auto"/>
            <w:right w:val="none" w:sz="0" w:space="0" w:color="auto"/>
          </w:divBdr>
          <w:divsChild>
            <w:div w:id="1516725832">
              <w:marLeft w:val="0"/>
              <w:marRight w:val="0"/>
              <w:marTop w:val="0"/>
              <w:marBottom w:val="0"/>
              <w:divBdr>
                <w:top w:val="none" w:sz="0" w:space="0" w:color="auto"/>
                <w:left w:val="none" w:sz="0" w:space="0" w:color="auto"/>
                <w:bottom w:val="none" w:sz="0" w:space="0" w:color="auto"/>
                <w:right w:val="none" w:sz="0" w:space="0" w:color="auto"/>
              </w:divBdr>
              <w:divsChild>
                <w:div w:id="113403737">
                  <w:marLeft w:val="0"/>
                  <w:marRight w:val="0"/>
                  <w:marTop w:val="0"/>
                  <w:marBottom w:val="0"/>
                  <w:divBdr>
                    <w:top w:val="none" w:sz="0" w:space="0" w:color="auto"/>
                    <w:left w:val="none" w:sz="0" w:space="0" w:color="auto"/>
                    <w:bottom w:val="none" w:sz="0" w:space="0" w:color="auto"/>
                    <w:right w:val="none" w:sz="0" w:space="0" w:color="auto"/>
                  </w:divBdr>
                  <w:divsChild>
                    <w:div w:id="1492019691">
                      <w:marLeft w:val="0"/>
                      <w:marRight w:val="0"/>
                      <w:marTop w:val="0"/>
                      <w:marBottom w:val="0"/>
                      <w:divBdr>
                        <w:top w:val="none" w:sz="0" w:space="0" w:color="auto"/>
                        <w:left w:val="none" w:sz="0" w:space="0" w:color="auto"/>
                        <w:bottom w:val="none" w:sz="0" w:space="0" w:color="auto"/>
                        <w:right w:val="none" w:sz="0" w:space="0" w:color="auto"/>
                      </w:divBdr>
                      <w:divsChild>
                        <w:div w:id="1661497661">
                          <w:marLeft w:val="0"/>
                          <w:marRight w:val="0"/>
                          <w:marTop w:val="0"/>
                          <w:marBottom w:val="0"/>
                          <w:divBdr>
                            <w:top w:val="none" w:sz="0" w:space="0" w:color="auto"/>
                            <w:left w:val="none" w:sz="0" w:space="0" w:color="auto"/>
                            <w:bottom w:val="none" w:sz="0" w:space="0" w:color="auto"/>
                            <w:right w:val="none" w:sz="0" w:space="0" w:color="auto"/>
                          </w:divBdr>
                          <w:divsChild>
                            <w:div w:id="3082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6928781">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58436683">
      <w:bodyDiv w:val="1"/>
      <w:marLeft w:val="0"/>
      <w:marRight w:val="0"/>
      <w:marTop w:val="0"/>
      <w:marBottom w:val="0"/>
      <w:divBdr>
        <w:top w:val="none" w:sz="0" w:space="0" w:color="auto"/>
        <w:left w:val="none" w:sz="0" w:space="0" w:color="auto"/>
        <w:bottom w:val="none" w:sz="0" w:space="0" w:color="auto"/>
        <w:right w:val="none" w:sz="0" w:space="0" w:color="auto"/>
      </w:divBdr>
    </w:div>
    <w:div w:id="1065687917">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6433469">
      <w:bodyDiv w:val="1"/>
      <w:marLeft w:val="0"/>
      <w:marRight w:val="0"/>
      <w:marTop w:val="0"/>
      <w:marBottom w:val="0"/>
      <w:divBdr>
        <w:top w:val="none" w:sz="0" w:space="0" w:color="auto"/>
        <w:left w:val="none" w:sz="0" w:space="0" w:color="auto"/>
        <w:bottom w:val="none" w:sz="0" w:space="0" w:color="auto"/>
        <w:right w:val="none" w:sz="0" w:space="0" w:color="auto"/>
      </w:divBdr>
    </w:div>
    <w:div w:id="1148009143">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29901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398294">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6983731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2365212">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12847216">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57403964">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45163884">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0789906">
      <w:bodyDiv w:val="1"/>
      <w:marLeft w:val="0"/>
      <w:marRight w:val="0"/>
      <w:marTop w:val="0"/>
      <w:marBottom w:val="0"/>
      <w:divBdr>
        <w:top w:val="none" w:sz="0" w:space="0" w:color="auto"/>
        <w:left w:val="none" w:sz="0" w:space="0" w:color="auto"/>
        <w:bottom w:val="none" w:sz="0" w:space="0" w:color="auto"/>
        <w:right w:val="none" w:sz="0" w:space="0" w:color="auto"/>
      </w:divBdr>
    </w:div>
    <w:div w:id="1696072672">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38046031">
      <w:bodyDiv w:val="1"/>
      <w:marLeft w:val="0"/>
      <w:marRight w:val="0"/>
      <w:marTop w:val="0"/>
      <w:marBottom w:val="0"/>
      <w:divBdr>
        <w:top w:val="none" w:sz="0" w:space="0" w:color="auto"/>
        <w:left w:val="none" w:sz="0" w:space="0" w:color="auto"/>
        <w:bottom w:val="none" w:sz="0" w:space="0" w:color="auto"/>
        <w:right w:val="none" w:sz="0" w:space="0" w:color="auto"/>
      </w:divBdr>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5220943">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8232311">
      <w:bodyDiv w:val="1"/>
      <w:marLeft w:val="0"/>
      <w:marRight w:val="0"/>
      <w:marTop w:val="0"/>
      <w:marBottom w:val="0"/>
      <w:divBdr>
        <w:top w:val="none" w:sz="0" w:space="0" w:color="auto"/>
        <w:left w:val="none" w:sz="0" w:space="0" w:color="auto"/>
        <w:bottom w:val="none" w:sz="0" w:space="0" w:color="auto"/>
        <w:right w:val="none" w:sz="0" w:space="0" w:color="auto"/>
      </w:divBdr>
    </w:div>
    <w:div w:id="1862669777">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06538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894998359">
      <w:bodyDiv w:val="1"/>
      <w:marLeft w:val="0"/>
      <w:marRight w:val="0"/>
      <w:marTop w:val="0"/>
      <w:marBottom w:val="0"/>
      <w:divBdr>
        <w:top w:val="none" w:sz="0" w:space="0" w:color="auto"/>
        <w:left w:val="none" w:sz="0" w:space="0" w:color="auto"/>
        <w:bottom w:val="none" w:sz="0" w:space="0" w:color="auto"/>
        <w:right w:val="none" w:sz="0" w:space="0" w:color="auto"/>
      </w:divBdr>
    </w:div>
    <w:div w:id="1905414286">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62953818">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7921608">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442259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442639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8B929BA8-2A64-4205-8E12-1E1361BFF879}">
  <ds:schemaRefs>
    <ds:schemaRef ds:uri="http://schemas.openxmlformats.org/officeDocument/2006/bibliography"/>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6</Pages>
  <Words>1734</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RAN4 112bis</dc:subject>
  <dc:creator>Huawei</dc:creator>
  <cp:keywords/>
  <cp:lastModifiedBy>Huawei</cp:lastModifiedBy>
  <cp:revision>5</cp:revision>
  <cp:lastPrinted>2009-04-22T06:01:00Z</cp:lastPrinted>
  <dcterms:created xsi:type="dcterms:W3CDTF">2025-09-30T09:45:00Z</dcterms:created>
  <dcterms:modified xsi:type="dcterms:W3CDTF">2025-09-30T09:50:00Z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GrammarlyDocumentId">
    <vt:lpwstr>a84e64aa5e7010b88e492b34200d46785cff07b051ffacec6e4405b2947f456f</vt:lpwstr>
  </property>
</Properties>
</file>