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7250E9" w:rsidRPr="0037020B" w:rsidRDefault="00000000">
      <w:pPr>
        <w:widowControl w:val="0"/>
        <w:pBdr>
          <w:top w:val="nil"/>
          <w:left w:val="nil"/>
          <w:bottom w:val="nil"/>
          <w:right w:val="nil"/>
          <w:between w:val="nil"/>
        </w:pBdr>
        <w:tabs>
          <w:tab w:val="right" w:pos="9923"/>
        </w:tabs>
        <w:ind w:right="-7"/>
        <w:rPr>
          <w:rFonts w:ascii="Arial" w:eastAsia="Arial" w:hAnsi="Arial" w:cs="Arial"/>
          <w:b/>
          <w:i/>
          <w:color w:val="000000"/>
          <w:sz w:val="32"/>
          <w:szCs w:val="32"/>
        </w:rPr>
      </w:pPr>
      <w:bookmarkStart w:id="0" w:name="_heading=h.gsm9y1p514nn" w:colFirst="0" w:colLast="0"/>
      <w:bookmarkEnd w:id="0"/>
      <w:r w:rsidRPr="0037020B">
        <w:rPr>
          <w:rFonts w:ascii="Arial" w:eastAsia="Arial" w:hAnsi="Arial" w:cs="Arial"/>
          <w:b/>
          <w:color w:val="000000"/>
        </w:rPr>
        <w:t>3GPP TSG-RAN WG3 Meeting #130</w:t>
      </w:r>
      <w:r w:rsidRPr="0037020B">
        <w:rPr>
          <w:rFonts w:ascii="Arial" w:eastAsia="Arial" w:hAnsi="Arial" w:cs="Arial"/>
          <w:b/>
          <w:color w:val="000000"/>
        </w:rPr>
        <w:tab/>
        <w:t>R3-258178</w:t>
      </w:r>
    </w:p>
    <w:p w:rsidR="007250E9" w:rsidRPr="0037020B" w:rsidRDefault="00000000">
      <w:pPr>
        <w:pBdr>
          <w:top w:val="nil"/>
          <w:left w:val="nil"/>
          <w:bottom w:val="nil"/>
          <w:right w:val="nil"/>
          <w:between w:val="nil"/>
        </w:pBdr>
        <w:spacing w:after="120"/>
        <w:rPr>
          <w:rFonts w:ascii="Arial" w:eastAsia="Arial" w:hAnsi="Arial" w:cs="Arial"/>
          <w:b/>
          <w:color w:val="000000"/>
        </w:rPr>
      </w:pPr>
      <w:bookmarkStart w:id="1" w:name="_heading=h.92xsqdsdmzo8" w:colFirst="0" w:colLast="0"/>
      <w:bookmarkEnd w:id="1"/>
      <w:r w:rsidRPr="0037020B">
        <w:rPr>
          <w:rFonts w:ascii="Arial" w:eastAsia="Arial" w:hAnsi="Arial" w:cs="Arial"/>
          <w:b/>
        </w:rPr>
        <w:t>Dallas</w:t>
      </w:r>
      <w:r w:rsidRPr="0037020B">
        <w:rPr>
          <w:rFonts w:ascii="Arial" w:eastAsia="Arial" w:hAnsi="Arial" w:cs="Arial"/>
          <w:b/>
          <w:color w:val="000000"/>
        </w:rPr>
        <w:t xml:space="preserve">, </w:t>
      </w:r>
      <w:r w:rsidRPr="0037020B">
        <w:rPr>
          <w:rFonts w:ascii="Arial" w:eastAsia="Arial" w:hAnsi="Arial" w:cs="Arial"/>
          <w:b/>
        </w:rPr>
        <w:t>USA</w:t>
      </w:r>
      <w:r w:rsidRPr="0037020B">
        <w:rPr>
          <w:rFonts w:ascii="Arial" w:eastAsia="Arial" w:hAnsi="Arial" w:cs="Arial"/>
          <w:b/>
          <w:color w:val="000000"/>
        </w:rPr>
        <w:t xml:space="preserve">, </w:t>
      </w:r>
      <w:r w:rsidRPr="0037020B">
        <w:rPr>
          <w:rFonts w:ascii="Arial" w:eastAsia="Arial" w:hAnsi="Arial" w:cs="Arial"/>
          <w:b/>
        </w:rPr>
        <w:t>November 17</w:t>
      </w:r>
      <w:r w:rsidRPr="0037020B">
        <w:rPr>
          <w:rFonts w:ascii="Arial" w:eastAsia="Arial" w:hAnsi="Arial" w:cs="Arial"/>
          <w:b/>
          <w:color w:val="000000"/>
        </w:rPr>
        <w:t>–21</w:t>
      </w:r>
      <w:r w:rsidRPr="0037020B">
        <w:rPr>
          <w:rFonts w:ascii="Arial" w:eastAsia="Arial" w:hAnsi="Arial" w:cs="Arial"/>
          <w:b/>
        </w:rPr>
        <w:t>, 2025</w:t>
      </w:r>
    </w:p>
    <w:p w:rsidR="007250E9" w:rsidRPr="0037020B" w:rsidRDefault="007250E9">
      <w:pPr>
        <w:widowControl w:val="0"/>
        <w:pBdr>
          <w:top w:val="nil"/>
          <w:left w:val="nil"/>
          <w:bottom w:val="nil"/>
          <w:right w:val="nil"/>
          <w:between w:val="nil"/>
        </w:pBdr>
        <w:rPr>
          <w:rFonts w:ascii="Arial" w:eastAsia="Arial" w:hAnsi="Arial" w:cs="Arial"/>
          <w:b/>
          <w:color w:val="000000"/>
        </w:rPr>
      </w:pPr>
    </w:p>
    <w:p w:rsidR="007250E9" w:rsidRPr="0037020B" w:rsidRDefault="007250E9">
      <w:pPr>
        <w:widowControl w:val="0"/>
        <w:pBdr>
          <w:top w:val="nil"/>
          <w:left w:val="nil"/>
          <w:bottom w:val="nil"/>
          <w:right w:val="nil"/>
          <w:between w:val="nil"/>
        </w:pBdr>
        <w:rPr>
          <w:rFonts w:ascii="Arial" w:eastAsia="Arial" w:hAnsi="Arial" w:cs="Arial"/>
          <w:b/>
          <w:color w:val="000000"/>
        </w:rPr>
      </w:pPr>
    </w:p>
    <w:p w:rsidR="007250E9" w:rsidRPr="0037020B" w:rsidRDefault="00000000">
      <w:pPr>
        <w:pBdr>
          <w:top w:val="nil"/>
          <w:left w:val="nil"/>
          <w:bottom w:val="nil"/>
          <w:right w:val="nil"/>
          <w:between w:val="nil"/>
        </w:pBdr>
        <w:tabs>
          <w:tab w:val="left" w:pos="1985"/>
        </w:tabs>
        <w:spacing w:after="120"/>
        <w:rPr>
          <w:rFonts w:ascii="Arial" w:eastAsia="Arial" w:hAnsi="Arial" w:cs="Arial"/>
          <w:b/>
          <w:color w:val="000000"/>
        </w:rPr>
      </w:pPr>
      <w:r w:rsidRPr="0037020B">
        <w:rPr>
          <w:rFonts w:ascii="Arial" w:eastAsia="Arial" w:hAnsi="Arial" w:cs="Arial"/>
          <w:b/>
          <w:color w:val="000000"/>
        </w:rPr>
        <w:t>Agenda Item:</w:t>
      </w:r>
      <w:r w:rsidRPr="0037020B">
        <w:rPr>
          <w:rFonts w:ascii="Arial" w:eastAsia="Arial" w:hAnsi="Arial" w:cs="Arial"/>
          <w:b/>
          <w:color w:val="000000"/>
        </w:rPr>
        <w:tab/>
        <w:t>10.4</w:t>
      </w:r>
    </w:p>
    <w:p w:rsidR="007250E9" w:rsidRPr="0037020B" w:rsidRDefault="00000000">
      <w:pPr>
        <w:pBdr>
          <w:top w:val="nil"/>
          <w:left w:val="nil"/>
          <w:bottom w:val="nil"/>
          <w:right w:val="nil"/>
          <w:between w:val="nil"/>
        </w:pBdr>
        <w:tabs>
          <w:tab w:val="left" w:pos="1985"/>
        </w:tabs>
        <w:spacing w:after="120"/>
        <w:rPr>
          <w:rFonts w:ascii="Arial" w:eastAsia="Arial" w:hAnsi="Arial" w:cs="Arial"/>
          <w:b/>
          <w:color w:val="000000"/>
        </w:rPr>
      </w:pPr>
      <w:r w:rsidRPr="0037020B">
        <w:rPr>
          <w:rFonts w:ascii="Arial" w:eastAsia="Arial" w:hAnsi="Arial" w:cs="Arial"/>
          <w:b/>
          <w:color w:val="000000"/>
        </w:rPr>
        <w:t>Source:</w:t>
      </w:r>
      <w:r w:rsidRPr="0037020B">
        <w:rPr>
          <w:rFonts w:ascii="Arial" w:eastAsia="Arial" w:hAnsi="Arial" w:cs="Arial"/>
          <w:b/>
          <w:color w:val="000000"/>
        </w:rPr>
        <w:tab/>
        <w:t>Verizon</w:t>
      </w:r>
    </w:p>
    <w:p w:rsidR="007250E9" w:rsidRPr="0037020B" w:rsidRDefault="00000000">
      <w:pPr>
        <w:pBdr>
          <w:top w:val="nil"/>
          <w:left w:val="nil"/>
          <w:bottom w:val="nil"/>
          <w:right w:val="nil"/>
          <w:between w:val="nil"/>
        </w:pBdr>
        <w:tabs>
          <w:tab w:val="left" w:pos="1985"/>
        </w:tabs>
        <w:spacing w:after="120"/>
        <w:ind w:left="1985" w:hanging="1985"/>
        <w:rPr>
          <w:rFonts w:ascii="Arial" w:eastAsia="Arial" w:hAnsi="Arial" w:cs="Arial"/>
          <w:b/>
          <w:color w:val="000000"/>
        </w:rPr>
      </w:pPr>
      <w:r w:rsidRPr="0037020B">
        <w:rPr>
          <w:rFonts w:ascii="Arial" w:eastAsia="Arial" w:hAnsi="Arial" w:cs="Arial"/>
          <w:b/>
          <w:color w:val="000000"/>
        </w:rPr>
        <w:t>Title:</w:t>
      </w:r>
      <w:r w:rsidRPr="0037020B">
        <w:rPr>
          <w:rFonts w:ascii="Arial" w:eastAsia="Arial" w:hAnsi="Arial" w:cs="Arial"/>
          <w:b/>
          <w:color w:val="000000"/>
        </w:rPr>
        <w:tab/>
        <w:t>RAN Split Architecture Commercial Deployment Benefits</w:t>
      </w:r>
    </w:p>
    <w:p w:rsidR="007250E9" w:rsidRPr="0037020B" w:rsidRDefault="00000000">
      <w:pPr>
        <w:pBdr>
          <w:top w:val="nil"/>
          <w:left w:val="nil"/>
          <w:bottom w:val="nil"/>
          <w:right w:val="nil"/>
          <w:between w:val="nil"/>
        </w:pBdr>
        <w:tabs>
          <w:tab w:val="left" w:pos="1985"/>
        </w:tabs>
        <w:spacing w:after="120"/>
        <w:rPr>
          <w:rFonts w:ascii="Arial" w:eastAsia="Arial" w:hAnsi="Arial" w:cs="Arial"/>
          <w:b/>
          <w:color w:val="000000"/>
        </w:rPr>
      </w:pPr>
      <w:r w:rsidRPr="0037020B">
        <w:rPr>
          <w:rFonts w:ascii="Arial" w:eastAsia="Arial" w:hAnsi="Arial" w:cs="Arial"/>
          <w:b/>
          <w:color w:val="000000"/>
        </w:rPr>
        <w:t>Document for:</w:t>
      </w:r>
      <w:r w:rsidRPr="0037020B">
        <w:rPr>
          <w:rFonts w:ascii="Arial" w:eastAsia="Arial" w:hAnsi="Arial" w:cs="Arial"/>
          <w:b/>
          <w:color w:val="000000"/>
        </w:rPr>
        <w:tab/>
        <w:t xml:space="preserve">Discussion &amp; </w:t>
      </w:r>
      <w:r w:rsidRPr="0037020B">
        <w:rPr>
          <w:rFonts w:ascii="Arial" w:eastAsia="Arial" w:hAnsi="Arial" w:cs="Arial"/>
          <w:b/>
        </w:rPr>
        <w:t>Agreement</w:t>
      </w:r>
    </w:p>
    <w:p w:rsidR="007250E9" w:rsidRPr="0037020B" w:rsidRDefault="00000000">
      <w:pPr>
        <w:pStyle w:val="Heading1"/>
      </w:pPr>
      <w:r w:rsidRPr="0037020B">
        <w:t>1</w:t>
      </w:r>
      <w:r w:rsidRPr="0037020B">
        <w:tab/>
        <w:t>Introduction</w:t>
      </w:r>
    </w:p>
    <w:p w:rsidR="007250E9" w:rsidRPr="0037020B" w:rsidRDefault="007E0F0B">
      <w:pPr>
        <w:pBdr>
          <w:top w:val="nil"/>
          <w:left w:val="nil"/>
          <w:bottom w:val="nil"/>
          <w:right w:val="nil"/>
          <w:between w:val="nil"/>
        </w:pBdr>
        <w:spacing w:after="180"/>
        <w:rPr>
          <w:rFonts w:ascii="Arial" w:eastAsia="Arial" w:hAnsi="Arial" w:cs="Arial"/>
          <w:color w:val="000000"/>
          <w:sz w:val="20"/>
          <w:szCs w:val="20"/>
        </w:rPr>
      </w:pPr>
      <w:r>
        <w:rPr>
          <w:rFonts w:ascii="Arial" w:eastAsia="Roboto" w:hAnsi="Arial" w:cs="Arial"/>
          <w:color w:val="1F1F1F"/>
          <w:sz w:val="20"/>
          <w:szCs w:val="20"/>
          <w:highlight w:val="white"/>
        </w:rPr>
        <w:t>In the 6G SID [1],</w:t>
      </w:r>
      <w:r w:rsidR="00000000" w:rsidRPr="0037020B">
        <w:rPr>
          <w:rFonts w:ascii="Arial" w:eastAsia="Roboto" w:hAnsi="Arial" w:cs="Arial"/>
          <w:color w:val="1F1F1F"/>
          <w:sz w:val="20"/>
          <w:szCs w:val="20"/>
          <w:highlight w:val="white"/>
        </w:rPr>
        <w:t xml:space="preserve"> the following objectives were approved for 6G RAN architecture:</w:t>
      </w:r>
    </w:p>
    <w:p w:rsidR="007250E9" w:rsidRPr="0037020B" w:rsidRDefault="00000000">
      <w:pPr>
        <w:numPr>
          <w:ilvl w:val="0"/>
          <w:numId w:val="3"/>
        </w:numPr>
        <w:rPr>
          <w:rFonts w:ascii="Arial" w:eastAsia="Arial" w:hAnsi="Arial" w:cs="Arial"/>
          <w:b/>
          <w:color w:val="000000"/>
          <w:sz w:val="20"/>
          <w:szCs w:val="20"/>
        </w:rPr>
      </w:pPr>
      <w:r w:rsidRPr="0037020B">
        <w:rPr>
          <w:rFonts w:ascii="Arial" w:eastAsia="Arial" w:hAnsi="Arial" w:cs="Arial"/>
          <w:b/>
          <w:sz w:val="20"/>
          <w:szCs w:val="20"/>
        </w:rPr>
        <w:t xml:space="preserve"> </w:t>
      </w:r>
      <w:r w:rsidRPr="0037020B">
        <w:rPr>
          <w:rFonts w:ascii="Arial" w:eastAsia="Arial" w:hAnsi="Arial" w:cs="Arial"/>
          <w:b/>
          <w:color w:val="000000"/>
          <w:sz w:val="20"/>
          <w:szCs w:val="20"/>
        </w:rPr>
        <w:t>Radio Access Network architecture, interface protocols and procedures</w:t>
      </w:r>
      <w:r w:rsidRPr="0037020B">
        <w:rPr>
          <w:rFonts w:ascii="Arial" w:eastAsia="Arial" w:hAnsi="Arial" w:cs="Arial"/>
          <w:b/>
          <w:sz w:val="20"/>
          <w:szCs w:val="20"/>
        </w:rPr>
        <w:t xml:space="preserve"> </w:t>
      </w:r>
      <w:r w:rsidRPr="0037020B">
        <w:rPr>
          <w:rFonts w:ascii="Arial" w:eastAsia="Arial" w:hAnsi="Arial" w:cs="Arial"/>
          <w:b/>
          <w:color w:val="000000"/>
          <w:sz w:val="20"/>
          <w:szCs w:val="20"/>
        </w:rPr>
        <w:t>considering support of various services and functionalities (e.g. AI/ML, sensing, etc). [RAN3, RAN2]</w:t>
      </w:r>
    </w:p>
    <w:p w:rsidR="007250E9" w:rsidRPr="0037020B" w:rsidRDefault="00000000">
      <w:pPr>
        <w:numPr>
          <w:ilvl w:val="0"/>
          <w:numId w:val="2"/>
        </w:numPr>
        <w:rPr>
          <w:rFonts w:ascii="Arial" w:eastAsia="Arial" w:hAnsi="Arial" w:cs="Arial"/>
          <w:b/>
          <w:color w:val="000000"/>
          <w:sz w:val="20"/>
          <w:szCs w:val="20"/>
        </w:rPr>
      </w:pPr>
      <w:r w:rsidRPr="0037020B">
        <w:rPr>
          <w:rFonts w:ascii="Arial" w:eastAsia="Arial" w:hAnsi="Arial" w:cs="Arial"/>
          <w:b/>
          <w:color w:val="000000"/>
          <w:sz w:val="20"/>
          <w:szCs w:val="20"/>
        </w:rPr>
        <w:t>Overall RAN architecture aspects [RAN3, RAN2]</w:t>
      </w:r>
    </w:p>
    <w:p w:rsidR="007250E9" w:rsidRPr="0037020B" w:rsidRDefault="00000000">
      <w:pPr>
        <w:numPr>
          <w:ilvl w:val="0"/>
          <w:numId w:val="2"/>
        </w:numPr>
        <w:rPr>
          <w:rFonts w:ascii="Arial" w:eastAsia="Arial" w:hAnsi="Arial" w:cs="Arial"/>
          <w:b/>
          <w:color w:val="000000"/>
          <w:sz w:val="20"/>
          <w:szCs w:val="20"/>
        </w:rPr>
      </w:pPr>
      <w:r w:rsidRPr="0037020B">
        <w:rPr>
          <w:rFonts w:ascii="Arial" w:eastAsia="Arial" w:hAnsi="Arial" w:cs="Arial"/>
          <w:b/>
          <w:color w:val="000000"/>
          <w:sz w:val="20"/>
          <w:szCs w:val="20"/>
        </w:rPr>
        <w:t>RAN-CN functional split, interface, protocol stack and procedures [RAN3]</w:t>
      </w:r>
    </w:p>
    <w:p w:rsidR="007250E9" w:rsidRPr="0037020B" w:rsidRDefault="00000000">
      <w:pPr>
        <w:numPr>
          <w:ilvl w:val="0"/>
          <w:numId w:val="2"/>
        </w:numPr>
        <w:spacing w:after="120"/>
        <w:rPr>
          <w:rFonts w:ascii="Arial" w:eastAsia="Arial" w:hAnsi="Arial" w:cs="Arial"/>
          <w:b/>
          <w:color w:val="000000"/>
          <w:sz w:val="20"/>
          <w:szCs w:val="20"/>
        </w:rPr>
      </w:pPr>
      <w:r w:rsidRPr="0037020B">
        <w:rPr>
          <w:rFonts w:ascii="Arial" w:eastAsia="Arial" w:hAnsi="Arial" w:cs="Arial"/>
          <w:b/>
          <w:color w:val="000000"/>
          <w:sz w:val="20"/>
          <w:szCs w:val="20"/>
        </w:rPr>
        <w:t>RAN internal functional split, interfaces, protocol stacks and procedures, [RAN3, RAN2]</w:t>
      </w:r>
    </w:p>
    <w:p w:rsidR="007250E9" w:rsidRPr="0037020B" w:rsidRDefault="007250E9">
      <w:pPr>
        <w:pBdr>
          <w:top w:val="nil"/>
          <w:left w:val="nil"/>
          <w:bottom w:val="nil"/>
          <w:right w:val="nil"/>
          <w:between w:val="nil"/>
        </w:pBdr>
        <w:spacing w:after="180"/>
        <w:rPr>
          <w:rFonts w:ascii="Arial" w:eastAsia="Arial" w:hAnsi="Arial" w:cs="Arial"/>
          <w:color w:val="000000"/>
          <w:sz w:val="20"/>
          <w:szCs w:val="20"/>
        </w:rPr>
      </w:pPr>
    </w:p>
    <w:p w:rsidR="007250E9" w:rsidRPr="0037020B" w:rsidRDefault="00000000">
      <w:pPr>
        <w:pBdr>
          <w:top w:val="nil"/>
          <w:left w:val="nil"/>
          <w:bottom w:val="nil"/>
          <w:right w:val="nil"/>
          <w:between w:val="nil"/>
        </w:pBdr>
        <w:spacing w:after="180"/>
        <w:rPr>
          <w:rFonts w:ascii="Arial" w:eastAsia="Arial" w:hAnsi="Arial" w:cs="Arial"/>
          <w:color w:val="000000"/>
          <w:sz w:val="20"/>
          <w:szCs w:val="20"/>
        </w:rPr>
      </w:pPr>
      <w:r w:rsidRPr="0037020B">
        <w:rPr>
          <w:rFonts w:ascii="Arial" w:eastAsia="Roboto" w:hAnsi="Arial" w:cs="Arial"/>
          <w:color w:val="1F1F1F"/>
          <w:sz w:val="20"/>
          <w:szCs w:val="20"/>
          <w:highlight w:val="white"/>
        </w:rPr>
        <w:t xml:space="preserve">Additionally, the Chair’s notes from the RAN3#129-bis meeting </w:t>
      </w:r>
      <w:r w:rsidR="007E0F0B">
        <w:rPr>
          <w:rFonts w:ascii="Arial" w:eastAsia="Roboto" w:hAnsi="Arial" w:cs="Arial"/>
          <w:color w:val="1F1F1F"/>
          <w:sz w:val="20"/>
          <w:szCs w:val="20"/>
          <w:highlight w:val="white"/>
        </w:rPr>
        <w:t xml:space="preserve">[2] </w:t>
      </w:r>
      <w:r w:rsidRPr="0037020B">
        <w:rPr>
          <w:rFonts w:ascii="Arial" w:eastAsia="Roboto" w:hAnsi="Arial" w:cs="Arial"/>
          <w:color w:val="1F1F1F"/>
          <w:sz w:val="20"/>
          <w:szCs w:val="20"/>
          <w:highlight w:val="white"/>
        </w:rPr>
        <w:t xml:space="preserve">included the following guidance for the "RAN internal functional split" discussion at the upcoming RAN3#130 meeting: </w:t>
      </w:r>
    </w:p>
    <w:p w:rsidR="007250E9" w:rsidRPr="0037020B" w:rsidRDefault="00000000">
      <w:pPr>
        <w:pBdr>
          <w:top w:val="nil"/>
          <w:left w:val="nil"/>
          <w:bottom w:val="nil"/>
          <w:right w:val="nil"/>
          <w:between w:val="nil"/>
        </w:pBdr>
        <w:spacing w:after="180"/>
        <w:ind w:left="284"/>
        <w:rPr>
          <w:rFonts w:ascii="Arial" w:eastAsia="Arial" w:hAnsi="Arial" w:cs="Arial"/>
          <w:b/>
          <w:color w:val="0062FF"/>
          <w:sz w:val="20"/>
          <w:szCs w:val="20"/>
        </w:rPr>
      </w:pPr>
      <w:r w:rsidRPr="0037020B">
        <w:rPr>
          <w:rFonts w:ascii="Arial" w:eastAsia="Arial" w:hAnsi="Arial" w:cs="Arial"/>
          <w:b/>
          <w:color w:val="0062FF"/>
          <w:sz w:val="20"/>
          <w:szCs w:val="20"/>
        </w:rPr>
        <w:t>Capture pain points and benefits (and potentially derived requirements) of 5G HLS</w:t>
      </w:r>
    </w:p>
    <w:p w:rsidR="007250E9" w:rsidRPr="0037020B" w:rsidRDefault="00000000">
      <w:pPr>
        <w:pBdr>
          <w:top w:val="nil"/>
          <w:left w:val="nil"/>
          <w:bottom w:val="nil"/>
          <w:right w:val="nil"/>
          <w:between w:val="nil"/>
        </w:pBdr>
        <w:spacing w:after="180"/>
        <w:ind w:left="284"/>
        <w:rPr>
          <w:rFonts w:ascii="Arial" w:eastAsia="Arial" w:hAnsi="Arial" w:cs="Arial"/>
          <w:b/>
          <w:color w:val="0062FF"/>
          <w:sz w:val="20"/>
          <w:szCs w:val="20"/>
        </w:rPr>
      </w:pPr>
      <w:r w:rsidRPr="0037020B">
        <w:rPr>
          <w:rFonts w:ascii="Arial" w:eastAsia="Arial" w:hAnsi="Arial" w:cs="Arial"/>
          <w:b/>
          <w:color w:val="0062FF"/>
          <w:sz w:val="20"/>
          <w:szCs w:val="20"/>
        </w:rPr>
        <w:t xml:space="preserve"> To be continued...</w:t>
      </w:r>
    </w:p>
    <w:p w:rsidR="007250E9" w:rsidRPr="0037020B" w:rsidRDefault="007250E9">
      <w:pPr>
        <w:pBdr>
          <w:top w:val="nil"/>
          <w:left w:val="nil"/>
          <w:bottom w:val="nil"/>
          <w:right w:val="nil"/>
          <w:between w:val="nil"/>
        </w:pBdr>
        <w:spacing w:after="180"/>
        <w:rPr>
          <w:rFonts w:ascii="Arial" w:eastAsia="Arial" w:hAnsi="Arial" w:cs="Arial"/>
          <w:color w:val="000000"/>
          <w:sz w:val="20"/>
          <w:szCs w:val="20"/>
        </w:rPr>
      </w:pPr>
    </w:p>
    <w:p w:rsidR="007250E9" w:rsidRPr="0037020B" w:rsidRDefault="00000000">
      <w:pPr>
        <w:pBdr>
          <w:top w:val="nil"/>
          <w:left w:val="nil"/>
          <w:bottom w:val="nil"/>
          <w:right w:val="nil"/>
          <w:between w:val="nil"/>
        </w:pBdr>
        <w:spacing w:after="180"/>
        <w:rPr>
          <w:rFonts w:ascii="Arial" w:eastAsia="Arial" w:hAnsi="Arial" w:cs="Arial"/>
          <w:color w:val="000000"/>
          <w:sz w:val="20"/>
          <w:szCs w:val="20"/>
        </w:rPr>
      </w:pPr>
      <w:r w:rsidRPr="0037020B">
        <w:rPr>
          <w:rFonts w:ascii="Arial" w:eastAsia="Arial" w:hAnsi="Arial" w:cs="Arial"/>
          <w:color w:val="000000"/>
          <w:sz w:val="20"/>
          <w:szCs w:val="20"/>
        </w:rPr>
        <w:t xml:space="preserve">The gNB RAN architecture framework was </w:t>
      </w:r>
      <w:r w:rsidRPr="0037020B">
        <w:rPr>
          <w:rFonts w:ascii="Arial" w:eastAsia="Arial" w:hAnsi="Arial" w:cs="Arial"/>
          <w:sz w:val="20"/>
          <w:szCs w:val="20"/>
        </w:rPr>
        <w:t>standardized</w:t>
      </w:r>
      <w:r w:rsidRPr="0037020B">
        <w:rPr>
          <w:rFonts w:ascii="Arial" w:eastAsia="Arial" w:hAnsi="Arial" w:cs="Arial"/>
          <w:color w:val="000000"/>
          <w:sz w:val="20"/>
          <w:szCs w:val="20"/>
        </w:rPr>
        <w:t xml:space="preserve"> in 3GPP for 5G. </w:t>
      </w:r>
      <w:r w:rsidRPr="0037020B">
        <w:rPr>
          <w:rFonts w:ascii="Arial" w:eastAsia="Roboto" w:hAnsi="Arial" w:cs="Arial"/>
          <w:color w:val="1F1F1F"/>
          <w:sz w:val="20"/>
          <w:szCs w:val="20"/>
          <w:highlight w:val="white"/>
        </w:rPr>
        <w:t>At Verizon, we have many years of extensive experience deploying and maintaining both the monolithic or integrated (see Fig 1) and Higher Layer Split (HLS) or CU-DU split (see Fig 2) 5G gNB architectures in our network. We believe our observations in this area will be a valuable contribution to the 6G architecture study</w:t>
      </w:r>
      <w:r w:rsidRPr="0037020B">
        <w:rPr>
          <w:rFonts w:ascii="Arial" w:eastAsia="Arial" w:hAnsi="Arial" w:cs="Arial"/>
          <w:color w:val="000000"/>
          <w:sz w:val="20"/>
          <w:szCs w:val="20"/>
        </w:rPr>
        <w:t>.</w:t>
      </w:r>
    </w:p>
    <w:p w:rsidR="007250E9" w:rsidRPr="0037020B" w:rsidRDefault="00000000">
      <w:pPr>
        <w:pBdr>
          <w:top w:val="nil"/>
          <w:left w:val="nil"/>
          <w:bottom w:val="nil"/>
          <w:right w:val="nil"/>
          <w:between w:val="nil"/>
        </w:pBdr>
        <w:spacing w:after="180"/>
        <w:jc w:val="center"/>
        <w:rPr>
          <w:rFonts w:ascii="Arial" w:eastAsia="Arial" w:hAnsi="Arial" w:cs="Arial"/>
          <w:sz w:val="20"/>
          <w:szCs w:val="20"/>
        </w:rPr>
      </w:pPr>
      <w:r w:rsidRPr="0037020B">
        <w:rPr>
          <w:rFonts w:ascii="Arial" w:eastAsia="Arial" w:hAnsi="Arial" w:cs="Arial"/>
          <w:noProof/>
          <w:sz w:val="20"/>
          <w:szCs w:val="20"/>
        </w:rPr>
        <w:drawing>
          <wp:inline distT="114300" distB="114300" distL="114300" distR="114300">
            <wp:extent cx="4740113" cy="2857447"/>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4740113" cy="2857447"/>
                    </a:xfrm>
                    <a:prstGeom prst="rect">
                      <a:avLst/>
                    </a:prstGeom>
                    <a:ln/>
                  </pic:spPr>
                </pic:pic>
              </a:graphicData>
            </a:graphic>
          </wp:inline>
        </w:drawing>
      </w:r>
    </w:p>
    <w:p w:rsidR="007250E9" w:rsidRPr="0037020B" w:rsidRDefault="00000000">
      <w:pPr>
        <w:pBdr>
          <w:top w:val="nil"/>
          <w:left w:val="nil"/>
          <w:bottom w:val="nil"/>
          <w:right w:val="nil"/>
          <w:between w:val="nil"/>
        </w:pBdr>
        <w:spacing w:after="180"/>
        <w:jc w:val="center"/>
        <w:rPr>
          <w:rFonts w:ascii="Arial" w:eastAsia="Arial" w:hAnsi="Arial" w:cs="Arial"/>
          <w:sz w:val="20"/>
          <w:szCs w:val="20"/>
        </w:rPr>
      </w:pPr>
      <w:r w:rsidRPr="0037020B">
        <w:rPr>
          <w:rFonts w:ascii="Arial" w:eastAsia="Arial" w:hAnsi="Arial" w:cs="Arial"/>
          <w:sz w:val="20"/>
          <w:szCs w:val="20"/>
        </w:rPr>
        <w:t>Fig. 1 Monolithic deployment</w:t>
      </w:r>
    </w:p>
    <w:p w:rsidR="007250E9" w:rsidRPr="0037020B" w:rsidRDefault="007250E9">
      <w:pPr>
        <w:pBdr>
          <w:top w:val="nil"/>
          <w:left w:val="nil"/>
          <w:bottom w:val="nil"/>
          <w:right w:val="nil"/>
          <w:between w:val="nil"/>
        </w:pBdr>
        <w:spacing w:after="180"/>
        <w:rPr>
          <w:rFonts w:ascii="Arial" w:eastAsia="Arial" w:hAnsi="Arial" w:cs="Arial"/>
          <w:sz w:val="20"/>
          <w:szCs w:val="20"/>
        </w:rPr>
      </w:pPr>
    </w:p>
    <w:p w:rsidR="007250E9" w:rsidRPr="0037020B" w:rsidRDefault="00000000">
      <w:pPr>
        <w:pBdr>
          <w:top w:val="nil"/>
          <w:left w:val="nil"/>
          <w:bottom w:val="nil"/>
          <w:right w:val="nil"/>
          <w:between w:val="nil"/>
        </w:pBdr>
        <w:spacing w:after="180"/>
        <w:jc w:val="center"/>
        <w:rPr>
          <w:rFonts w:ascii="Arial" w:eastAsia="Arial" w:hAnsi="Arial" w:cs="Arial"/>
          <w:sz w:val="20"/>
          <w:szCs w:val="20"/>
        </w:rPr>
      </w:pPr>
      <w:r w:rsidRPr="0037020B">
        <w:rPr>
          <w:rFonts w:ascii="Arial" w:eastAsia="Arial" w:hAnsi="Arial" w:cs="Arial"/>
          <w:noProof/>
          <w:sz w:val="20"/>
          <w:szCs w:val="20"/>
        </w:rPr>
        <w:lastRenderedPageBreak/>
        <w:drawing>
          <wp:inline distT="114300" distB="114300" distL="114300" distR="114300">
            <wp:extent cx="4685348" cy="27419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4685348" cy="2741993"/>
                    </a:xfrm>
                    <a:prstGeom prst="rect">
                      <a:avLst/>
                    </a:prstGeom>
                    <a:ln/>
                  </pic:spPr>
                </pic:pic>
              </a:graphicData>
            </a:graphic>
          </wp:inline>
        </w:drawing>
      </w:r>
    </w:p>
    <w:p w:rsidR="007250E9" w:rsidRPr="0037020B" w:rsidRDefault="00000000">
      <w:pPr>
        <w:pBdr>
          <w:top w:val="nil"/>
          <w:left w:val="nil"/>
          <w:bottom w:val="nil"/>
          <w:right w:val="nil"/>
          <w:between w:val="nil"/>
        </w:pBdr>
        <w:spacing w:after="180"/>
        <w:jc w:val="center"/>
        <w:rPr>
          <w:rFonts w:ascii="Arial" w:eastAsia="Arial" w:hAnsi="Arial" w:cs="Arial"/>
          <w:sz w:val="20"/>
          <w:szCs w:val="20"/>
        </w:rPr>
      </w:pPr>
      <w:r w:rsidRPr="0037020B">
        <w:rPr>
          <w:rFonts w:ascii="Arial" w:eastAsia="Arial" w:hAnsi="Arial" w:cs="Arial"/>
          <w:sz w:val="20"/>
          <w:szCs w:val="20"/>
        </w:rPr>
        <w:t>Fig. 2 HLS Deployment</w:t>
      </w:r>
    </w:p>
    <w:p w:rsidR="007250E9" w:rsidRPr="0037020B" w:rsidRDefault="00000000">
      <w:pPr>
        <w:pBdr>
          <w:top w:val="nil"/>
          <w:left w:val="nil"/>
          <w:bottom w:val="nil"/>
          <w:right w:val="nil"/>
          <w:between w:val="nil"/>
        </w:pBdr>
        <w:spacing w:after="180"/>
        <w:rPr>
          <w:rFonts w:ascii="Arial" w:eastAsia="Roboto" w:hAnsi="Arial" w:cs="Arial"/>
          <w:color w:val="1F1F1F"/>
          <w:sz w:val="20"/>
          <w:szCs w:val="20"/>
          <w:highlight w:val="white"/>
        </w:rPr>
      </w:pPr>
      <w:r w:rsidRPr="0037020B">
        <w:rPr>
          <w:rFonts w:ascii="Arial" w:eastAsia="Roboto" w:hAnsi="Arial" w:cs="Arial"/>
          <w:color w:val="1F1F1F"/>
          <w:sz w:val="20"/>
          <w:szCs w:val="20"/>
          <w:highlight w:val="white"/>
        </w:rPr>
        <w:t xml:space="preserve">While we anticipate diverse experiences and observations across different technical communities (operators, suppliers, etc.), we believe that an open exchange of information will benefit all stakeholders involved in shaping the future of 6G. </w:t>
      </w:r>
    </w:p>
    <w:p w:rsidR="007250E9" w:rsidRPr="0037020B" w:rsidRDefault="00000000">
      <w:pPr>
        <w:pBdr>
          <w:top w:val="nil"/>
          <w:left w:val="nil"/>
          <w:bottom w:val="nil"/>
          <w:right w:val="nil"/>
          <w:between w:val="nil"/>
        </w:pBdr>
        <w:spacing w:after="180"/>
        <w:rPr>
          <w:rFonts w:ascii="Arial" w:eastAsia="Roboto" w:hAnsi="Arial" w:cs="Arial"/>
          <w:color w:val="1F1F1F"/>
          <w:sz w:val="20"/>
          <w:szCs w:val="20"/>
          <w:highlight w:val="yellow"/>
        </w:rPr>
      </w:pPr>
      <w:r w:rsidRPr="0037020B">
        <w:rPr>
          <w:rFonts w:ascii="Arial" w:eastAsia="Roboto" w:hAnsi="Arial" w:cs="Arial"/>
          <w:color w:val="1F1F1F"/>
          <w:sz w:val="20"/>
          <w:szCs w:val="20"/>
          <w:highlight w:val="white"/>
        </w:rPr>
        <w:t>There are numerous benefits regarding HLS being discussed in RAN#129-bis: for example, operational agility, deployment flexibility and scalability, rapid deployment and maintenance, support of various deployment scenarios, high availability and resiliency, cost and energy efficiency with pooling gains, multivendor support, cloud friendliness etc.</w:t>
      </w:r>
    </w:p>
    <w:p w:rsidR="007250E9" w:rsidRPr="0037020B" w:rsidRDefault="007250E9">
      <w:pPr>
        <w:pBdr>
          <w:top w:val="nil"/>
          <w:left w:val="nil"/>
          <w:bottom w:val="nil"/>
          <w:right w:val="nil"/>
          <w:between w:val="nil"/>
        </w:pBdr>
        <w:spacing w:after="180"/>
        <w:rPr>
          <w:rFonts w:ascii="Arial" w:eastAsia="Roboto" w:hAnsi="Arial" w:cs="Arial"/>
          <w:color w:val="1F1F1F"/>
          <w:sz w:val="21"/>
          <w:szCs w:val="21"/>
          <w:highlight w:val="yellow"/>
        </w:rPr>
      </w:pPr>
    </w:p>
    <w:p w:rsidR="007250E9" w:rsidRPr="0037020B" w:rsidRDefault="00000000">
      <w:pPr>
        <w:pStyle w:val="Heading1"/>
      </w:pPr>
      <w:r w:rsidRPr="0037020B">
        <w:t>2</w:t>
      </w:r>
      <w:r w:rsidRPr="0037020B">
        <w:tab/>
        <w:t>HLS Learnings in Commercial Network</w:t>
      </w:r>
    </w:p>
    <w:p w:rsidR="007250E9" w:rsidRPr="0037020B" w:rsidRDefault="007250E9">
      <w:pPr>
        <w:pBdr>
          <w:top w:val="nil"/>
          <w:left w:val="nil"/>
          <w:bottom w:val="nil"/>
          <w:right w:val="nil"/>
          <w:between w:val="nil"/>
        </w:pBdr>
        <w:spacing w:after="180"/>
        <w:rPr>
          <w:rFonts w:ascii="Arial" w:eastAsia="Roboto" w:hAnsi="Arial" w:cs="Arial"/>
          <w:color w:val="1F1F1F"/>
          <w:sz w:val="21"/>
          <w:szCs w:val="21"/>
          <w:highlight w:val="white"/>
        </w:rPr>
      </w:pPr>
    </w:p>
    <w:p w:rsidR="007250E9" w:rsidRPr="0037020B" w:rsidRDefault="00000000">
      <w:pPr>
        <w:pBdr>
          <w:top w:val="nil"/>
          <w:left w:val="nil"/>
          <w:bottom w:val="nil"/>
          <w:right w:val="nil"/>
          <w:between w:val="nil"/>
        </w:pBdr>
        <w:spacing w:after="180"/>
        <w:rPr>
          <w:rFonts w:ascii="Arial" w:eastAsia="Roboto" w:hAnsi="Arial" w:cs="Arial"/>
          <w:color w:val="1F1F1F"/>
          <w:sz w:val="20"/>
          <w:szCs w:val="20"/>
          <w:highlight w:val="white"/>
        </w:rPr>
      </w:pPr>
      <w:r w:rsidRPr="0037020B">
        <w:rPr>
          <w:rFonts w:ascii="Arial" w:eastAsia="Roboto" w:hAnsi="Arial" w:cs="Arial"/>
          <w:color w:val="1F1F1F"/>
          <w:sz w:val="20"/>
          <w:szCs w:val="20"/>
          <w:highlight w:val="white"/>
        </w:rPr>
        <w:t xml:space="preserve">This section </w:t>
      </w:r>
      <w:r w:rsidRPr="0037020B">
        <w:rPr>
          <w:rFonts w:ascii="Arial" w:eastAsia="Roboto" w:hAnsi="Arial" w:cs="Arial"/>
          <w:color w:val="1F1F1F"/>
          <w:sz w:val="20"/>
          <w:szCs w:val="20"/>
        </w:rPr>
        <w:t>outlines the differences between monolithic and HLS architectures, specifically regarding their impact on cell site security and reliability.</w:t>
      </w:r>
    </w:p>
    <w:p w:rsidR="007250E9" w:rsidRPr="0037020B" w:rsidRDefault="00000000">
      <w:pPr>
        <w:pBdr>
          <w:top w:val="nil"/>
          <w:left w:val="nil"/>
          <w:bottom w:val="nil"/>
          <w:right w:val="nil"/>
          <w:between w:val="nil"/>
        </w:pBdr>
        <w:spacing w:after="180"/>
        <w:rPr>
          <w:rFonts w:ascii="Arial" w:eastAsia="Roboto" w:hAnsi="Arial" w:cs="Arial"/>
          <w:b/>
          <w:color w:val="1F1F1F"/>
          <w:sz w:val="22"/>
          <w:szCs w:val="22"/>
          <w:highlight w:val="white"/>
          <w:u w:val="single"/>
        </w:rPr>
      </w:pPr>
      <w:r w:rsidRPr="0037020B">
        <w:rPr>
          <w:rFonts w:ascii="Arial" w:eastAsia="Roboto" w:hAnsi="Arial" w:cs="Arial"/>
          <w:b/>
          <w:color w:val="1F1F1F"/>
          <w:sz w:val="22"/>
          <w:szCs w:val="22"/>
          <w:highlight w:val="white"/>
          <w:u w:val="single"/>
        </w:rPr>
        <w:t xml:space="preserve">Security </w:t>
      </w:r>
    </w:p>
    <w:p w:rsidR="007250E9" w:rsidRPr="0037020B" w:rsidRDefault="00000000">
      <w:pPr>
        <w:pBdr>
          <w:top w:val="nil"/>
          <w:left w:val="nil"/>
          <w:bottom w:val="nil"/>
          <w:right w:val="nil"/>
          <w:between w:val="nil"/>
        </w:pBdr>
        <w:spacing w:after="180"/>
        <w:rPr>
          <w:rFonts w:ascii="Arial" w:eastAsia="Roboto" w:hAnsi="Arial" w:cs="Arial"/>
          <w:color w:val="1F1F1F"/>
          <w:sz w:val="20"/>
          <w:szCs w:val="20"/>
          <w:highlight w:val="white"/>
        </w:rPr>
      </w:pPr>
      <w:r w:rsidRPr="0037020B">
        <w:rPr>
          <w:rFonts w:ascii="Arial" w:eastAsia="Roboto" w:hAnsi="Arial" w:cs="Arial"/>
          <w:color w:val="1F1F1F"/>
          <w:sz w:val="20"/>
          <w:szCs w:val="20"/>
          <w:highlight w:val="white"/>
        </w:rPr>
        <w:t xml:space="preserve">With monolithic architecture, the hardware is an integrated unit (fixed CU, DU and RU), making security a major concern if the unit is compromised. This necessitates extra measures, such as external enclosures and internal (software) safeguards for user data and control messages. While PDCP can provide ciphering and integrity protection, but the CU is located at the cell site location, so this protection is only available for the air interface. Data must be transported via a backhaul, typically provided by a third party, back to the Core. This </w:t>
      </w:r>
      <w:proofErr w:type="gramStart"/>
      <w:r w:rsidRPr="0037020B">
        <w:rPr>
          <w:rFonts w:ascii="Arial" w:eastAsia="Roboto" w:hAnsi="Arial" w:cs="Arial"/>
          <w:color w:val="1F1F1F"/>
          <w:sz w:val="20"/>
          <w:szCs w:val="20"/>
          <w:highlight w:val="white"/>
        </w:rPr>
        <w:t>backhaul</w:t>
      </w:r>
      <w:proofErr w:type="gramEnd"/>
      <w:r w:rsidRPr="0037020B">
        <w:rPr>
          <w:rFonts w:ascii="Arial" w:eastAsia="Roboto" w:hAnsi="Arial" w:cs="Arial"/>
          <w:color w:val="1F1F1F"/>
          <w:sz w:val="20"/>
          <w:szCs w:val="20"/>
          <w:highlight w:val="white"/>
        </w:rPr>
        <w:t xml:space="preserve"> link, even if protected by an SLA, remains a significant risk point.</w:t>
      </w:r>
    </w:p>
    <w:p w:rsidR="007250E9" w:rsidRPr="0037020B" w:rsidRDefault="007250E9">
      <w:pPr>
        <w:pBdr>
          <w:top w:val="nil"/>
          <w:left w:val="nil"/>
          <w:bottom w:val="nil"/>
          <w:right w:val="nil"/>
          <w:between w:val="nil"/>
        </w:pBdr>
        <w:spacing w:after="180"/>
        <w:rPr>
          <w:rFonts w:ascii="Arial" w:eastAsia="Roboto" w:hAnsi="Arial" w:cs="Arial"/>
          <w:color w:val="1F1F1F"/>
          <w:sz w:val="20"/>
          <w:szCs w:val="20"/>
          <w:highlight w:val="white"/>
        </w:rPr>
      </w:pPr>
    </w:p>
    <w:p w:rsidR="007250E9" w:rsidRPr="0037020B" w:rsidRDefault="00000000">
      <w:pPr>
        <w:pBdr>
          <w:top w:val="nil"/>
          <w:left w:val="nil"/>
          <w:bottom w:val="nil"/>
          <w:right w:val="nil"/>
          <w:between w:val="nil"/>
        </w:pBdr>
        <w:spacing w:after="180"/>
        <w:rPr>
          <w:rFonts w:ascii="Arial" w:eastAsia="Roboto" w:hAnsi="Arial" w:cs="Arial"/>
          <w:color w:val="1F1F1F"/>
          <w:sz w:val="20"/>
          <w:szCs w:val="20"/>
          <w:highlight w:val="white"/>
        </w:rPr>
      </w:pPr>
      <w:r w:rsidRPr="0037020B">
        <w:rPr>
          <w:rFonts w:ascii="Arial" w:eastAsia="Roboto" w:hAnsi="Arial" w:cs="Arial"/>
          <w:color w:val="1F1F1F"/>
          <w:sz w:val="20"/>
          <w:szCs w:val="20"/>
          <w:highlight w:val="white"/>
        </w:rPr>
        <w:t xml:space="preserve">In contrast, with the HLS architecture, the CU is centrally located typically in a much more secure location such as the switch center and </w:t>
      </w:r>
      <w:r w:rsidR="00083FF6" w:rsidRPr="0037020B">
        <w:rPr>
          <w:rFonts w:ascii="Arial" w:eastAsia="Roboto" w:hAnsi="Arial" w:cs="Arial"/>
          <w:color w:val="1F1F1F"/>
          <w:sz w:val="20"/>
          <w:szCs w:val="20"/>
          <w:highlight w:val="white"/>
        </w:rPr>
        <w:t>co-located</w:t>
      </w:r>
      <w:r w:rsidRPr="0037020B">
        <w:rPr>
          <w:rFonts w:ascii="Arial" w:eastAsia="Roboto" w:hAnsi="Arial" w:cs="Arial"/>
          <w:color w:val="1F1F1F"/>
          <w:sz w:val="20"/>
          <w:szCs w:val="20"/>
          <w:highlight w:val="white"/>
        </w:rPr>
        <w:t xml:space="preserve"> with the Core network. Any physical attempts (on the CU) are minimized due to constant surveillance. Hence, the ciphering and integrity protection benefits provided by the PDCP layer are better realized in this set up. In addition, the data on the standardized F1 interface from the CU at the switch center to the DU at the cell site location is encrypted and integrity protected using PDCP at the CU.</w:t>
      </w:r>
    </w:p>
    <w:p w:rsidR="007250E9" w:rsidRPr="0037020B" w:rsidRDefault="007250E9">
      <w:pPr>
        <w:pBdr>
          <w:top w:val="nil"/>
          <w:left w:val="nil"/>
          <w:bottom w:val="nil"/>
          <w:right w:val="nil"/>
          <w:between w:val="nil"/>
        </w:pBdr>
        <w:spacing w:after="180"/>
        <w:rPr>
          <w:rFonts w:ascii="Arial" w:eastAsia="Roboto" w:hAnsi="Arial" w:cs="Arial"/>
          <w:color w:val="1F1F1F"/>
          <w:sz w:val="20"/>
          <w:szCs w:val="20"/>
          <w:highlight w:val="white"/>
        </w:rPr>
      </w:pPr>
    </w:p>
    <w:p w:rsidR="007250E9" w:rsidRPr="0037020B" w:rsidRDefault="00000000">
      <w:pPr>
        <w:pBdr>
          <w:top w:val="nil"/>
          <w:left w:val="nil"/>
          <w:bottom w:val="nil"/>
          <w:right w:val="nil"/>
          <w:between w:val="nil"/>
        </w:pBdr>
        <w:spacing w:after="180"/>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Observation 1: The HLS architecture enables stronger physical security for the centrally located CU and the NG interface between CU and the Core.</w:t>
      </w:r>
    </w:p>
    <w:p w:rsidR="007250E9" w:rsidRPr="0037020B" w:rsidRDefault="00000000">
      <w:pPr>
        <w:pBdr>
          <w:top w:val="nil"/>
          <w:left w:val="nil"/>
          <w:bottom w:val="nil"/>
          <w:right w:val="nil"/>
          <w:between w:val="nil"/>
        </w:pBdr>
        <w:spacing w:after="180"/>
        <w:rPr>
          <w:rFonts w:ascii="Arial" w:eastAsia="Roboto" w:hAnsi="Arial" w:cs="Arial"/>
          <w:b/>
          <w:color w:val="1F1F1F"/>
          <w:sz w:val="20"/>
          <w:szCs w:val="20"/>
          <w:highlight w:val="white"/>
          <w:u w:val="single"/>
        </w:rPr>
      </w:pPr>
      <w:r w:rsidRPr="0037020B">
        <w:rPr>
          <w:rFonts w:ascii="Arial" w:eastAsia="Roboto" w:hAnsi="Arial" w:cs="Arial"/>
          <w:b/>
          <w:color w:val="1F1F1F"/>
          <w:sz w:val="20"/>
          <w:szCs w:val="20"/>
          <w:highlight w:val="white"/>
        </w:rPr>
        <w:lastRenderedPageBreak/>
        <w:t xml:space="preserve">Observation 2:  The HLS also enables ciphering and integrity protection for the data between the CU at the switch center and the cell site location. </w:t>
      </w:r>
    </w:p>
    <w:p w:rsidR="007250E9" w:rsidRPr="0037020B" w:rsidRDefault="007250E9">
      <w:pPr>
        <w:pBdr>
          <w:top w:val="nil"/>
          <w:left w:val="nil"/>
          <w:bottom w:val="nil"/>
          <w:right w:val="nil"/>
          <w:between w:val="nil"/>
        </w:pBdr>
        <w:spacing w:after="180"/>
        <w:rPr>
          <w:rFonts w:ascii="Arial" w:eastAsia="Roboto" w:hAnsi="Arial" w:cs="Arial"/>
          <w:b/>
          <w:color w:val="1F1F1F"/>
          <w:sz w:val="20"/>
          <w:szCs w:val="20"/>
          <w:highlight w:val="white"/>
          <w:u w:val="single"/>
        </w:rPr>
      </w:pPr>
    </w:p>
    <w:p w:rsidR="007250E9" w:rsidRPr="0037020B" w:rsidRDefault="00000000">
      <w:pPr>
        <w:pBdr>
          <w:top w:val="nil"/>
          <w:left w:val="nil"/>
          <w:bottom w:val="nil"/>
          <w:right w:val="nil"/>
          <w:between w:val="nil"/>
        </w:pBdr>
        <w:spacing w:after="180"/>
        <w:rPr>
          <w:rFonts w:ascii="Arial" w:eastAsia="Roboto" w:hAnsi="Arial" w:cs="Arial"/>
          <w:b/>
          <w:color w:val="1F1F1F"/>
          <w:sz w:val="22"/>
          <w:szCs w:val="22"/>
          <w:highlight w:val="white"/>
          <w:u w:val="single"/>
        </w:rPr>
      </w:pPr>
      <w:r w:rsidRPr="0037020B">
        <w:rPr>
          <w:rFonts w:ascii="Arial" w:eastAsia="Roboto" w:hAnsi="Arial" w:cs="Arial"/>
          <w:b/>
          <w:color w:val="1F1F1F"/>
          <w:sz w:val="22"/>
          <w:szCs w:val="22"/>
          <w:highlight w:val="white"/>
          <w:u w:val="single"/>
        </w:rPr>
        <w:t>CU Reliability</w:t>
      </w: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color w:val="1F1F1F"/>
          <w:sz w:val="20"/>
          <w:szCs w:val="20"/>
          <w:highlight w:val="white"/>
        </w:rPr>
        <w:t xml:space="preserve">With monolithic architecture, </w:t>
      </w:r>
      <w:r w:rsidRPr="0037020B">
        <w:rPr>
          <w:rFonts w:ascii="Arial" w:eastAsia="Roboto" w:hAnsi="Arial" w:cs="Arial"/>
          <w:color w:val="1F1F1F"/>
          <w:sz w:val="20"/>
          <w:szCs w:val="20"/>
        </w:rPr>
        <w:t>a single point of failure is common due to the lack of gNB redundancy. If a site becomes non-functional, and remote restoration attempts fail, the only remaining option is to dispatch technical personnel to the location to either restore or replace the unit. While temporary measures like automated features (e.g. SON) or manual antenna adjustments can minimize coverage holes, there will still be coverage disruption and reduction until the cell site unit is fully restored.</w:t>
      </w:r>
    </w:p>
    <w:p w:rsidR="007250E9" w:rsidRPr="0037020B" w:rsidRDefault="007250E9">
      <w:pPr>
        <w:pBdr>
          <w:top w:val="nil"/>
          <w:left w:val="nil"/>
          <w:bottom w:val="nil"/>
          <w:right w:val="nil"/>
          <w:between w:val="nil"/>
        </w:pBdr>
        <w:spacing w:after="180"/>
        <w:rPr>
          <w:rFonts w:ascii="Arial" w:eastAsia="Roboto" w:hAnsi="Arial" w:cs="Arial"/>
          <w:color w:val="1F1F1F"/>
          <w:sz w:val="20"/>
          <w:szCs w:val="20"/>
          <w:highlight w:val="white"/>
        </w:rPr>
      </w:pP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color w:val="1F1F1F"/>
          <w:sz w:val="20"/>
          <w:szCs w:val="20"/>
        </w:rPr>
        <w:t xml:space="preserve">In contrast, the HLS architecture significantly reduces the single point of failure scenario. CUs can be deployed with geo and/or local redundancy (e.g., </w:t>
      </w:r>
      <w:r w:rsidR="00083FF6" w:rsidRPr="0037020B">
        <w:rPr>
          <w:rFonts w:ascii="Arial" w:eastAsia="Roboto" w:hAnsi="Arial" w:cs="Arial"/>
          <w:color w:val="1F1F1F"/>
          <w:sz w:val="20"/>
          <w:szCs w:val="20"/>
        </w:rPr>
        <w:t xml:space="preserve">N </w:t>
      </w:r>
      <w:r w:rsidRPr="0037020B">
        <w:rPr>
          <w:rFonts w:ascii="Arial" w:eastAsia="Roboto" w:hAnsi="Arial" w:cs="Arial"/>
          <w:color w:val="1F1F1F"/>
          <w:sz w:val="20"/>
          <w:szCs w:val="20"/>
        </w:rPr>
        <w:t>+</w:t>
      </w:r>
      <w:r w:rsidR="00083FF6" w:rsidRPr="0037020B">
        <w:rPr>
          <w:rFonts w:ascii="Arial" w:eastAsia="Roboto" w:hAnsi="Arial" w:cs="Arial"/>
          <w:color w:val="1F1F1F"/>
          <w:sz w:val="20"/>
          <w:szCs w:val="20"/>
        </w:rPr>
        <w:t xml:space="preserve"> K</w:t>
      </w:r>
      <w:r w:rsidRPr="0037020B">
        <w:rPr>
          <w:rFonts w:ascii="Arial" w:eastAsia="Roboto" w:hAnsi="Arial" w:cs="Arial"/>
          <w:color w:val="1F1F1F"/>
          <w:sz w:val="20"/>
          <w:szCs w:val="20"/>
        </w:rPr>
        <w:t xml:space="preserve"> configuration) to automatically switch over in case of failure. These restoration activities are performed remotely, which is typically faster and eliminates the need to dispatch technical personnel to the sites. </w:t>
      </w:r>
    </w:p>
    <w:p w:rsidR="007250E9" w:rsidRPr="0037020B" w:rsidRDefault="007250E9">
      <w:pPr>
        <w:shd w:val="clear" w:color="auto" w:fill="FFFFFF"/>
        <w:rPr>
          <w:rFonts w:ascii="Arial" w:eastAsia="Roboto" w:hAnsi="Arial" w:cs="Arial"/>
          <w:color w:val="1F1F1F"/>
          <w:sz w:val="20"/>
          <w:szCs w:val="20"/>
        </w:rPr>
      </w:pP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b/>
          <w:color w:val="1F1F1F"/>
          <w:sz w:val="20"/>
          <w:szCs w:val="20"/>
          <w:highlight w:val="white"/>
        </w:rPr>
        <w:t>Observation 3: The HLS architecture enables the deployment of CU redundancy at a significantly reduced cost and allows for a faster restoration to maintain coverage and services.</w:t>
      </w:r>
    </w:p>
    <w:p w:rsidR="007250E9" w:rsidRPr="0037020B" w:rsidRDefault="007250E9">
      <w:pPr>
        <w:shd w:val="clear" w:color="auto" w:fill="FFFFFF"/>
        <w:rPr>
          <w:rFonts w:ascii="Arial" w:eastAsia="Roboto" w:hAnsi="Arial" w:cs="Arial"/>
          <w:b/>
          <w:color w:val="1F1F1F"/>
          <w:sz w:val="20"/>
          <w:szCs w:val="20"/>
          <w:u w:val="single"/>
        </w:rPr>
      </w:pPr>
    </w:p>
    <w:p w:rsidR="007250E9" w:rsidRPr="0037020B" w:rsidRDefault="007250E9">
      <w:pPr>
        <w:shd w:val="clear" w:color="auto" w:fill="FFFFFF"/>
        <w:rPr>
          <w:rFonts w:ascii="Arial" w:eastAsia="Roboto" w:hAnsi="Arial" w:cs="Arial"/>
          <w:b/>
          <w:color w:val="1F1F1F"/>
          <w:sz w:val="20"/>
          <w:szCs w:val="20"/>
          <w:u w:val="single"/>
        </w:rPr>
      </w:pPr>
    </w:p>
    <w:p w:rsidR="007250E9" w:rsidRPr="0037020B" w:rsidRDefault="00000000">
      <w:pPr>
        <w:shd w:val="clear" w:color="auto" w:fill="FFFFFF"/>
        <w:rPr>
          <w:rFonts w:ascii="Arial" w:eastAsia="Roboto" w:hAnsi="Arial" w:cs="Arial"/>
          <w:b/>
          <w:color w:val="1F1F1F"/>
          <w:sz w:val="22"/>
          <w:szCs w:val="22"/>
          <w:u w:val="single"/>
        </w:rPr>
      </w:pPr>
      <w:r w:rsidRPr="0037020B">
        <w:rPr>
          <w:rFonts w:ascii="Arial" w:eastAsia="Roboto" w:hAnsi="Arial" w:cs="Arial"/>
          <w:b/>
          <w:color w:val="1F1F1F"/>
          <w:sz w:val="22"/>
          <w:szCs w:val="22"/>
          <w:u w:val="single"/>
        </w:rPr>
        <w:t xml:space="preserve">Power Outage at the cell site location </w:t>
      </w:r>
    </w:p>
    <w:p w:rsidR="007250E9" w:rsidRPr="0037020B" w:rsidRDefault="007250E9">
      <w:pPr>
        <w:shd w:val="clear" w:color="auto" w:fill="FFFFFF"/>
        <w:rPr>
          <w:rFonts w:ascii="Arial" w:eastAsia="Roboto" w:hAnsi="Arial" w:cs="Arial"/>
          <w:color w:val="1F1F1F"/>
          <w:sz w:val="20"/>
          <w:szCs w:val="20"/>
          <w:u w:val="single"/>
        </w:rPr>
      </w:pP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color w:val="1F1F1F"/>
          <w:sz w:val="20"/>
          <w:szCs w:val="20"/>
        </w:rPr>
        <w:t>Typically, there is a battery backup deployed at the cell site to account for power failure scenarios. In case of monolithic architecture, when a power outage occurs, the backup battery drains quicker because of the co</w:t>
      </w:r>
      <w:r w:rsidR="00083FF6" w:rsidRPr="0037020B">
        <w:rPr>
          <w:rFonts w:ascii="Arial" w:eastAsia="Roboto" w:hAnsi="Arial" w:cs="Arial"/>
          <w:color w:val="1F1F1F"/>
          <w:sz w:val="20"/>
          <w:szCs w:val="20"/>
        </w:rPr>
        <w:t>-</w:t>
      </w:r>
      <w:r w:rsidRPr="0037020B">
        <w:rPr>
          <w:rFonts w:ascii="Arial" w:eastAsia="Roboto" w:hAnsi="Arial" w:cs="Arial"/>
          <w:color w:val="1F1F1F"/>
          <w:sz w:val="20"/>
          <w:szCs w:val="20"/>
        </w:rPr>
        <w:t xml:space="preserve">located CU processing power consumption (for ciphering and integrity protection). </w:t>
      </w:r>
    </w:p>
    <w:p w:rsidR="007250E9" w:rsidRPr="0037020B" w:rsidRDefault="007250E9">
      <w:pPr>
        <w:shd w:val="clear" w:color="auto" w:fill="FFFFFF"/>
        <w:rPr>
          <w:rFonts w:ascii="Arial" w:eastAsia="Roboto" w:hAnsi="Arial" w:cs="Arial"/>
          <w:color w:val="1F1F1F"/>
          <w:sz w:val="20"/>
          <w:szCs w:val="20"/>
        </w:rPr>
      </w:pP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color w:val="1F1F1F"/>
          <w:sz w:val="20"/>
          <w:szCs w:val="20"/>
        </w:rPr>
        <w:t xml:space="preserve">In contrast, for the HLS deployment, the CU is located in a centralized switch center and does not drain the backup battery power at the cell site location. Hence, the battery at the cell site could last longer in case of a power outage. </w:t>
      </w:r>
    </w:p>
    <w:p w:rsidR="007250E9" w:rsidRPr="0037020B" w:rsidRDefault="007250E9">
      <w:pPr>
        <w:pBdr>
          <w:top w:val="nil"/>
          <w:left w:val="nil"/>
          <w:bottom w:val="nil"/>
          <w:right w:val="nil"/>
          <w:between w:val="nil"/>
        </w:pBdr>
        <w:spacing w:after="180"/>
        <w:rPr>
          <w:rFonts w:ascii="Arial" w:eastAsia="Roboto" w:hAnsi="Arial" w:cs="Arial"/>
          <w:color w:val="1F1F1F"/>
          <w:sz w:val="20"/>
          <w:szCs w:val="20"/>
          <w:highlight w:val="white"/>
        </w:rPr>
      </w:pP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b/>
          <w:color w:val="1F1F1F"/>
          <w:sz w:val="20"/>
          <w:szCs w:val="20"/>
          <w:highlight w:val="white"/>
        </w:rPr>
        <w:t>Observation 4: The HLS architecture is better for saving back up battery power at the cell site in case of power outage scenario.</w:t>
      </w:r>
    </w:p>
    <w:p w:rsidR="007250E9" w:rsidRPr="0037020B" w:rsidRDefault="00000000">
      <w:pPr>
        <w:pStyle w:val="Heading1"/>
      </w:pPr>
      <w:r w:rsidRPr="0037020B">
        <w:t>3</w:t>
      </w:r>
      <w:r w:rsidRPr="0037020B">
        <w:tab/>
        <w:t>Conclusion</w:t>
      </w:r>
    </w:p>
    <w:p w:rsidR="007250E9" w:rsidRPr="0037020B" w:rsidRDefault="00000000">
      <w:pPr>
        <w:shd w:val="clear" w:color="auto" w:fill="FFFFFF"/>
        <w:rPr>
          <w:rFonts w:ascii="Arial" w:eastAsia="Roboto" w:hAnsi="Arial" w:cs="Arial"/>
          <w:color w:val="1F1F1F"/>
          <w:sz w:val="20"/>
          <w:szCs w:val="20"/>
        </w:rPr>
      </w:pPr>
      <w:r w:rsidRPr="0037020B">
        <w:rPr>
          <w:rFonts w:ascii="Arial" w:eastAsia="Roboto" w:hAnsi="Arial" w:cs="Arial"/>
          <w:color w:val="1F1F1F"/>
          <w:sz w:val="20"/>
          <w:szCs w:val="20"/>
        </w:rPr>
        <w:t>In the previous section, we observed that the 5G HLS architecture is advantageous in terms of security and reliability compared to the monolithic architecture.</w:t>
      </w:r>
      <w:r w:rsidRPr="0037020B">
        <w:rPr>
          <w:rFonts w:ascii="Arial" w:eastAsia="Roboto" w:hAnsi="Arial" w:cs="Arial"/>
          <w:color w:val="1F1F1F"/>
          <w:sz w:val="20"/>
          <w:szCs w:val="20"/>
          <w:highlight w:val="white"/>
        </w:rPr>
        <w:t xml:space="preserve"> Since no single solution can cover all deployment scenarios, </w:t>
      </w:r>
      <w:r w:rsidRPr="0037020B">
        <w:rPr>
          <w:rFonts w:ascii="Arial" w:eastAsia="Roboto" w:hAnsi="Arial" w:cs="Arial"/>
          <w:color w:val="1F1F1F"/>
          <w:sz w:val="20"/>
          <w:szCs w:val="20"/>
        </w:rPr>
        <w:t xml:space="preserve">it is crucial to maintain an open approach to improve existing operating architectures. This </w:t>
      </w:r>
      <w:r w:rsidRPr="0037020B">
        <w:rPr>
          <w:rFonts w:ascii="Arial" w:eastAsia="Roboto" w:hAnsi="Arial" w:cs="Arial"/>
          <w:b/>
          <w:color w:val="1F1F1F"/>
          <w:sz w:val="20"/>
          <w:szCs w:val="20"/>
        </w:rPr>
        <w:t>openness</w:t>
      </w:r>
      <w:r w:rsidRPr="0037020B">
        <w:rPr>
          <w:rFonts w:ascii="Arial" w:eastAsia="Roboto" w:hAnsi="Arial" w:cs="Arial"/>
          <w:color w:val="1F1F1F"/>
          <w:sz w:val="20"/>
          <w:szCs w:val="20"/>
        </w:rPr>
        <w:t xml:space="preserve"> also facilitates the introduction of new architectural enhancements, which can further advance 6G deployments. </w:t>
      </w:r>
    </w:p>
    <w:p w:rsidR="007250E9" w:rsidRPr="0037020B" w:rsidRDefault="007250E9">
      <w:pPr>
        <w:pBdr>
          <w:top w:val="nil"/>
          <w:left w:val="nil"/>
          <w:bottom w:val="nil"/>
          <w:right w:val="nil"/>
          <w:between w:val="nil"/>
        </w:pBdr>
        <w:spacing w:after="180"/>
        <w:rPr>
          <w:rFonts w:ascii="Arial" w:eastAsia="Roboto" w:hAnsi="Arial" w:cs="Arial"/>
          <w:color w:val="1F1F1F"/>
          <w:sz w:val="20"/>
          <w:szCs w:val="20"/>
          <w:highlight w:val="white"/>
        </w:rPr>
      </w:pPr>
    </w:p>
    <w:p w:rsidR="007250E9" w:rsidRPr="0037020B" w:rsidRDefault="00000000">
      <w:pPr>
        <w:spacing w:after="180"/>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Observation 1: The HLS architecture enables stronger physical security for the centrally located CU and the NG interface between CU and the Core.</w:t>
      </w:r>
    </w:p>
    <w:p w:rsidR="007250E9" w:rsidRPr="0037020B" w:rsidRDefault="00000000">
      <w:pPr>
        <w:spacing w:after="180"/>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 xml:space="preserve">Observation 2:  The HLS also enables ciphering and integrity protection for the data between the CU at the switch center and the cell site location. </w:t>
      </w:r>
    </w:p>
    <w:p w:rsidR="007250E9" w:rsidRPr="0037020B" w:rsidRDefault="00000000">
      <w:pPr>
        <w:shd w:val="clear" w:color="auto" w:fill="FFFFFF"/>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Observation 3: The HLS architecture enables the deployment of CU redundancy at a significantly reduced cost and allows for a faster restoration to maintain coverage and services.</w:t>
      </w:r>
    </w:p>
    <w:p w:rsidR="007250E9" w:rsidRPr="0037020B" w:rsidRDefault="007250E9">
      <w:pPr>
        <w:shd w:val="clear" w:color="auto" w:fill="FFFFFF"/>
        <w:rPr>
          <w:rFonts w:ascii="Arial" w:eastAsia="Roboto" w:hAnsi="Arial" w:cs="Arial"/>
          <w:b/>
          <w:color w:val="1F1F1F"/>
          <w:sz w:val="20"/>
          <w:szCs w:val="20"/>
          <w:highlight w:val="white"/>
        </w:rPr>
      </w:pPr>
    </w:p>
    <w:p w:rsidR="007250E9" w:rsidRPr="0037020B" w:rsidRDefault="00000000">
      <w:pPr>
        <w:shd w:val="clear" w:color="auto" w:fill="FFFFFF"/>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Observation 4: The HLS architecture is better for saving back up battery power at the cell site in case of power failure scenario.</w:t>
      </w:r>
    </w:p>
    <w:p w:rsidR="007250E9" w:rsidRPr="0037020B" w:rsidRDefault="007250E9">
      <w:pPr>
        <w:shd w:val="clear" w:color="auto" w:fill="FFFFFF"/>
        <w:rPr>
          <w:rFonts w:ascii="Arial" w:eastAsia="Roboto" w:hAnsi="Arial" w:cs="Arial"/>
          <w:b/>
          <w:color w:val="1F1F1F"/>
          <w:sz w:val="20"/>
          <w:szCs w:val="20"/>
          <w:highlight w:val="white"/>
        </w:rPr>
      </w:pPr>
    </w:p>
    <w:p w:rsidR="007250E9" w:rsidRPr="0037020B" w:rsidRDefault="007250E9">
      <w:pPr>
        <w:spacing w:after="180"/>
        <w:rPr>
          <w:rFonts w:ascii="Arial" w:eastAsia="Arial" w:hAnsi="Arial" w:cs="Arial"/>
          <w:sz w:val="20"/>
          <w:szCs w:val="20"/>
        </w:rPr>
      </w:pPr>
    </w:p>
    <w:p w:rsidR="007250E9" w:rsidRPr="0037020B" w:rsidRDefault="00000000">
      <w:pPr>
        <w:spacing w:after="180"/>
        <w:rPr>
          <w:rFonts w:ascii="Arial" w:eastAsia="Arial" w:hAnsi="Arial" w:cs="Arial"/>
          <w:sz w:val="20"/>
          <w:szCs w:val="20"/>
        </w:rPr>
      </w:pPr>
      <w:r w:rsidRPr="0037020B">
        <w:rPr>
          <w:rFonts w:ascii="Arial" w:eastAsia="Arial" w:hAnsi="Arial" w:cs="Arial"/>
          <w:sz w:val="20"/>
          <w:szCs w:val="20"/>
        </w:rPr>
        <w:t>The goals of 6G RAN architecture should include the following:</w:t>
      </w:r>
    </w:p>
    <w:p w:rsidR="007250E9" w:rsidRPr="0037020B" w:rsidRDefault="00000000">
      <w:pPr>
        <w:numPr>
          <w:ilvl w:val="0"/>
          <w:numId w:val="1"/>
        </w:numPr>
        <w:rPr>
          <w:rFonts w:ascii="Arial" w:hAnsi="Arial" w:cs="Arial"/>
          <w:sz w:val="20"/>
          <w:szCs w:val="20"/>
        </w:rPr>
      </w:pPr>
      <w:r w:rsidRPr="0037020B">
        <w:rPr>
          <w:rFonts w:ascii="Arial" w:eastAsia="Arial" w:hAnsi="Arial" w:cs="Arial"/>
          <w:sz w:val="20"/>
          <w:szCs w:val="20"/>
        </w:rPr>
        <w:t>Enable operators to cost-effectively migrate existing 5G infrastructure (monolithic and HLS) to 6G.</w:t>
      </w:r>
    </w:p>
    <w:p w:rsidR="007250E9" w:rsidRPr="0037020B" w:rsidRDefault="00000000">
      <w:pPr>
        <w:numPr>
          <w:ilvl w:val="0"/>
          <w:numId w:val="1"/>
        </w:numPr>
        <w:spacing w:after="180"/>
        <w:rPr>
          <w:rFonts w:ascii="Arial" w:hAnsi="Arial" w:cs="Arial"/>
          <w:sz w:val="20"/>
          <w:szCs w:val="20"/>
        </w:rPr>
      </w:pPr>
      <w:r w:rsidRPr="0037020B">
        <w:rPr>
          <w:rFonts w:ascii="Arial" w:eastAsia="Roboto" w:hAnsi="Arial" w:cs="Arial"/>
          <w:color w:val="1F1F1F"/>
          <w:sz w:val="20"/>
          <w:szCs w:val="20"/>
          <w:highlight w:val="white"/>
        </w:rPr>
        <w:lastRenderedPageBreak/>
        <w:t xml:space="preserve">Facilitate </w:t>
      </w:r>
      <w:r w:rsidRPr="0037020B">
        <w:rPr>
          <w:rFonts w:ascii="Arial" w:eastAsia="Arial" w:hAnsi="Arial" w:cs="Arial"/>
          <w:sz w:val="20"/>
          <w:szCs w:val="20"/>
        </w:rPr>
        <w:t>the introduction of 6G without negatively impacting the performance or stability of the current 5G network.</w:t>
      </w:r>
    </w:p>
    <w:p w:rsidR="007250E9" w:rsidRPr="0037020B" w:rsidRDefault="007250E9">
      <w:pPr>
        <w:spacing w:after="180"/>
        <w:rPr>
          <w:rFonts w:ascii="Arial" w:eastAsia="Arial" w:hAnsi="Arial" w:cs="Arial"/>
          <w:sz w:val="20"/>
          <w:szCs w:val="20"/>
        </w:rPr>
      </w:pPr>
    </w:p>
    <w:p w:rsidR="007250E9" w:rsidRPr="0037020B" w:rsidRDefault="00000000">
      <w:pPr>
        <w:spacing w:after="180"/>
        <w:rPr>
          <w:rFonts w:ascii="Arial" w:eastAsia="Roboto" w:hAnsi="Arial" w:cs="Arial"/>
          <w:b/>
          <w:color w:val="1F1F1F"/>
          <w:sz w:val="20"/>
          <w:szCs w:val="20"/>
          <w:highlight w:val="white"/>
        </w:rPr>
      </w:pPr>
      <w:r w:rsidRPr="0037020B">
        <w:rPr>
          <w:rFonts w:ascii="Arial" w:eastAsia="Arial" w:hAnsi="Arial" w:cs="Arial"/>
          <w:sz w:val="20"/>
          <w:szCs w:val="20"/>
        </w:rPr>
        <w:t>With these goals in mind, we made the following proposals:</w:t>
      </w:r>
    </w:p>
    <w:p w:rsidR="007250E9" w:rsidRPr="0037020B" w:rsidRDefault="00000000">
      <w:pPr>
        <w:pBdr>
          <w:top w:val="nil"/>
          <w:left w:val="nil"/>
          <w:bottom w:val="nil"/>
          <w:right w:val="nil"/>
          <w:between w:val="nil"/>
        </w:pBdr>
        <w:spacing w:after="180"/>
        <w:rPr>
          <w:rFonts w:ascii="Arial" w:eastAsia="Roboto" w:hAnsi="Arial" w:cs="Arial"/>
          <w:b/>
          <w:color w:val="1F1F1F"/>
          <w:sz w:val="20"/>
          <w:szCs w:val="20"/>
          <w:highlight w:val="white"/>
        </w:rPr>
      </w:pPr>
      <w:r w:rsidRPr="0037020B">
        <w:rPr>
          <w:rFonts w:ascii="Arial" w:eastAsia="Roboto" w:hAnsi="Arial" w:cs="Arial"/>
          <w:b/>
          <w:color w:val="1F1F1F"/>
          <w:sz w:val="20"/>
          <w:szCs w:val="20"/>
          <w:highlight w:val="white"/>
        </w:rPr>
        <w:t>Proposal 1: Consider both monolithic and Higher Layer Split (HLS) architectures as part of 6G RAN architecture.</w:t>
      </w:r>
    </w:p>
    <w:p w:rsidR="007250E9" w:rsidRPr="0037020B" w:rsidRDefault="00000000">
      <w:pPr>
        <w:pBdr>
          <w:top w:val="nil"/>
          <w:left w:val="nil"/>
          <w:bottom w:val="nil"/>
          <w:right w:val="nil"/>
          <w:between w:val="nil"/>
        </w:pBdr>
        <w:spacing w:after="180"/>
        <w:rPr>
          <w:rFonts w:ascii="Arial" w:eastAsia="Arial" w:hAnsi="Arial" w:cs="Arial"/>
          <w:b/>
          <w:sz w:val="20"/>
          <w:szCs w:val="20"/>
        </w:rPr>
      </w:pPr>
      <w:r w:rsidRPr="0037020B">
        <w:rPr>
          <w:rFonts w:ascii="Arial" w:eastAsia="Roboto" w:hAnsi="Arial" w:cs="Arial"/>
          <w:b/>
          <w:color w:val="1F1F1F"/>
          <w:sz w:val="20"/>
          <w:szCs w:val="20"/>
          <w:highlight w:val="white"/>
        </w:rPr>
        <w:t xml:space="preserve">Proposal 2: </w:t>
      </w:r>
      <w:r w:rsidRPr="0037020B">
        <w:rPr>
          <w:rFonts w:ascii="Arial" w:eastAsia="Arial" w:hAnsi="Arial" w:cs="Arial"/>
          <w:b/>
          <w:sz w:val="20"/>
          <w:szCs w:val="20"/>
        </w:rPr>
        <w:t xml:space="preserve">Explore new capabilities for 6G RAN Architectures without disrupting existing 5G services and performance. </w:t>
      </w:r>
    </w:p>
    <w:p w:rsidR="007250E9" w:rsidRDefault="007250E9">
      <w:pPr>
        <w:pBdr>
          <w:top w:val="nil"/>
          <w:left w:val="nil"/>
          <w:bottom w:val="nil"/>
          <w:right w:val="nil"/>
          <w:between w:val="nil"/>
        </w:pBdr>
        <w:spacing w:after="180"/>
        <w:rPr>
          <w:rFonts w:ascii="Roboto" w:eastAsia="Roboto" w:hAnsi="Roboto" w:cs="Roboto"/>
          <w:b/>
          <w:color w:val="1F1F1F"/>
          <w:sz w:val="21"/>
          <w:szCs w:val="21"/>
          <w:highlight w:val="white"/>
        </w:rPr>
      </w:pPr>
    </w:p>
    <w:p w:rsidR="007E0F0B" w:rsidRPr="007E0F0B" w:rsidRDefault="007E0F0B" w:rsidP="007E0F0B">
      <w:pPr>
        <w:pStyle w:val="Heading1"/>
      </w:pPr>
      <w:r>
        <w:t>4</w:t>
      </w:r>
      <w:r w:rsidRPr="0037020B">
        <w:tab/>
      </w:r>
      <w:r>
        <w:t>References</w:t>
      </w:r>
    </w:p>
    <w:p w:rsidR="007250E9" w:rsidRPr="007E0F0B" w:rsidRDefault="007E0F0B" w:rsidP="007E0F0B">
      <w:pPr>
        <w:spacing w:line="276" w:lineRule="auto"/>
        <w:rPr>
          <w:rFonts w:ascii="Arial" w:hAnsi="Arial" w:cs="Arial"/>
          <w:bCs/>
          <w:sz w:val="20"/>
          <w:szCs w:val="20"/>
        </w:rPr>
      </w:pPr>
      <w:r w:rsidRPr="007E0F0B">
        <w:rPr>
          <w:rFonts w:ascii="Arial" w:eastAsia="DengXian" w:hAnsi="Arial" w:cs="Arial"/>
          <w:sz w:val="20"/>
          <w:szCs w:val="20"/>
          <w:lang w:eastAsia="zh-CN"/>
        </w:rPr>
        <w:t xml:space="preserve">[1] </w:t>
      </w:r>
      <w:r w:rsidRPr="007E0F0B">
        <w:rPr>
          <w:rFonts w:ascii="Arial" w:hAnsi="Arial" w:cs="Arial"/>
          <w:sz w:val="20"/>
          <w:szCs w:val="20"/>
        </w:rPr>
        <w:t xml:space="preserve">RP-252912: </w:t>
      </w:r>
      <w:r w:rsidRPr="007E0F0B">
        <w:rPr>
          <w:rFonts w:ascii="Arial" w:hAnsi="Arial" w:cs="Arial"/>
          <w:bCs/>
          <w:sz w:val="20"/>
          <w:szCs w:val="20"/>
        </w:rPr>
        <w:t>New SID: Study on 6G Radio (RAN#109)</w:t>
      </w:r>
    </w:p>
    <w:p w:rsidR="007E0F0B" w:rsidRPr="007E0F0B" w:rsidRDefault="007E0F0B" w:rsidP="007E0F0B">
      <w:pPr>
        <w:spacing w:line="276" w:lineRule="auto"/>
        <w:rPr>
          <w:rFonts w:ascii="Arial" w:eastAsia="DengXian" w:hAnsi="Arial" w:cs="Arial"/>
          <w:sz w:val="20"/>
          <w:szCs w:val="20"/>
          <w:lang w:eastAsia="zh-CN"/>
        </w:rPr>
      </w:pPr>
      <w:r w:rsidRPr="007E0F0B">
        <w:rPr>
          <w:rFonts w:ascii="Arial" w:eastAsia="DengXian" w:hAnsi="Arial" w:cs="Arial"/>
          <w:sz w:val="20"/>
          <w:szCs w:val="20"/>
          <w:lang w:eastAsia="zh-CN"/>
        </w:rPr>
        <w:t>[</w:t>
      </w:r>
      <w:r w:rsidRPr="007E0F0B">
        <w:rPr>
          <w:rFonts w:ascii="Arial" w:eastAsia="DengXian" w:hAnsi="Arial" w:cs="Arial"/>
          <w:sz w:val="20"/>
          <w:szCs w:val="20"/>
          <w:lang w:eastAsia="zh-CN"/>
        </w:rPr>
        <w:t>2</w:t>
      </w:r>
      <w:r w:rsidRPr="007E0F0B">
        <w:rPr>
          <w:rFonts w:ascii="Arial" w:eastAsia="DengXian" w:hAnsi="Arial" w:cs="Arial"/>
          <w:sz w:val="20"/>
          <w:szCs w:val="20"/>
          <w:lang w:eastAsia="zh-CN"/>
        </w:rPr>
        <w:t xml:space="preserve">] Chair Notes RAN3#129-bis </w:t>
      </w:r>
    </w:p>
    <w:p w:rsidR="007E0F0B" w:rsidRDefault="007E0F0B">
      <w:pPr>
        <w:pBdr>
          <w:top w:val="nil"/>
          <w:left w:val="nil"/>
          <w:bottom w:val="nil"/>
          <w:right w:val="nil"/>
          <w:between w:val="nil"/>
        </w:pBdr>
        <w:spacing w:after="180"/>
        <w:rPr>
          <w:rFonts w:ascii="Roboto" w:eastAsia="Roboto" w:hAnsi="Roboto" w:cs="Roboto"/>
          <w:color w:val="1F1F1F"/>
          <w:sz w:val="21"/>
          <w:szCs w:val="21"/>
          <w:highlight w:val="white"/>
        </w:rPr>
      </w:pPr>
    </w:p>
    <w:sectPr w:rsidR="007E0F0B">
      <w:headerReference w:type="default" r:id="rId10"/>
      <w:pgSz w:w="11907" w:h="16840"/>
      <w:pgMar w:top="1134" w:right="1134" w:bottom="1418" w:left="1134" w:header="680"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A34E1" w:rsidRDefault="005A34E1">
      <w:r>
        <w:separator/>
      </w:r>
    </w:p>
  </w:endnote>
  <w:endnote w:type="continuationSeparator" w:id="0">
    <w:p w:rsidR="005A34E1" w:rsidRDefault="005A3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CE30B5F-C8FE-EE47-9CC6-416AAD64A0D3}"/>
    <w:embedBold r:id="rId2" w:fontKey="{631D3CC1-8E1F-5D4B-B92B-152C3D945FB9}"/>
    <w:embedItalic r:id="rId3" w:fontKey="{FDBD633A-932A-DD48-9A4D-D593678CA6BA}"/>
    <w:embedBoldItalic r:id="rId4" w:fontKey="{E27C0B41-3806-214C-A216-974A60AA9D62}"/>
  </w:font>
  <w:font w:name="Arial">
    <w:panose1 w:val="020B0604020202020204"/>
    <w:charset w:val="00"/>
    <w:family w:val="swiss"/>
    <w:pitch w:val="variable"/>
    <w:sig w:usb0="E0002EFF" w:usb1="C000785B" w:usb2="00000009" w:usb3="00000000" w:csb0="000001FF" w:csb1="00000000"/>
    <w:embedRegular r:id="rId5" w:fontKey="{19DD30AA-E6C6-2947-94C5-34491D753D54}"/>
    <w:embedBold r:id="rId6" w:fontKey="{3F1442D3-8678-F341-88BB-C132E7A44DDF}"/>
    <w:embedItalic r:id="rId7" w:fontKey="{831B13A2-546B-9544-9747-08703F51D4ED}"/>
    <w:embedBoldItalic r:id="rId8" w:fontKey="{0D196161-FC48-304D-94D5-FB02AF90FC49}"/>
  </w:font>
  <w:font w:name="MS LineDraw">
    <w:altName w:val="Segoe Print"/>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embedRegular r:id="rId10" w:fontKey="{F4B7637E-9316-5147-A54A-4FEAE752A201}"/>
  </w:font>
  <w:font w:name="Tahoma">
    <w:panose1 w:val="020B0604030504040204"/>
    <w:charset w:val="00"/>
    <w:family w:val="swiss"/>
    <w:pitch w:val="variable"/>
    <w:sig w:usb0="E1002EFF" w:usb1="C000605B" w:usb2="00000029" w:usb3="00000000" w:csb0="000101FF" w:csb1="00000000"/>
    <w:embedRegular r:id="rId11" w:fontKey="{A1E6283F-4CB4-0847-8DC1-7B8C61EA5F9C}"/>
  </w:font>
  <w:font w:name="Georgia">
    <w:panose1 w:val="02040502050405020303"/>
    <w:charset w:val="00"/>
    <w:family w:val="roman"/>
    <w:pitch w:val="variable"/>
    <w:sig w:usb0="00000287" w:usb1="00000000" w:usb2="00000000" w:usb3="00000000" w:csb0="0000009F" w:csb1="00000000"/>
    <w:embedRegular r:id="rId12" w:fontKey="{842A34DC-F2D3-FD4E-A413-5BE127353948}"/>
    <w:embedItalic r:id="rId13" w:fontKey="{F67056D6-AB06-8D49-8963-7EA9C876BB6A}"/>
  </w:font>
  <w:font w:name="Roboto">
    <w:panose1 w:val="02000000000000000000"/>
    <w:charset w:val="00"/>
    <w:family w:val="auto"/>
    <w:pitch w:val="variable"/>
    <w:sig w:usb0="E0000AFF" w:usb1="5000217F" w:usb2="00000021" w:usb3="00000000" w:csb0="0000019F" w:csb1="00000000"/>
    <w:embedRegular r:id="rId14" w:fontKey="{25574ED8-00B9-C84E-8823-A907370676E5}"/>
    <w:embedBold r:id="rId15" w:fontKey="{7B7E79F3-FA7E-B440-A8FE-DFED39F1DCA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16" w:fontKey="{56C3EFF0-A969-5847-B542-67BB710A7642}"/>
  </w:font>
  <w:font w:name="Calibri">
    <w:panose1 w:val="020F0502020204030204"/>
    <w:charset w:val="00"/>
    <w:family w:val="swiss"/>
    <w:pitch w:val="variable"/>
    <w:sig w:usb0="E4002EFF" w:usb1="C200247B" w:usb2="00000009" w:usb3="00000000" w:csb0="000001FF" w:csb1="00000000"/>
    <w:embedRegular r:id="rId17" w:fontKey="{73AA4AA2-2B2C-7C4A-9510-7CC9AEBE9FF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A34E1" w:rsidRDefault="005A34E1">
      <w:r>
        <w:separator/>
      </w:r>
    </w:p>
  </w:footnote>
  <w:footnote w:type="continuationSeparator" w:id="0">
    <w:p w:rsidR="005A34E1" w:rsidRDefault="005A3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250E9" w:rsidRDefault="00000000">
    <w:pPr>
      <w:widowControl w:val="0"/>
      <w:pBdr>
        <w:top w:val="nil"/>
        <w:left w:val="nil"/>
        <w:bottom w:val="nil"/>
        <w:right w:val="nil"/>
        <w:between w:val="nil"/>
      </w:pBdr>
      <w:tabs>
        <w:tab w:val="right" w:pos="9639"/>
      </w:tabs>
      <w:rPr>
        <w:rFonts w:ascii="Arial" w:eastAsia="Arial" w:hAnsi="Arial" w:cs="Arial"/>
        <w:b/>
        <w:color w:val="000000"/>
        <w:sz w:val="18"/>
        <w:szCs w:val="18"/>
      </w:rPr>
    </w:pPr>
    <w:r>
      <w:rPr>
        <w:rFonts w:ascii="Arial" w:eastAsia="Arial" w:hAnsi="Arial" w:cs="Arial"/>
        <w:b/>
        <w:color w:val="000000"/>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4E5C9D"/>
    <w:multiLevelType w:val="multilevel"/>
    <w:tmpl w:val="591035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38E7EAD"/>
    <w:multiLevelType w:val="multilevel"/>
    <w:tmpl w:val="06B21A26"/>
    <w:lvl w:ilvl="0">
      <w:start w:val="6"/>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4ACE759B"/>
    <w:multiLevelType w:val="multilevel"/>
    <w:tmpl w:val="0462A1A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34621815">
    <w:abstractNumId w:val="0"/>
  </w:num>
  <w:num w:numId="2" w16cid:durableId="63576082">
    <w:abstractNumId w:val="2"/>
  </w:num>
  <w:num w:numId="3" w16cid:durableId="3015417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50E9"/>
    <w:rsid w:val="00083FF6"/>
    <w:rsid w:val="0037020B"/>
    <w:rsid w:val="005A34E1"/>
    <w:rsid w:val="007250E9"/>
    <w:rsid w:val="007E0F0B"/>
    <w:rsid w:val="00B40A18"/>
    <w:rsid w:val="00CC1B48"/>
    <w:rsid w:val="00FC00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CF3B52"/>
  <w15:docId w15:val="{E1D6E891-DEC4-2D4F-9ABC-620904581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after="18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semiHidden/>
    <w:unhideWhenUsed/>
    <w:qFormat/>
    <w:pPr>
      <w:keepNext/>
      <w:keepLines/>
      <w:pBdr>
        <w:top w:val="none" w:sz="0" w:space="0" w:color="000000"/>
        <w:left w:val="nil"/>
        <w:bottom w:val="nil"/>
        <w:right w:val="nil"/>
        <w:between w:val="nil"/>
      </w:pBdr>
      <w:spacing w:before="180" w:after="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after="18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after="180"/>
      <w:ind w:left="1418" w:hanging="1418"/>
      <w:outlineLvl w:val="3"/>
    </w:pPr>
    <w:rPr>
      <w:rFonts w:ascii="Arial" w:eastAsia="Arial" w:hAnsi="Arial" w:cs="Arial"/>
      <w:color w:val="000000"/>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after="18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after="180"/>
      <w:ind w:left="1985" w:hanging="1985"/>
      <w:outlineLvl w:val="5"/>
    </w:pPr>
    <w:rPr>
      <w:rFonts w:ascii="Arial" w:eastAsia="Arial" w:hAnsi="Arial" w:cs="Arial"/>
      <w:color w:val="000000"/>
      <w:sz w:val="20"/>
      <w:szCs w:val="20"/>
    </w:r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pPr>
    <w:rPr>
      <w:sz w:val="20"/>
      <w:szCs w:val="20"/>
    </w:rPr>
  </w:style>
  <w:style w:type="paragraph" w:customStyle="1" w:styleId="ZH">
    <w:name w:val="ZH"/>
    <w:pPr>
      <w:framePr w:wrap="notBeside" w:vAnchor="page" w:hAnchor="margin" w:xAlign="center" w:y="6805"/>
      <w:widowControl w:val="0"/>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rPr>
  </w:style>
  <w:style w:type="character" w:styleId="FootnoteReference">
    <w:name w:val="footnote reference"/>
    <w:rPr>
      <w:b/>
      <w:position w:val="6"/>
      <w:sz w:val="16"/>
    </w:rPr>
  </w:style>
  <w:style w:type="paragraph" w:styleId="FootnoteText">
    <w:name w:val="footnote text"/>
    <w:basedOn w:val="Normal"/>
    <w:link w:val="FootnoteTextChar"/>
    <w:pPr>
      <w:keepLines/>
      <w:ind w:left="454" w:hanging="454"/>
    </w:pPr>
    <w:rPr>
      <w:sz w:val="16"/>
      <w:szCs w:val="20"/>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spacing w:after="180"/>
      <w:ind w:left="1135" w:hanging="851"/>
    </w:pPr>
    <w:rPr>
      <w:sz w:val="20"/>
      <w:szCs w:val="20"/>
    </w:rPr>
  </w:style>
  <w:style w:type="paragraph" w:styleId="TOC9">
    <w:name w:val="toc 9"/>
    <w:basedOn w:val="TOC8"/>
    <w:pPr>
      <w:ind w:left="1418" w:hanging="1418"/>
    </w:pPr>
  </w:style>
  <w:style w:type="paragraph" w:customStyle="1" w:styleId="EX">
    <w:name w:val="EX"/>
    <w:basedOn w:val="Normal"/>
    <w:link w:val="EXChar"/>
    <w:pPr>
      <w:keepLines/>
      <w:spacing w:after="180"/>
      <w:ind w:left="1702" w:hanging="1418"/>
    </w:pPr>
    <w:rPr>
      <w:sz w:val="20"/>
      <w:szCs w:val="20"/>
    </w:rPr>
  </w:style>
  <w:style w:type="paragraph" w:customStyle="1" w:styleId="FP">
    <w:name w:val="FP"/>
    <w:basedOn w:val="Normal"/>
    <w:rPr>
      <w:sz w:val="20"/>
      <w:szCs w:val="20"/>
    </w:rPr>
  </w:style>
  <w:style w:type="paragraph" w:customStyle="1" w:styleId="LD">
    <w:name w:val="LD"/>
    <w:pPr>
      <w:keepNext/>
      <w:keepLines/>
      <w:spacing w:line="180" w:lineRule="exact"/>
    </w:pPr>
    <w:rPr>
      <w:rFonts w:ascii="MS LineDraw" w:hAnsi="MS LineDra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spacing w:after="180"/>
    </w:pPr>
    <w:rPr>
      <w:noProof/>
      <w:sz w:val="20"/>
      <w:szCs w:val="20"/>
    </w:rPr>
  </w:style>
  <w:style w:type="paragraph" w:customStyle="1" w:styleId="TH">
    <w:name w:val="TH"/>
    <w:basedOn w:val="Normal"/>
    <w:link w:val="THChar"/>
    <w:pPr>
      <w:keepNext/>
      <w:keepLines/>
      <w:spacing w:before="60" w:after="180"/>
      <w:jc w:val="center"/>
    </w:pPr>
    <w:rPr>
      <w:rFonts w:ascii="Arial" w:hAnsi="Arial"/>
      <w:b/>
      <w:sz w:val="20"/>
      <w:szCs w:val="20"/>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pPr>
    <w:rPr>
      <w:rFonts w:ascii="Arial" w:hAnsi="Arial"/>
      <w:sz w:val="18"/>
      <w:szCs w:val="2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D">
    <w:name w:val="ZD"/>
    <w:pPr>
      <w:framePr w:wrap="notBeside" w:vAnchor="page" w:hAnchor="margin" w:y="15764"/>
      <w:widowControl w:val="0"/>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pPr>
      <w:spacing w:after="180"/>
      <w:ind w:left="568" w:hanging="284"/>
    </w:pPr>
    <w:rPr>
      <w:sz w:val="20"/>
      <w:szCs w:val="20"/>
    </w:r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rPr>
  </w:style>
  <w:style w:type="paragraph" w:customStyle="1" w:styleId="tdoc-header">
    <w:name w:val="tdoc-header"/>
    <w:rPr>
      <w:rFonts w:ascii="Arial" w:hAnsi="Arial"/>
      <w:noProof/>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pPr>
      <w:spacing w:after="180"/>
    </w:pPr>
    <w:rPr>
      <w:sz w:val="20"/>
      <w:szCs w:val="20"/>
    </w:rPr>
  </w:style>
  <w:style w:type="character" w:styleId="FollowedHyperlink">
    <w:name w:val="FollowedHyperlink"/>
    <w:rPr>
      <w:color w:val="800080"/>
      <w:u w:val="single"/>
    </w:rPr>
  </w:style>
  <w:style w:type="paragraph" w:styleId="BalloonText">
    <w:name w:val="Balloon Text"/>
    <w:basedOn w:val="Normal"/>
    <w:link w:val="BalloonTextChar"/>
    <w:pPr>
      <w:spacing w:after="180"/>
    </w:pP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spacing w:after="180"/>
    </w:pPr>
    <w:rPr>
      <w:rFonts w:ascii="Tahoma" w:hAnsi="Tahoma" w:cs="Tahoma"/>
      <w:sz w:val="20"/>
      <w:szCs w:val="20"/>
    </w:rPr>
  </w:style>
  <w:style w:type="paragraph" w:customStyle="1" w:styleId="FirstChange">
    <w:name w:val="First Change"/>
    <w:basedOn w:val="Normal"/>
    <w:rsid w:val="00D104E0"/>
    <w:pPr>
      <w:spacing w:after="180"/>
      <w:jc w:val="center"/>
    </w:pPr>
    <w:rPr>
      <w:color w:val="FF0000"/>
      <w:sz w:val="20"/>
      <w:szCs w:val="20"/>
    </w:rPr>
  </w:style>
  <w:style w:type="character" w:customStyle="1" w:styleId="HeaderChar">
    <w:name w:val="Header Char"/>
    <w:aliases w:val="header odd Char"/>
    <w:link w:val="Header"/>
    <w:rsid w:val="00EE0733"/>
    <w:rPr>
      <w:rFonts w:ascii="Arial" w:hAnsi="Arial"/>
      <w:b/>
      <w:noProof/>
      <w:sz w:val="18"/>
      <w:lang w:eastAsia="en-US"/>
    </w:rPr>
  </w:style>
  <w:style w:type="paragraph" w:customStyle="1" w:styleId="a">
    <w:name w:val="a"/>
    <w:basedOn w:val="CRCoverPage"/>
    <w:rsid w:val="00EE0733"/>
    <w:pPr>
      <w:tabs>
        <w:tab w:val="left" w:pos="1985"/>
      </w:tabs>
    </w:pPr>
    <w:rPr>
      <w:rFonts w:cs="Arial"/>
      <w:b/>
      <w:bCs/>
      <w:color w:val="000000"/>
      <w:lang w:val="en-US"/>
    </w:rPr>
  </w:style>
  <w:style w:type="paragraph" w:customStyle="1" w:styleId="Discussion">
    <w:name w:val="Discussion"/>
    <w:basedOn w:val="Normal"/>
    <w:rsid w:val="00EE0733"/>
    <w:pPr>
      <w:spacing w:after="180"/>
    </w:pPr>
    <w:rPr>
      <w:rFonts w:ascii="Arial" w:hAnsi="Arial" w:cs="Arial"/>
      <w:sz w:val="20"/>
      <w:szCs w:val="20"/>
    </w:rPr>
  </w:style>
  <w:style w:type="character" w:customStyle="1" w:styleId="TALChar">
    <w:name w:val="TAL Char"/>
    <w:link w:val="TAL"/>
    <w:rsid w:val="00262C39"/>
    <w:rPr>
      <w:rFonts w:ascii="Arial" w:hAnsi="Arial"/>
      <w:sz w:val="18"/>
      <w:lang w:val="en-GB"/>
    </w:rPr>
  </w:style>
  <w:style w:type="character" w:customStyle="1" w:styleId="TACChar">
    <w:name w:val="TAC Char"/>
    <w:link w:val="TAC"/>
    <w:rsid w:val="00262C39"/>
    <w:rPr>
      <w:rFonts w:ascii="Arial" w:hAnsi="Arial"/>
      <w:sz w:val="18"/>
      <w:lang w:val="en-GB"/>
    </w:rPr>
  </w:style>
  <w:style w:type="character" w:customStyle="1" w:styleId="TAHChar">
    <w:name w:val="TAH Char"/>
    <w:link w:val="TAH"/>
    <w:rsid w:val="00262C39"/>
    <w:rPr>
      <w:rFonts w:ascii="Arial" w:hAnsi="Arial"/>
      <w:b/>
      <w:sz w:val="18"/>
      <w:lang w:val="en-GB"/>
    </w:rPr>
  </w:style>
  <w:style w:type="character" w:customStyle="1" w:styleId="Heading4Char">
    <w:name w:val="Heading 4 Char"/>
    <w:link w:val="Heading4"/>
    <w:rsid w:val="00262C39"/>
    <w:rPr>
      <w:rFonts w:ascii="Arial" w:hAnsi="Arial"/>
      <w:sz w:val="24"/>
      <w:lang w:val="en-GB"/>
    </w:rPr>
  </w:style>
  <w:style w:type="character" w:customStyle="1" w:styleId="BalloonTextChar">
    <w:name w:val="Balloon Text Char"/>
    <w:link w:val="BalloonText"/>
    <w:rsid w:val="00520062"/>
    <w:rPr>
      <w:rFonts w:ascii="Tahoma" w:hAnsi="Tahoma" w:cs="Tahoma"/>
      <w:sz w:val="16"/>
      <w:szCs w:val="16"/>
      <w:lang w:val="en-GB"/>
    </w:rPr>
  </w:style>
  <w:style w:type="character" w:customStyle="1" w:styleId="Heading3Char">
    <w:name w:val="Heading 3 Char"/>
    <w:link w:val="Heading3"/>
    <w:rsid w:val="00520062"/>
    <w:rPr>
      <w:rFonts w:ascii="Arial" w:hAnsi="Arial"/>
      <w:sz w:val="28"/>
      <w:lang w:val="en-GB"/>
    </w:rPr>
  </w:style>
  <w:style w:type="character" w:customStyle="1" w:styleId="Heading6Char">
    <w:name w:val="Heading 6 Char"/>
    <w:link w:val="Heading6"/>
    <w:rsid w:val="00520062"/>
    <w:rPr>
      <w:rFonts w:ascii="Arial" w:hAnsi="Arial"/>
      <w:lang w:val="en-GB"/>
    </w:rPr>
  </w:style>
  <w:style w:type="character" w:customStyle="1" w:styleId="FooterChar">
    <w:name w:val="Footer Char"/>
    <w:link w:val="Footer"/>
    <w:rsid w:val="00520062"/>
    <w:rPr>
      <w:rFonts w:ascii="Arial" w:hAnsi="Arial"/>
      <w:b/>
      <w:i/>
      <w:noProof/>
      <w:sz w:val="18"/>
      <w:lang w:val="en-GB"/>
    </w:rPr>
  </w:style>
  <w:style w:type="character" w:customStyle="1" w:styleId="NOChar">
    <w:name w:val="NO Char"/>
    <w:link w:val="NO"/>
    <w:rsid w:val="00520062"/>
    <w:rPr>
      <w:rFonts w:ascii="Times New Roman" w:hAnsi="Times New Roman"/>
      <w:lang w:val="en-GB"/>
    </w:rPr>
  </w:style>
  <w:style w:type="character" w:customStyle="1" w:styleId="PLChar">
    <w:name w:val="PL Char"/>
    <w:link w:val="PL"/>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
    <w:rsid w:val="00520062"/>
    <w:rPr>
      <w:rFonts w:ascii="Times New Roman" w:hAnsi="Times New Roman"/>
      <w:lang w:val="en-GB"/>
    </w:rPr>
  </w:style>
  <w:style w:type="character" w:customStyle="1" w:styleId="EditorsNoteChar">
    <w:name w:val="Editor's Note Char"/>
    <w:link w:val="EditorsNote"/>
    <w:rsid w:val="00520062"/>
    <w:rPr>
      <w:rFonts w:ascii="Times New Roman" w:hAnsi="Times New Roman"/>
      <w:color w:val="FF0000"/>
      <w:lang w:val="en-GB"/>
    </w:rPr>
  </w:style>
  <w:style w:type="character" w:customStyle="1" w:styleId="THChar">
    <w:name w:val="TH Char"/>
    <w:link w:val="TH"/>
    <w:rsid w:val="00520062"/>
    <w:rPr>
      <w:rFonts w:ascii="Arial" w:hAnsi="Arial"/>
      <w:b/>
      <w:lang w:val="en-GB"/>
    </w:rPr>
  </w:style>
  <w:style w:type="character" w:customStyle="1" w:styleId="TFChar">
    <w:name w:val="TF Char"/>
    <w:link w:val="TF"/>
    <w:rsid w:val="00520062"/>
    <w:rPr>
      <w:rFonts w:ascii="Arial" w:hAnsi="Arial"/>
      <w:b/>
      <w:lang w:val="en-GB"/>
    </w:rPr>
  </w:style>
  <w:style w:type="character" w:customStyle="1" w:styleId="B2Char">
    <w:name w:val="B2 Char"/>
    <w:link w:val="B2"/>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Normal"/>
    <w:rsid w:val="00520062"/>
    <w:pPr>
      <w:overflowPunct w:val="0"/>
      <w:autoSpaceDE w:val="0"/>
      <w:autoSpaceDN w:val="0"/>
      <w:adjustRightInd w:val="0"/>
      <w:spacing w:after="180"/>
      <w:textAlignment w:val="baseline"/>
    </w:pPr>
    <w:rPr>
      <w:i/>
      <w:color w:val="0000FF"/>
      <w:sz w:val="20"/>
      <w:szCs w:val="20"/>
    </w:rPr>
  </w:style>
  <w:style w:type="paragraph" w:styleId="Revision">
    <w:name w:val="Revision"/>
    <w:hidden/>
    <w:uiPriority w:val="99"/>
    <w:semiHidden/>
    <w:rsid w:val="00520062"/>
  </w:style>
  <w:style w:type="character" w:styleId="Mention">
    <w:name w:val="Mention"/>
    <w:uiPriority w:val="99"/>
    <w:semiHidden/>
    <w:unhideWhenUsed/>
    <w:rsid w:val="00520062"/>
    <w:rPr>
      <w:color w:val="2B579A"/>
      <w:shd w:val="clear" w:color="auto" w:fill="E6E6E6"/>
    </w:rPr>
  </w:style>
  <w:style w:type="character" w:customStyle="1" w:styleId="FootnoteTextChar">
    <w:name w:val="Footnote Text Char"/>
    <w:link w:val="FootnoteText"/>
    <w:rsid w:val="00520062"/>
    <w:rPr>
      <w:rFonts w:ascii="Times New Roman" w:hAnsi="Times New Roman"/>
      <w:sz w:val="16"/>
      <w:lang w:val="en-GB"/>
    </w:rPr>
  </w:style>
  <w:style w:type="character" w:customStyle="1" w:styleId="CommentTextChar">
    <w:name w:val="Comment Text Char"/>
    <w:link w:val="CommentText"/>
    <w:rsid w:val="00520062"/>
    <w:rPr>
      <w:rFonts w:ascii="Times New Roman" w:hAnsi="Times New Roman"/>
      <w:lang w:val="en-GB"/>
    </w:rPr>
  </w:style>
  <w:style w:type="character" w:customStyle="1" w:styleId="CommentSubjectChar">
    <w:name w:val="Comment Subject Char"/>
    <w:link w:val="CommentSubject"/>
    <w:rsid w:val="00520062"/>
    <w:rPr>
      <w:rFonts w:ascii="Times New Roman" w:hAnsi="Times New Roman"/>
      <w:b/>
      <w:bCs/>
      <w:lang w:val="en-GB"/>
    </w:rPr>
  </w:style>
  <w:style w:type="character" w:customStyle="1" w:styleId="DocumentMapChar">
    <w:name w:val="Document Map Char"/>
    <w:link w:val="DocumentMap"/>
    <w:rsid w:val="00520062"/>
    <w:rPr>
      <w:rFonts w:ascii="Tahoma" w:hAnsi="Tahoma" w:cs="Tahoma"/>
      <w:shd w:val="clear" w:color="auto" w:fill="000080"/>
      <w:lang w:val="en-GB"/>
    </w:rPr>
  </w:style>
  <w:style w:type="paragraph" w:customStyle="1" w:styleId="DiscussonB1">
    <w:name w:val="Discusson B1"/>
    <w:basedOn w:val="Discussion"/>
    <w:rsid w:val="004839DB"/>
    <w:pPr>
      <w:ind w:left="567" w:hanging="283"/>
    </w:pPr>
  </w:style>
  <w:style w:type="paragraph" w:customStyle="1" w:styleId="DiscussionB2">
    <w:name w:val="Discussion B2"/>
    <w:basedOn w:val="DiscussonB1"/>
    <w:rsid w:val="004839DB"/>
    <w:pPr>
      <w:ind w:left="851"/>
    </w:pPr>
  </w:style>
  <w:style w:type="character" w:styleId="UnresolvedMention">
    <w:name w:val="Unresolved Mention"/>
    <w:basedOn w:val="DefaultParagraphFont"/>
    <w:uiPriority w:val="99"/>
    <w:semiHidden/>
    <w:unhideWhenUsed/>
    <w:rsid w:val="00E0286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PsDgNcrane0fg2qXM1XOckZXkQ==">CgMxLjAyDmguZ3NtOXkxcDUxNG5uMg5oLjkyeHNxZHNkbXpvODgAciExNVZ0bTJ3aXZlbVJoX1ZWMnBzNm5Db0NSOE4zQkQtRW0=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1077</Words>
  <Characters>6140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Sanders, John M Meredith</dc:creator>
  <cp:lastModifiedBy>Maria Lam</cp:lastModifiedBy>
  <cp:revision>2</cp:revision>
  <dcterms:created xsi:type="dcterms:W3CDTF">2025-11-07T02:36:00Z</dcterms:created>
  <dcterms:modified xsi:type="dcterms:W3CDTF">2025-11-07T02:36:00Z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