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schedulingRequestID-BFR-SCell</w:t>
                  </w:r>
                  <w:r w:rsidRPr="007909F7">
                    <w:rPr>
                      <w:rFonts w:ascii="Times New Roman" w:eastAsia="SimSun" w:hAnsi="Times New Roman" w:cs="Times New Roman"/>
                      <w:szCs w:val="20"/>
                      <w:lang w:val="x-none" w:eastAsia="en-US"/>
                    </w:rPr>
                    <w:t xml:space="preserve">,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r w:rsidRPr="007909F7">
                    <w:rPr>
                      <w:rFonts w:ascii="Times New Roman" w:eastAsia="SimSun" w:hAnsi="Times New Roman" w:cs="Times New Roman"/>
                      <w:iCs/>
                      <w:szCs w:val="20"/>
                      <w:lang w:val="x-none" w:eastAsia="en-US"/>
                    </w:rPr>
                    <w:t>twoLRRcapability</w:t>
                  </w:r>
                  <w:r w:rsidRPr="007909F7">
                    <w:rPr>
                      <w:rFonts w:ascii="Times New Roman" w:eastAsia="SimSun" w:hAnsi="Times New Roman" w:cs="Times New Roman"/>
                      <w:szCs w:val="20"/>
                      <w:lang w:val="x-none" w:eastAsia="en-US"/>
                    </w:rPr>
                    <w:t xml:space="preserve">, and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schedulingRequestID-LBT-SCell</w:t>
                  </w:r>
                  <w:r w:rsidRPr="007909F7">
                    <w:rPr>
                      <w:rFonts w:ascii="Times New Roman" w:eastAsia="SimSun"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3E63891B" w14:textId="0DBF3688" w:rsidR="00E82F43" w:rsidRPr="003D30FC"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lastRenderedPageBreak/>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ListParagraph"/>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SimSun" w:hint="eastAsia"/>
                <w:lang w:eastAsia="zh-CN"/>
              </w:rPr>
              <w:t>Sharp</w:t>
            </w:r>
          </w:p>
        </w:tc>
        <w:tc>
          <w:tcPr>
            <w:tcW w:w="1800" w:type="dxa"/>
          </w:tcPr>
          <w:p w14:paraId="265E27EE" w14:textId="3EC24B9A" w:rsidR="00715947" w:rsidRDefault="00715947" w:rsidP="00715947">
            <w:pPr>
              <w:rPr>
                <w:lang w:eastAsia="zh-TW"/>
              </w:rPr>
            </w:pPr>
            <w:r>
              <w:rPr>
                <w:rFonts w:eastAsia="SimSun" w:hint="eastAsia"/>
                <w:lang w:eastAsia="zh-CN"/>
              </w:rPr>
              <w:t>N</w:t>
            </w:r>
            <w:r>
              <w:rPr>
                <w:rFonts w:eastAsia="SimSun"/>
                <w:lang w:eastAsia="zh-CN"/>
              </w:rPr>
              <w:t>o</w:t>
            </w:r>
          </w:p>
        </w:tc>
        <w:tc>
          <w:tcPr>
            <w:tcW w:w="6116" w:type="dxa"/>
          </w:tcPr>
          <w:p w14:paraId="4CE81999" w14:textId="77777777" w:rsidR="00715947" w:rsidRDefault="00715947" w:rsidP="00715947">
            <w:pPr>
              <w:pStyle w:val="ListParagraph"/>
              <w:ind w:left="360"/>
              <w:rPr>
                <w:rFonts w:eastAsia="SimSun"/>
                <w:lang w:eastAsia="zh-CN"/>
              </w:rPr>
            </w:pPr>
            <w:r>
              <w:rPr>
                <w:rFonts w:eastAsia="SimSun" w:hint="eastAsia"/>
                <w:lang w:eastAsia="zh-CN"/>
              </w:rPr>
              <w:t>I</w:t>
            </w:r>
            <w:r>
              <w:rPr>
                <w:rFonts w:eastAsia="SimSun"/>
                <w:lang w:eastAsia="zh-CN"/>
              </w:rPr>
              <w:t xml:space="preserve">t is preferred that </w:t>
            </w:r>
            <w:r w:rsidRPr="00D00CB2">
              <w:rPr>
                <w:rFonts w:eastAsia="SimSun"/>
                <w:lang w:eastAsia="zh-CN"/>
              </w:rPr>
              <w:t>UE does not transmit UEIRI on PUCCH</w:t>
            </w:r>
            <w:r>
              <w:rPr>
                <w:rFonts w:eastAsia="SimSun"/>
                <w:lang w:eastAsia="zh-CN"/>
              </w:rPr>
              <w:t xml:space="preserve"> </w:t>
            </w:r>
            <w:r>
              <w:rPr>
                <w:rFonts w:eastAsia="SimSun" w:hint="eastAsia"/>
                <w:lang w:eastAsia="zh-CN"/>
              </w:rPr>
              <w:t>since</w:t>
            </w:r>
            <w:r>
              <w:rPr>
                <w:rFonts w:eastAsia="SimSun"/>
                <w:lang w:eastAsia="zh-CN"/>
              </w:rPr>
              <w:t xml:space="preserve"> the report could not be transmitted.</w:t>
            </w:r>
          </w:p>
          <w:p w14:paraId="052E9215" w14:textId="31D6C036" w:rsidR="007957EB" w:rsidRPr="007957EB" w:rsidRDefault="007957EB" w:rsidP="00715947">
            <w:pPr>
              <w:pStyle w:val="ListParagraph"/>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SimSun"/>
                <w:lang w:eastAsia="zh-CN"/>
              </w:rPr>
            </w:pPr>
            <w:r>
              <w:rPr>
                <w:rFonts w:eastAsia="SimSun" w:hint="eastAsia"/>
                <w:lang w:eastAsia="zh-CN"/>
              </w:rPr>
              <w:lastRenderedPageBreak/>
              <w:t>OPPO</w:t>
            </w:r>
          </w:p>
        </w:tc>
        <w:tc>
          <w:tcPr>
            <w:tcW w:w="1800" w:type="dxa"/>
          </w:tcPr>
          <w:p w14:paraId="00BDEE4A" w14:textId="796E0FF7" w:rsidR="009477CB" w:rsidRDefault="005D5545" w:rsidP="00715947">
            <w:pPr>
              <w:rPr>
                <w:rFonts w:eastAsia="SimSun"/>
                <w:lang w:eastAsia="zh-CN"/>
              </w:rPr>
            </w:pPr>
            <w:r>
              <w:rPr>
                <w:rFonts w:eastAsia="SimSun"/>
                <w:lang w:eastAsia="zh-CN"/>
              </w:rPr>
              <w:t>Maybe No</w:t>
            </w:r>
          </w:p>
        </w:tc>
        <w:tc>
          <w:tcPr>
            <w:tcW w:w="6116" w:type="dxa"/>
          </w:tcPr>
          <w:p w14:paraId="116B3FFD" w14:textId="66B554F1" w:rsidR="009477CB" w:rsidRPr="00BC57CB" w:rsidRDefault="00BC57CB" w:rsidP="00BC57CB">
            <w:pPr>
              <w:rPr>
                <w:rFonts w:eastAsia="SimSun"/>
                <w:lang w:eastAsia="zh-CN"/>
              </w:rPr>
            </w:pPr>
            <w:r>
              <w:rPr>
                <w:rFonts w:eastAsia="SimSun"/>
                <w:lang w:eastAsia="zh-CN"/>
              </w:rPr>
              <w:t xml:space="preserve">We understand that the PUCCH resource can be shared. However, if the PUCCH and PUSCH resource are configured in different TAGs, this causes lots of problem in RAN2. </w:t>
            </w:r>
            <w:r>
              <w:rPr>
                <w:rFonts w:eastAsia="SimSun" w:hint="eastAsia"/>
                <w:lang w:eastAsia="zh-CN"/>
              </w:rPr>
              <w:t>I</w:t>
            </w:r>
            <w:r>
              <w:rPr>
                <w:rFonts w:eastAsia="SimSun"/>
                <w:lang w:eastAsia="zh-CN"/>
              </w:rPr>
              <w:t>t is probably better to have aligned UE behaviors for all cases</w:t>
            </w:r>
            <w:r w:rsidR="00016D2F">
              <w:rPr>
                <w:rFonts w:eastAsia="SimSun"/>
                <w:lang w:eastAsia="zh-CN"/>
              </w:rPr>
              <w:t>, i.e. if one UL is stopped, the other associated UL should be stopped as well</w:t>
            </w:r>
            <w:r>
              <w:rPr>
                <w:rFonts w:eastAsia="SimSun"/>
                <w:lang w:eastAsia="zh-CN"/>
              </w:rPr>
              <w:t>. As such</w:t>
            </w:r>
            <w:r w:rsidR="005D345F">
              <w:rPr>
                <w:rFonts w:eastAsia="SimSun"/>
                <w:lang w:eastAsia="zh-CN"/>
              </w:rPr>
              <w:t>,</w:t>
            </w:r>
            <w:r>
              <w:rPr>
                <w:rFonts w:eastAsia="SimSun"/>
                <w:lang w:eastAsia="zh-CN"/>
              </w:rPr>
              <w:t xml:space="preserve"> having dedicated PUCCH resource for beam report seems to be </w:t>
            </w:r>
            <w:r w:rsidR="005D345F">
              <w:rPr>
                <w:rFonts w:eastAsia="SimSun"/>
                <w:lang w:eastAsia="zh-CN"/>
              </w:rPr>
              <w:t xml:space="preserve">a </w:t>
            </w:r>
            <w:r>
              <w:rPr>
                <w:rFonts w:eastAsia="SimSun"/>
                <w:lang w:eastAsia="zh-CN"/>
              </w:rPr>
              <w:t xml:space="preserve">warning letter to the problematic scenario that </w:t>
            </w:r>
            <w:r w:rsidR="00EB57DA">
              <w:rPr>
                <w:rFonts w:eastAsia="SimSun"/>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SimSun"/>
                <w:lang w:eastAsia="zh-CN"/>
              </w:rPr>
            </w:pPr>
            <w:r>
              <w:rPr>
                <w:rFonts w:eastAsia="SimSun"/>
                <w:lang w:eastAsia="zh-CN"/>
              </w:rPr>
              <w:t>Ericsson</w:t>
            </w:r>
          </w:p>
        </w:tc>
        <w:tc>
          <w:tcPr>
            <w:tcW w:w="1800" w:type="dxa"/>
          </w:tcPr>
          <w:p w14:paraId="21D13D3D" w14:textId="77777777" w:rsidR="000901D3" w:rsidRDefault="000901D3" w:rsidP="008E1C92">
            <w:pPr>
              <w:rPr>
                <w:rFonts w:eastAsia="SimSun"/>
                <w:lang w:eastAsia="zh-CN"/>
              </w:rPr>
            </w:pPr>
            <w:r>
              <w:rPr>
                <w:rFonts w:eastAsia="SimSun"/>
                <w:lang w:eastAsia="zh-CN"/>
              </w:rPr>
              <w:t>No</w:t>
            </w:r>
          </w:p>
        </w:tc>
        <w:tc>
          <w:tcPr>
            <w:tcW w:w="6116" w:type="dxa"/>
          </w:tcPr>
          <w:p w14:paraId="73271769" w14:textId="77777777" w:rsidR="000901D3" w:rsidRPr="00D85971" w:rsidRDefault="000901D3" w:rsidP="008E1C92">
            <w:pPr>
              <w:rPr>
                <w:rFonts w:eastAsia="SimSun"/>
                <w:lang w:eastAsia="zh-CN"/>
              </w:rPr>
            </w:pPr>
            <w:r>
              <w:rPr>
                <w:rFonts w:eastAsia="SimSun"/>
                <w:lang w:eastAsia="zh-CN"/>
              </w:rPr>
              <w:t>Although not a strong opinion, we think the point brought by Ofinno/Asustek is valid.</w:t>
            </w:r>
          </w:p>
        </w:tc>
      </w:tr>
      <w:tr w:rsidR="00113526" w14:paraId="24158092" w14:textId="77777777" w:rsidTr="00657F0D">
        <w:tc>
          <w:tcPr>
            <w:tcW w:w="1705" w:type="dxa"/>
          </w:tcPr>
          <w:p w14:paraId="3172C9C9" w14:textId="77777777" w:rsidR="00113526" w:rsidRDefault="00113526" w:rsidP="00657F0D">
            <w:pPr>
              <w:rPr>
                <w:rFonts w:eastAsia="SimSun"/>
                <w:lang w:eastAsia="zh-CN"/>
              </w:rPr>
            </w:pPr>
            <w:r>
              <w:rPr>
                <w:rFonts w:eastAsia="SimSun"/>
                <w:lang w:eastAsia="zh-CN"/>
              </w:rPr>
              <w:t>ZTE</w:t>
            </w:r>
          </w:p>
        </w:tc>
        <w:tc>
          <w:tcPr>
            <w:tcW w:w="1800" w:type="dxa"/>
          </w:tcPr>
          <w:p w14:paraId="1BB3EBCE" w14:textId="77777777" w:rsidR="00113526" w:rsidRPr="00C353E7" w:rsidRDefault="00113526" w:rsidP="00657F0D">
            <w:pPr>
              <w:rPr>
                <w:lang w:val="en-GB" w:eastAsia="zh-CN"/>
              </w:rPr>
            </w:pPr>
            <w:r w:rsidRPr="00C353E7">
              <w:rPr>
                <w:lang w:val="en-GB" w:eastAsia="zh-CN"/>
              </w:rPr>
              <w:t>Yes</w:t>
            </w:r>
          </w:p>
        </w:tc>
        <w:tc>
          <w:tcPr>
            <w:tcW w:w="6116" w:type="dxa"/>
          </w:tcPr>
          <w:p w14:paraId="6069F1C2" w14:textId="77777777" w:rsidR="00113526" w:rsidRDefault="00113526" w:rsidP="00657F0D">
            <w:pPr>
              <w:rPr>
                <w:lang w:val="en-GB" w:eastAsia="zh-CN"/>
              </w:rPr>
            </w:pPr>
            <w:r>
              <w:rPr>
                <w:lang w:val="en-GB" w:eastAsia="zh-CN"/>
              </w:rPr>
              <w:t>For the comments to the option with release PUCCH resource</w:t>
            </w:r>
          </w:p>
          <w:p w14:paraId="5B6C9AF5" w14:textId="77777777" w:rsidR="00113526" w:rsidRPr="00C353E7" w:rsidRDefault="00113526" w:rsidP="00657F0D">
            <w:pPr>
              <w:rPr>
                <w:lang w:val="en-GB" w:eastAsia="zh-CN"/>
              </w:rPr>
            </w:pPr>
            <w:r w:rsidRPr="00C353E7">
              <w:rPr>
                <w:lang w:val="en-GB" w:eastAsia="zh-CN"/>
              </w:rPr>
              <w:t>According to the 38212,</w:t>
            </w:r>
          </w:p>
          <w:p w14:paraId="70819007" w14:textId="77777777" w:rsidR="00113526" w:rsidRPr="00C353E7" w:rsidRDefault="00113526" w:rsidP="00657F0D">
            <w:pPr>
              <w:pStyle w:val="Heading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657F0D">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657F0D">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657F0D">
            <w:pPr>
              <w:pStyle w:val="Heading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657F0D">
            <w:pPr>
              <w:rPr>
                <w:lang w:val="en-GB" w:eastAsia="zh-CN"/>
              </w:rPr>
            </w:pPr>
          </w:p>
          <w:p w14:paraId="351516BB" w14:textId="77777777" w:rsidR="00113526" w:rsidRPr="00C353E7" w:rsidRDefault="00113526" w:rsidP="00657F0D">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657F0D">
            <w:pPr>
              <w:rPr>
                <w:lang w:val="en-GB" w:eastAsia="zh-CN"/>
              </w:rPr>
            </w:pPr>
            <w:r w:rsidRPr="00C353E7">
              <w:rPr>
                <w:lang w:val="en-GB" w:eastAsia="zh-CN"/>
              </w:rPr>
              <w:t>Then back to the PUCCH resource definition of the UEIBR, it reuse the structure as the SR</w:t>
            </w:r>
          </w:p>
          <w:p w14:paraId="306303B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periodicityAndOffset                     CHOICE {</w:t>
            </w:r>
          </w:p>
          <w:p w14:paraId="30FCC2D9"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NULL,                       -- Recurs in every slot</w:t>
            </w:r>
          </w:p>
          <w:p w14:paraId="41C7ADE7"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                </w:t>
            </w:r>
            <w:r w:rsidRPr="00C353E7">
              <w:rPr>
                <w:lang w:val="en-GB" w:eastAsia="zh-CN"/>
              </w:rPr>
              <w:t xml:space="preserve"> INTEGER</w:t>
            </w:r>
            <w:r w:rsidRPr="00FC624D">
              <w:rPr>
                <w:lang w:val="en-GB" w:eastAsia="zh-CN"/>
              </w:rPr>
              <w:t>(0..1),</w:t>
            </w:r>
          </w:p>
          <w:p w14:paraId="24675CD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INTEGER</w:t>
            </w:r>
            <w:r w:rsidRPr="00FC624D">
              <w:rPr>
                <w:lang w:val="en-GB" w:eastAsia="zh-CN"/>
              </w:rPr>
              <w:t>(0..3),</w:t>
            </w:r>
          </w:p>
          <w:p w14:paraId="2C60D6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INTEGER</w:t>
            </w:r>
            <w:r w:rsidRPr="00FC624D">
              <w:rPr>
                <w:lang w:val="en-GB" w:eastAsia="zh-CN"/>
              </w:rPr>
              <w:t>(0..4),</w:t>
            </w:r>
          </w:p>
          <w:p w14:paraId="1A0B3FE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INTEGER</w:t>
            </w:r>
            <w:r w:rsidRPr="00FC624D">
              <w:rPr>
                <w:lang w:val="en-GB" w:eastAsia="zh-CN"/>
              </w:rPr>
              <w:t>(0..7),</w:t>
            </w:r>
          </w:p>
          <w:p w14:paraId="3C9ECC7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INTEGER</w:t>
            </w:r>
            <w:r w:rsidRPr="00FC624D">
              <w:rPr>
                <w:lang w:val="en-GB" w:eastAsia="zh-CN"/>
              </w:rPr>
              <w:t>(0..9),</w:t>
            </w:r>
          </w:p>
          <w:p w14:paraId="3316EBB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INTEGER</w:t>
            </w:r>
            <w:r w:rsidRPr="00FC624D">
              <w:rPr>
                <w:lang w:val="en-GB" w:eastAsia="zh-CN"/>
              </w:rPr>
              <w:t>(0..15),</w:t>
            </w:r>
          </w:p>
          <w:p w14:paraId="115E8AD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INTEGER</w:t>
            </w:r>
            <w:r w:rsidRPr="00FC624D">
              <w:rPr>
                <w:lang w:val="en-GB" w:eastAsia="zh-CN"/>
              </w:rPr>
              <w:t>(0..19),</w:t>
            </w:r>
          </w:p>
          <w:p w14:paraId="7300A0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INTEGER</w:t>
            </w:r>
            <w:r w:rsidRPr="00FC624D">
              <w:rPr>
                <w:lang w:val="en-GB" w:eastAsia="zh-CN"/>
              </w:rPr>
              <w:t>(0..39),</w:t>
            </w:r>
          </w:p>
          <w:p w14:paraId="7A13DB5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INTEGER</w:t>
            </w:r>
            <w:r w:rsidRPr="00FC624D">
              <w:rPr>
                <w:lang w:val="en-GB" w:eastAsia="zh-CN"/>
              </w:rPr>
              <w:t>(0..79),</w:t>
            </w:r>
          </w:p>
          <w:p w14:paraId="66D32346"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INTEGER</w:t>
            </w:r>
            <w:r w:rsidRPr="00FC624D">
              <w:rPr>
                <w:lang w:val="en-GB" w:eastAsia="zh-CN"/>
              </w:rPr>
              <w:t>(0..159),</w:t>
            </w:r>
          </w:p>
          <w:p w14:paraId="4CFD1FF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INTEGER</w:t>
            </w:r>
            <w:r w:rsidRPr="00FC624D">
              <w:rPr>
                <w:lang w:val="en-GB" w:eastAsia="zh-CN"/>
              </w:rPr>
              <w:t>(0..319),</w:t>
            </w:r>
          </w:p>
          <w:p w14:paraId="25BFA03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INTEGER</w:t>
            </w:r>
            <w:r w:rsidRPr="00FC624D">
              <w:rPr>
                <w:lang w:val="en-GB" w:eastAsia="zh-CN"/>
              </w:rPr>
              <w:t>(0..639)</w:t>
            </w:r>
          </w:p>
          <w:p w14:paraId="4372503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resource                                 PUCCH-ResourceId,</w:t>
            </w:r>
          </w:p>
          <w:p w14:paraId="4B11431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{spCell, pucch-Scell}</w:t>
            </w:r>
          </w:p>
          <w:p w14:paraId="291BA170"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657F0D">
            <w:pPr>
              <w:rPr>
                <w:lang w:val="en-GB" w:eastAsia="zh-CN"/>
              </w:rPr>
            </w:pPr>
            <w:r w:rsidRPr="00C353E7">
              <w:rPr>
                <w:lang w:val="en-GB" w:eastAsia="zh-CN"/>
              </w:rPr>
              <w:t xml:space="preserve">In which, the time domain resource is indicated by the </w:t>
            </w:r>
            <w:r w:rsidRPr="00FC624D">
              <w:rPr>
                <w:lang w:val="en-GB" w:eastAsia="zh-CN"/>
              </w:rPr>
              <w:t>periodicityAndOffset</w:t>
            </w:r>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657F0D">
            <w:pPr>
              <w:rPr>
                <w:lang w:val="en-GB" w:eastAsia="zh-CN"/>
              </w:rPr>
            </w:pPr>
          </w:p>
        </w:tc>
      </w:tr>
      <w:tr w:rsidR="009477CB" w14:paraId="0E1D8DBC" w14:textId="77777777" w:rsidTr="00F471E3">
        <w:tc>
          <w:tcPr>
            <w:tcW w:w="1705" w:type="dxa"/>
          </w:tcPr>
          <w:p w14:paraId="659152DB" w14:textId="6466CB73" w:rsidR="009477CB" w:rsidRDefault="001524FE" w:rsidP="00715947">
            <w:pPr>
              <w:rPr>
                <w:rFonts w:eastAsia="SimSun"/>
                <w:lang w:eastAsia="zh-CN"/>
              </w:rPr>
            </w:pPr>
            <w:r>
              <w:rPr>
                <w:rFonts w:eastAsia="SimSun"/>
                <w:lang w:eastAsia="zh-CN"/>
              </w:rPr>
              <w:lastRenderedPageBreak/>
              <w:t>Nokia</w:t>
            </w:r>
          </w:p>
        </w:tc>
        <w:tc>
          <w:tcPr>
            <w:tcW w:w="1800" w:type="dxa"/>
          </w:tcPr>
          <w:p w14:paraId="13248343" w14:textId="1C14A86F" w:rsidR="009477CB" w:rsidRDefault="001524FE" w:rsidP="00715947">
            <w:pPr>
              <w:rPr>
                <w:rFonts w:eastAsia="SimSun"/>
                <w:lang w:eastAsia="zh-CN"/>
              </w:rPr>
            </w:pPr>
            <w:r>
              <w:rPr>
                <w:rFonts w:eastAsia="SimSun"/>
                <w:lang w:eastAsia="zh-CN"/>
              </w:rPr>
              <w:t>No</w:t>
            </w:r>
          </w:p>
        </w:tc>
        <w:tc>
          <w:tcPr>
            <w:tcW w:w="6116" w:type="dxa"/>
          </w:tcPr>
          <w:p w14:paraId="7ACC63CC" w14:textId="1F24990B" w:rsidR="009477CB" w:rsidRDefault="001524FE" w:rsidP="00715947">
            <w:pPr>
              <w:pStyle w:val="ListParagraph"/>
              <w:ind w:left="360"/>
              <w:rPr>
                <w:rFonts w:eastAsia="SimSun"/>
                <w:lang w:eastAsia="zh-CN"/>
              </w:rPr>
            </w:pPr>
            <w:r>
              <w:rPr>
                <w:rFonts w:eastAsia="SimSun"/>
                <w:lang w:eastAsia="zh-CN"/>
              </w:rPr>
              <w:t>Shares same view as Asustek and Ofinno.</w:t>
            </w:r>
          </w:p>
        </w:tc>
      </w:tr>
      <w:tr w:rsidR="00D85971" w14:paraId="70E8D60F" w14:textId="77777777" w:rsidTr="00F471E3">
        <w:tc>
          <w:tcPr>
            <w:tcW w:w="1705" w:type="dxa"/>
          </w:tcPr>
          <w:p w14:paraId="125E4D8C" w14:textId="2586A3F2" w:rsidR="00D85971" w:rsidRDefault="00D85971" w:rsidP="00715947">
            <w:pPr>
              <w:rPr>
                <w:rFonts w:eastAsia="SimSun"/>
                <w:lang w:eastAsia="zh-CN"/>
              </w:rPr>
            </w:pPr>
          </w:p>
        </w:tc>
        <w:tc>
          <w:tcPr>
            <w:tcW w:w="1800" w:type="dxa"/>
          </w:tcPr>
          <w:p w14:paraId="46D1BA11" w14:textId="578507BC" w:rsidR="00D85971" w:rsidRDefault="00D85971" w:rsidP="00715947">
            <w:pPr>
              <w:rPr>
                <w:rFonts w:eastAsia="SimSun"/>
                <w:lang w:eastAsia="zh-CN"/>
              </w:rPr>
            </w:pPr>
          </w:p>
        </w:tc>
        <w:tc>
          <w:tcPr>
            <w:tcW w:w="6116" w:type="dxa"/>
          </w:tcPr>
          <w:p w14:paraId="76DBFF94" w14:textId="26E26D3A" w:rsidR="00D85971" w:rsidRPr="00D85971" w:rsidRDefault="00D85971" w:rsidP="00D85971">
            <w:pPr>
              <w:rPr>
                <w:rFonts w:eastAsia="SimSun"/>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lastRenderedPageBreak/>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 xml:space="preserve">Rapp: NW can distinguish based on the UEIRI received on different PUCCH resources for the two CSI-ReportConfig. </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SimSun" w:hint="eastAsia"/>
                <w:lang w:eastAsia="zh-CN"/>
              </w:rPr>
              <w:t>S</w:t>
            </w:r>
            <w:r>
              <w:rPr>
                <w:rFonts w:eastAsia="SimSun"/>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ListParagraph"/>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SimSun"/>
                <w:lang w:eastAsia="zh-CN"/>
              </w:rPr>
            </w:pPr>
            <w:r>
              <w:rPr>
                <w:rFonts w:eastAsia="SimSun"/>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ListParagraph"/>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SimSun"/>
                <w:lang w:eastAsia="zh-CN"/>
              </w:rPr>
            </w:pPr>
            <w:r>
              <w:rPr>
                <w:rFonts w:eastAsia="SimSun" w:hint="eastAsia"/>
                <w:lang w:eastAsia="zh-CN"/>
              </w:rPr>
              <w:t>OPPO</w:t>
            </w:r>
          </w:p>
        </w:tc>
        <w:tc>
          <w:tcPr>
            <w:tcW w:w="1800" w:type="dxa"/>
          </w:tcPr>
          <w:p w14:paraId="1C2787EC" w14:textId="0A8FD3CA" w:rsidR="00525CEF" w:rsidRDefault="00EB1128" w:rsidP="00715947">
            <w:pPr>
              <w:rPr>
                <w:lang w:eastAsia="sv-SE"/>
              </w:rPr>
            </w:pPr>
            <w:r>
              <w:rPr>
                <w:rFonts w:eastAsia="Malgun Gothic" w:hint="eastAsia"/>
                <w:lang w:eastAsia="ko-KR"/>
              </w:rPr>
              <w:t>No strong view</w:t>
            </w:r>
          </w:p>
        </w:tc>
        <w:tc>
          <w:tcPr>
            <w:tcW w:w="6116" w:type="dxa"/>
          </w:tcPr>
          <w:p w14:paraId="339624AE" w14:textId="77777777" w:rsidR="00525CEF" w:rsidRDefault="00525CEF" w:rsidP="00715947">
            <w:pPr>
              <w:pStyle w:val="ListParagraph"/>
              <w:ind w:left="360"/>
              <w:rPr>
                <w:sz w:val="20"/>
                <w:lang w:eastAsia="zh-TW"/>
              </w:rPr>
            </w:pPr>
          </w:p>
        </w:tc>
      </w:tr>
      <w:tr w:rsidR="00892A29" w14:paraId="3990629E" w14:textId="77777777" w:rsidTr="00357412">
        <w:tc>
          <w:tcPr>
            <w:tcW w:w="1705" w:type="dxa"/>
          </w:tcPr>
          <w:p w14:paraId="49CC3465" w14:textId="66E12099" w:rsidR="00892A29" w:rsidRDefault="00892A29" w:rsidP="00715947">
            <w:pPr>
              <w:rPr>
                <w:rFonts w:eastAsia="SimSun" w:hint="eastAsia"/>
                <w:lang w:eastAsia="zh-CN"/>
              </w:rPr>
            </w:pPr>
            <w:r>
              <w:rPr>
                <w:rFonts w:eastAsia="SimSun"/>
                <w:lang w:eastAsia="zh-CN"/>
              </w:rPr>
              <w:lastRenderedPageBreak/>
              <w:t>Nokia</w:t>
            </w:r>
          </w:p>
        </w:tc>
        <w:tc>
          <w:tcPr>
            <w:tcW w:w="1800" w:type="dxa"/>
          </w:tcPr>
          <w:p w14:paraId="3A02D0CC" w14:textId="154456A7" w:rsidR="00892A29" w:rsidRDefault="00892A29" w:rsidP="00715947">
            <w:pPr>
              <w:rPr>
                <w:rFonts w:eastAsia="Malgun Gothic" w:hint="eastAsia"/>
                <w:lang w:eastAsia="ko-KR"/>
              </w:rPr>
            </w:pPr>
            <w:r>
              <w:rPr>
                <w:rFonts w:eastAsia="Malgun Gothic"/>
                <w:lang w:eastAsia="ko-KR"/>
              </w:rPr>
              <w:t xml:space="preserve">Comment </w:t>
            </w:r>
          </w:p>
        </w:tc>
        <w:tc>
          <w:tcPr>
            <w:tcW w:w="6116" w:type="dxa"/>
          </w:tcPr>
          <w:p w14:paraId="1910EE3D" w14:textId="7C326825" w:rsidR="00892A29" w:rsidRDefault="00892A29" w:rsidP="00715947">
            <w:pPr>
              <w:pStyle w:val="ListParagraph"/>
              <w:ind w:left="360"/>
              <w:rPr>
                <w:sz w:val="20"/>
                <w:lang w:eastAsia="zh-TW"/>
              </w:rPr>
            </w:pPr>
            <w:r>
              <w:rPr>
                <w:sz w:val="20"/>
                <w:lang w:eastAsia="zh-TW"/>
              </w:rPr>
              <w:t>No strong view, slightly prefer WF2.</w:t>
            </w:r>
          </w:p>
        </w:tc>
      </w:tr>
    </w:tbl>
    <w:p w14:paraId="6E0F8F06" w14:textId="12760BA2"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Ofinno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Ofinno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Ofinno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lastRenderedPageBreak/>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TableGri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lastRenderedPageBreak/>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16" w:author="Author">
              <w:r w:rsidRPr="007717B6" w:rsidDel="005D0D3E">
                <w:rPr>
                  <w:sz w:val="20"/>
                  <w:szCs w:val="20"/>
                  <w:lang w:eastAsia="zh-TW"/>
                </w:rPr>
                <w:delText xml:space="preserve">two </w:delText>
              </w:r>
            </w:del>
            <w:r w:rsidRPr="007717B6">
              <w:rPr>
                <w:sz w:val="20"/>
                <w:szCs w:val="20"/>
                <w:lang w:eastAsia="zh-TW"/>
              </w:rPr>
              <w:t xml:space="preserve">activated TCI states for the CG/PUSCH for SP-CSI is </w:t>
            </w:r>
            <w:r w:rsidRPr="007717B6">
              <w:rPr>
                <w:sz w:val="20"/>
                <w:szCs w:val="20"/>
                <w:lang w:eastAsia="zh-TW"/>
              </w:rPr>
              <w:lastRenderedPageBreak/>
              <w:t>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ListParagraph"/>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260" w:type="dxa"/>
          </w:tcPr>
          <w:p w14:paraId="4DBCDAB1" w14:textId="4C99BEF5" w:rsidR="00715947" w:rsidRDefault="00715947" w:rsidP="00715947">
            <w:pPr>
              <w:rPr>
                <w:lang w:eastAsia="zh-TW"/>
              </w:rPr>
            </w:pPr>
            <w:r>
              <w:rPr>
                <w:rFonts w:eastAsia="SimSun" w:hint="eastAsia"/>
                <w:lang w:eastAsia="zh-CN"/>
              </w:rPr>
              <w:t>Y</w:t>
            </w:r>
            <w:r>
              <w:rPr>
                <w:rFonts w:eastAsia="SimSun"/>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SimSun"/>
                <w:lang w:eastAsia="zh-CN"/>
              </w:rPr>
            </w:pPr>
            <w:r>
              <w:rPr>
                <w:rFonts w:eastAsia="SimSun" w:hint="eastAsia"/>
                <w:lang w:eastAsia="zh-CN"/>
              </w:rPr>
              <w:t>CATT</w:t>
            </w:r>
          </w:p>
        </w:tc>
        <w:tc>
          <w:tcPr>
            <w:tcW w:w="1260" w:type="dxa"/>
          </w:tcPr>
          <w:p w14:paraId="72939FEC" w14:textId="5BB5315A" w:rsidR="00D85971" w:rsidRDefault="00D85971" w:rsidP="00715947">
            <w:pPr>
              <w:rPr>
                <w:rFonts w:eastAsia="SimSun"/>
                <w:lang w:eastAsia="zh-CN"/>
              </w:rPr>
            </w:pPr>
            <w:r>
              <w:rPr>
                <w:rFonts w:eastAsia="SimSun"/>
                <w:lang w:eastAsia="zh-CN"/>
              </w:rPr>
              <w:t>S</w:t>
            </w:r>
            <w:r>
              <w:rPr>
                <w:rFonts w:eastAsia="SimSun" w:hint="eastAsia"/>
                <w:lang w:eastAsia="zh-CN"/>
              </w:rPr>
              <w:t>ee comment</w:t>
            </w:r>
          </w:p>
        </w:tc>
        <w:tc>
          <w:tcPr>
            <w:tcW w:w="6656" w:type="dxa"/>
          </w:tcPr>
          <w:p w14:paraId="2911A043" w14:textId="04306174"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 guess firstly we need to align the understanding on the green highlighted part by the rapporteur. </w:t>
            </w:r>
            <w:r>
              <w:rPr>
                <w:rFonts w:eastAsia="SimSun"/>
                <w:szCs w:val="20"/>
                <w:lang w:eastAsia="zh-CN"/>
              </w:rPr>
              <w:t>A</w:t>
            </w:r>
            <w:r>
              <w:rPr>
                <w:rFonts w:eastAsia="SimSun" w:hint="eastAsia"/>
                <w:szCs w:val="20"/>
                <w:lang w:eastAsia="zh-CN"/>
              </w:rPr>
              <w:t>ctually, my initial view is aligned with the following ofinno understanding,</w:t>
            </w:r>
          </w:p>
          <w:tbl>
            <w:tblPr>
              <w:tblStyle w:val="TableGri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SimSun"/>
                      <w:szCs w:val="20"/>
                      <w:u w:val="single"/>
                      <w:lang w:eastAsia="zh-CN"/>
                    </w:rPr>
                  </w:pPr>
                  <w:r w:rsidRPr="00453CEE">
                    <w:rPr>
                      <w:rFonts w:eastAsia="SimSun" w:hint="eastAsia"/>
                      <w:szCs w:val="20"/>
                      <w:u w:val="single"/>
                      <w:lang w:eastAsia="zh-CN"/>
                    </w:rPr>
                    <w:t>Extracted from ofinno comment:</w:t>
                  </w:r>
                </w:p>
                <w:p w14:paraId="7716EE34" w14:textId="77777777" w:rsidR="00D85971" w:rsidRDefault="00D85971" w:rsidP="0032335F">
                  <w:pPr>
                    <w:rPr>
                      <w:rFonts w:eastAsia="SimSun"/>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f we go with this understanding, then the partial MIMO layers </w:t>
            </w:r>
            <w:r>
              <w:rPr>
                <w:rFonts w:eastAsia="SimSun"/>
                <w:szCs w:val="20"/>
                <w:lang w:eastAsia="zh-CN"/>
              </w:rPr>
              <w:t>transmission</w:t>
            </w:r>
            <w:r>
              <w:rPr>
                <w:rFonts w:eastAsia="SimSun" w:hint="eastAsia"/>
                <w:szCs w:val="20"/>
                <w:lang w:eastAsia="zh-CN"/>
              </w:rPr>
              <w:t xml:space="preserve"> really occurs if only one TCI state is expired. </w:t>
            </w:r>
            <w:r>
              <w:rPr>
                <w:rFonts w:eastAsia="SimSun"/>
                <w:szCs w:val="20"/>
                <w:lang w:eastAsia="zh-CN"/>
              </w:rPr>
              <w:t>R</w:t>
            </w:r>
            <w:r>
              <w:rPr>
                <w:rFonts w:eastAsia="SimSun" w:hint="eastAsia"/>
                <w:szCs w:val="20"/>
                <w:lang w:eastAsia="zh-CN"/>
              </w:rPr>
              <w:t xml:space="preserve">egarding how to handle this case, </w:t>
            </w:r>
            <w:r>
              <w:rPr>
                <w:rFonts w:eastAsia="SimSun"/>
                <w:szCs w:val="20"/>
                <w:lang w:eastAsia="zh-CN"/>
              </w:rPr>
              <w:t>I</w:t>
            </w:r>
            <w:r>
              <w:rPr>
                <w:rFonts w:eastAsia="SimSun" w:hint="eastAsia"/>
                <w:szCs w:val="20"/>
                <w:lang w:eastAsia="zh-CN"/>
              </w:rPr>
              <w:t xml:space="preserve"> think there are two </w:t>
            </w:r>
            <w:r>
              <w:rPr>
                <w:rFonts w:eastAsia="SimSun"/>
                <w:szCs w:val="20"/>
                <w:lang w:eastAsia="zh-CN"/>
              </w:rPr>
              <w:t>candidate</w:t>
            </w:r>
            <w:r>
              <w:rPr>
                <w:rFonts w:eastAsia="SimSun" w:hint="eastAsia"/>
                <w:szCs w:val="20"/>
                <w:lang w:eastAsia="zh-CN"/>
              </w:rPr>
              <w:t xml:space="preserve"> options,</w:t>
            </w:r>
          </w:p>
          <w:p w14:paraId="6B5B310A" w14:textId="77777777" w:rsidR="00D85971"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1: clear </w:t>
            </w:r>
            <w:r>
              <w:rPr>
                <w:rFonts w:eastAsia="SimSun"/>
                <w:szCs w:val="20"/>
                <w:lang w:eastAsia="zh-CN"/>
              </w:rPr>
              <w:t>the</w:t>
            </w:r>
            <w:r>
              <w:rPr>
                <w:rFonts w:eastAsia="SimSun" w:hint="eastAsia"/>
                <w:szCs w:val="20"/>
                <w:lang w:eastAsia="zh-CN"/>
              </w:rPr>
              <w:t xml:space="preserve"> CG resource or not transmit CG PUSCH as suggested by ofinno (a slight prefer to clear the CG resource).</w:t>
            </w:r>
          </w:p>
          <w:p w14:paraId="24753682" w14:textId="77777777" w:rsidR="00D85971" w:rsidRPr="009611C9"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2: up to NW </w:t>
            </w:r>
            <w:r>
              <w:rPr>
                <w:rFonts w:eastAsia="SimSun"/>
                <w:szCs w:val="20"/>
                <w:lang w:eastAsia="zh-CN"/>
              </w:rPr>
              <w:t>implementation</w:t>
            </w:r>
            <w:r>
              <w:rPr>
                <w:rFonts w:eastAsia="SimSun"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SimSun"/>
                <w:szCs w:val="20"/>
                <w:lang w:eastAsia="zh-CN"/>
              </w:rPr>
            </w:pPr>
            <w:r>
              <w:rPr>
                <w:rFonts w:eastAsia="SimSun"/>
                <w:szCs w:val="20"/>
                <w:lang w:eastAsia="zh-CN"/>
              </w:rPr>
              <w:t>W</w:t>
            </w:r>
            <w:r>
              <w:rPr>
                <w:rFonts w:eastAsia="SimSun" w:hint="eastAsia"/>
                <w:szCs w:val="20"/>
                <w:lang w:eastAsia="zh-CN"/>
              </w:rPr>
              <w:t>e are ok to discuss this online.</w:t>
            </w:r>
          </w:p>
          <w:p w14:paraId="335D7B5A" w14:textId="77777777" w:rsidR="00D85971" w:rsidRDefault="00D85971" w:rsidP="00D85971">
            <w:pPr>
              <w:rPr>
                <w:rFonts w:eastAsia="SimSun"/>
                <w:szCs w:val="20"/>
                <w:lang w:eastAsia="zh-CN"/>
              </w:rPr>
            </w:pPr>
            <w:r>
              <w:rPr>
                <w:rFonts w:eastAsia="SimSun"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SimSun"/>
                <w:szCs w:val="20"/>
                <w:lang w:eastAsia="zh-CN"/>
              </w:rPr>
              <w:t>N</w:t>
            </w:r>
            <w:r>
              <w:rPr>
                <w:rFonts w:eastAsia="SimSun" w:hint="eastAsia"/>
                <w:szCs w:val="20"/>
                <w:lang w:eastAsia="zh-CN"/>
              </w:rPr>
              <w:t xml:space="preserve">ote even with this understanding, it will break the PUSCH repetition and the UL multi panel transmission with SFN. </w:t>
            </w:r>
            <w:r>
              <w:rPr>
                <w:rFonts w:eastAsia="SimSun"/>
                <w:szCs w:val="20"/>
                <w:lang w:eastAsia="zh-CN"/>
              </w:rPr>
              <w:t>B</w:t>
            </w:r>
            <w:r>
              <w:rPr>
                <w:rFonts w:eastAsia="SimSun" w:hint="eastAsia"/>
                <w:szCs w:val="20"/>
                <w:lang w:eastAsia="zh-CN"/>
              </w:rPr>
              <w:t xml:space="preserve">ecause in any of these two cases, the whole TB (instead of partial mimo layers) is transmitted over any of the indicated two TCI states. </w:t>
            </w:r>
            <w:r>
              <w:rPr>
                <w:rFonts w:eastAsia="SimSun"/>
                <w:szCs w:val="20"/>
                <w:lang w:eastAsia="zh-CN"/>
              </w:rPr>
              <w:t>S</w:t>
            </w:r>
            <w:r>
              <w:rPr>
                <w:rFonts w:eastAsia="SimSun"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SimSun"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SimSun"/>
                <w:lang w:eastAsia="zh-CN"/>
              </w:rPr>
            </w:pPr>
            <w:r>
              <w:rPr>
                <w:rFonts w:eastAsia="SimSun"/>
                <w:lang w:eastAsia="zh-CN"/>
              </w:rPr>
              <w:t>OPPO</w:t>
            </w:r>
          </w:p>
        </w:tc>
        <w:tc>
          <w:tcPr>
            <w:tcW w:w="1260" w:type="dxa"/>
          </w:tcPr>
          <w:p w14:paraId="499BEA12" w14:textId="67A10A58" w:rsidR="00324701" w:rsidRDefault="00324701" w:rsidP="00715947">
            <w:pPr>
              <w:rPr>
                <w:rFonts w:eastAsia="SimSun"/>
                <w:lang w:eastAsia="zh-CN"/>
              </w:rPr>
            </w:pPr>
            <w:r>
              <w:rPr>
                <w:rFonts w:eastAsia="SimSun"/>
                <w:lang w:eastAsia="zh-CN"/>
              </w:rPr>
              <w:t>Yes</w:t>
            </w:r>
          </w:p>
        </w:tc>
        <w:tc>
          <w:tcPr>
            <w:tcW w:w="6656" w:type="dxa"/>
          </w:tcPr>
          <w:p w14:paraId="7D6F8CCD" w14:textId="68016BC0" w:rsidR="00324701" w:rsidRDefault="00324701" w:rsidP="00D85971">
            <w:pPr>
              <w:rPr>
                <w:rFonts w:eastAsia="SimSun"/>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SimSun"/>
                <w:lang w:eastAsia="zh-CN"/>
              </w:rPr>
            </w:pPr>
            <w:r>
              <w:rPr>
                <w:rFonts w:eastAsia="SimSun"/>
                <w:lang w:eastAsia="zh-CN"/>
              </w:rPr>
              <w:t>Ericsson</w:t>
            </w:r>
          </w:p>
        </w:tc>
        <w:tc>
          <w:tcPr>
            <w:tcW w:w="1260" w:type="dxa"/>
          </w:tcPr>
          <w:p w14:paraId="74667670" w14:textId="77777777" w:rsidR="000901D3" w:rsidRDefault="000901D3" w:rsidP="008E1C92">
            <w:pPr>
              <w:rPr>
                <w:rFonts w:eastAsia="SimSun"/>
                <w:lang w:eastAsia="zh-CN"/>
              </w:rPr>
            </w:pPr>
            <w:r>
              <w:rPr>
                <w:rFonts w:eastAsia="SimSun"/>
                <w:lang w:eastAsia="zh-CN"/>
              </w:rPr>
              <w:t>Comment</w:t>
            </w:r>
          </w:p>
        </w:tc>
        <w:tc>
          <w:tcPr>
            <w:tcW w:w="6656" w:type="dxa"/>
          </w:tcPr>
          <w:p w14:paraId="19DA9030" w14:textId="77777777" w:rsidR="000901D3" w:rsidRDefault="000901D3" w:rsidP="008E1C92">
            <w:pPr>
              <w:rPr>
                <w:rFonts w:eastAsia="SimSun"/>
                <w:szCs w:val="20"/>
                <w:lang w:eastAsia="zh-CN"/>
              </w:rPr>
            </w:pPr>
            <w:r>
              <w:rPr>
                <w:rFonts w:eastAsia="SimSun"/>
                <w:szCs w:val="20"/>
                <w:lang w:eastAsia="zh-CN"/>
              </w:rPr>
              <w:t>It seems we need to agree on what the “green” text specifies, i.e if the text entails that if “</w:t>
            </w:r>
            <w:r w:rsidRPr="006C6EC7">
              <w:rPr>
                <w:rFonts w:eastAsia="SimSun"/>
                <w:b/>
                <w:szCs w:val="20"/>
                <w:lang w:eastAsia="zh-CN"/>
              </w:rPr>
              <w:t>if one or both TCI states indicated by DCI are associated to a TAG with TAT expired</w:t>
            </w:r>
            <w:r>
              <w:rPr>
                <w:rFonts w:eastAsia="SimSun"/>
                <w:szCs w:val="20"/>
                <w:lang w:eastAsia="zh-CN"/>
              </w:rPr>
              <w:t>”. To me it is more important to have a predictable UE behaviour.</w:t>
            </w:r>
          </w:p>
        </w:tc>
      </w:tr>
      <w:tr w:rsidR="00B31F2C" w14:paraId="62D21E1E" w14:textId="77777777" w:rsidTr="000901D3">
        <w:tc>
          <w:tcPr>
            <w:tcW w:w="1705" w:type="dxa"/>
          </w:tcPr>
          <w:p w14:paraId="20FC5CA7" w14:textId="17A45E64" w:rsidR="00B31F2C" w:rsidRDefault="00B31F2C" w:rsidP="008E1C92">
            <w:pPr>
              <w:rPr>
                <w:rFonts w:eastAsia="SimSun"/>
                <w:lang w:eastAsia="zh-CN"/>
              </w:rPr>
            </w:pPr>
            <w:r>
              <w:rPr>
                <w:rFonts w:eastAsia="SimSun"/>
                <w:lang w:eastAsia="zh-CN"/>
              </w:rPr>
              <w:lastRenderedPageBreak/>
              <w:t>Nokia</w:t>
            </w:r>
          </w:p>
        </w:tc>
        <w:tc>
          <w:tcPr>
            <w:tcW w:w="1260" w:type="dxa"/>
          </w:tcPr>
          <w:p w14:paraId="0C7B349C" w14:textId="7A5EE4FF" w:rsidR="00B31F2C" w:rsidRDefault="00B31F2C" w:rsidP="008E1C92">
            <w:pPr>
              <w:rPr>
                <w:rFonts w:eastAsia="SimSun"/>
                <w:lang w:eastAsia="zh-CN"/>
              </w:rPr>
            </w:pPr>
            <w:r>
              <w:rPr>
                <w:rFonts w:eastAsia="SimSun"/>
                <w:lang w:eastAsia="zh-CN"/>
              </w:rPr>
              <w:t xml:space="preserve">Comment </w:t>
            </w:r>
          </w:p>
        </w:tc>
        <w:tc>
          <w:tcPr>
            <w:tcW w:w="6656" w:type="dxa"/>
          </w:tcPr>
          <w:p w14:paraId="6D9E0927" w14:textId="5ECB5944" w:rsidR="00B31F2C" w:rsidRDefault="00B31F2C" w:rsidP="008E1C92">
            <w:pPr>
              <w:rPr>
                <w:rFonts w:eastAsia="SimSun"/>
                <w:szCs w:val="20"/>
                <w:lang w:eastAsia="zh-CN"/>
              </w:rPr>
            </w:pPr>
            <w:r>
              <w:rPr>
                <w:rFonts w:eastAsia="SimSun"/>
                <w:szCs w:val="20"/>
                <w:lang w:eastAsia="zh-CN"/>
              </w:rPr>
              <w:t xml:space="preserve">We agree that </w:t>
            </w:r>
            <w:r>
              <w:rPr>
                <w:rFonts w:eastAsia="SimSun" w:hint="eastAsia"/>
                <w:szCs w:val="20"/>
                <w:lang w:eastAsia="zh-CN"/>
              </w:rPr>
              <w:t xml:space="preserve">partial MIMO layers </w:t>
            </w:r>
            <w:r>
              <w:rPr>
                <w:rFonts w:eastAsia="SimSun"/>
                <w:szCs w:val="20"/>
                <w:lang w:eastAsia="zh-CN"/>
              </w:rPr>
              <w:t>transmission</w:t>
            </w:r>
            <w:r>
              <w:rPr>
                <w:rFonts w:eastAsia="SimSun" w:hint="eastAsia"/>
                <w:szCs w:val="20"/>
                <w:lang w:eastAsia="zh-CN"/>
              </w:rPr>
              <w:t xml:space="preserve"> occurs if only one TCI state is expired</w:t>
            </w:r>
            <w:r>
              <w:rPr>
                <w:rFonts w:eastAsia="SimSun"/>
                <w:szCs w:val="20"/>
                <w:lang w:eastAsia="zh-CN"/>
              </w:rPr>
              <w:t xml:space="preserve"> for the case Ofinno mentioned. We are ok to discuss the solutions proposed by CATT (we have sympathy on Rapp view that for the case mentioned, the NW implementation can handle the scenario based on the BSR)</w:t>
            </w:r>
          </w:p>
        </w:tc>
      </w:tr>
    </w:tbl>
    <w:p w14:paraId="3A5F2CF1" w14:textId="77777777" w:rsidR="0083707B" w:rsidRDefault="0083707B" w:rsidP="0083707B">
      <w:pPr>
        <w:rPr>
          <w:lang w:eastAsia="sv-SE"/>
        </w:rPr>
      </w:pP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bookmarkStart w:id="17" w:name="OLE_LINK1"/>
      <w:r w:rsidRPr="003A0A0F">
        <w:rPr>
          <w:lang w:eastAsia="zh-CN"/>
        </w:rPr>
        <w:t>R2-2506941</w:t>
      </w:r>
      <w:bookmarkEnd w:id="17"/>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ressource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r>
        <w:rPr>
          <w:rFonts w:eastAsia="SimSun"/>
          <w:lang w:eastAsia="zh-CN"/>
        </w:rPr>
        <w:t>behaviour</w:t>
      </w:r>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he following is take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lastRenderedPageBreak/>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lastRenderedPageBreak/>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lastRenderedPageBreak/>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F4064"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15pt;height:141.15pt;mso-width-percent:0;mso-height-percent:0;mso-width-percent:0;mso-height-percent:0" o:ole="">
                  <v:imagedata r:id="rId8" o:title=""/>
                </v:shape>
                <o:OLEObject Type="Embed" ProgID="Visio.Drawing.11" ShapeID="_x0000_i1025" DrawAspect="Content" ObjectID="_1822124517"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18" w:name="_Hlk196659413"/>
            <w:r w:rsidRPr="00387DA7">
              <w:rPr>
                <w:rFonts w:ascii="Times New Roman" w:eastAsia="SimSun" w:hAnsi="Times New Roman" w:cs="Times New Roman"/>
                <w:i/>
                <w:iCs/>
                <w:szCs w:val="20"/>
                <w:lang w:val="x-none" w:eastAsia="en-US"/>
              </w:rPr>
              <w:t>SS/PBCH block</w:t>
            </w:r>
            <w:bookmarkEnd w:id="18"/>
            <w:r w:rsidRPr="00387DA7">
              <w:rPr>
                <w:rFonts w:ascii="Times New Roman" w:eastAsia="SimSun" w:hAnsi="Times New Roman" w:cs="Times New Roman"/>
                <w:i/>
                <w:iCs/>
                <w:szCs w:val="20"/>
                <w:lang w:val="x-none" w:eastAsia="en-US"/>
              </w:rPr>
              <w:t xml:space="preserve"> which is QCLed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w:t>
            </w:r>
            <w:r w:rsidR="00940036">
              <w:rPr>
                <w:color w:val="00B0F0"/>
                <w:lang w:eastAsia="sv-SE"/>
              </w:rPr>
              <w:lastRenderedPageBreak/>
              <w:t>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SimSun" w:hint="eastAsia"/>
                <w:lang w:eastAsia="zh-CN"/>
              </w:rPr>
              <w:t>S</w:t>
            </w:r>
            <w:r>
              <w:rPr>
                <w:rFonts w:eastAsia="SimSun"/>
                <w:lang w:eastAsia="zh-CN"/>
              </w:rPr>
              <w:t>harp</w:t>
            </w:r>
          </w:p>
        </w:tc>
        <w:tc>
          <w:tcPr>
            <w:tcW w:w="1040" w:type="dxa"/>
          </w:tcPr>
          <w:p w14:paraId="55C5B30B" w14:textId="6CE19A09" w:rsidR="00715947" w:rsidRDefault="00715947" w:rsidP="00715947">
            <w:pPr>
              <w:rPr>
                <w:lang w:eastAsia="zh-TW"/>
              </w:rPr>
            </w:pPr>
            <w:r>
              <w:rPr>
                <w:rFonts w:eastAsia="SimSun" w:hint="eastAsia"/>
                <w:lang w:eastAsia="zh-CN"/>
              </w:rPr>
              <w:t>O</w:t>
            </w:r>
            <w:r>
              <w:rPr>
                <w:rFonts w:eastAsia="SimSun"/>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SimSun"/>
                <w:lang w:eastAsia="zh-CN"/>
              </w:rPr>
            </w:pPr>
            <w:r>
              <w:rPr>
                <w:rFonts w:eastAsia="SimSun"/>
                <w:lang w:eastAsia="zh-CN"/>
              </w:rPr>
              <w:t>OPPO</w:t>
            </w:r>
          </w:p>
        </w:tc>
        <w:tc>
          <w:tcPr>
            <w:tcW w:w="1040" w:type="dxa"/>
          </w:tcPr>
          <w:p w14:paraId="533EAB63" w14:textId="1877D443" w:rsidR="004A4912" w:rsidRDefault="004A4912" w:rsidP="00715947">
            <w:pPr>
              <w:rPr>
                <w:rFonts w:eastAsia="SimSun"/>
                <w:lang w:eastAsia="zh-CN"/>
              </w:rPr>
            </w:pPr>
            <w:r>
              <w:rPr>
                <w:rFonts w:eastAsia="SimSun"/>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(e.g. gNB processing restriction due to too short periodicity) and the UE side (e.g. DRX error due to PUCCH missing).</w:t>
            </w:r>
            <w:r w:rsidR="000244AE">
              <w:rPr>
                <w:lang w:eastAsia="zh-TW"/>
              </w:rPr>
              <w:t xml:space="preserve"> If we want to have a solution covering every corners,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SimSun"/>
                <w:lang w:eastAsia="zh-CN"/>
              </w:rPr>
            </w:pPr>
            <w:r>
              <w:rPr>
                <w:rFonts w:eastAsia="SimSun"/>
                <w:lang w:eastAsia="zh-CN"/>
              </w:rPr>
              <w:t>Ericsson</w:t>
            </w:r>
          </w:p>
        </w:tc>
        <w:tc>
          <w:tcPr>
            <w:tcW w:w="1040" w:type="dxa"/>
          </w:tcPr>
          <w:p w14:paraId="7F5DC7DF" w14:textId="77777777" w:rsidR="000901D3" w:rsidRDefault="000901D3" w:rsidP="008E1C92">
            <w:pPr>
              <w:rPr>
                <w:rFonts w:eastAsia="SimSun"/>
                <w:lang w:eastAsia="zh-CN"/>
              </w:rPr>
            </w:pPr>
            <w:r>
              <w:rPr>
                <w:rFonts w:eastAsia="SimSun"/>
                <w:lang w:eastAsia="zh-CN"/>
              </w:rPr>
              <w:t>Option 2</w:t>
            </w:r>
          </w:p>
        </w:tc>
        <w:tc>
          <w:tcPr>
            <w:tcW w:w="7156" w:type="dxa"/>
          </w:tcPr>
          <w:p w14:paraId="4BC9B8D6" w14:textId="77777777" w:rsidR="000901D3" w:rsidRDefault="000901D3" w:rsidP="008E1C92">
            <w:pPr>
              <w:rPr>
                <w:lang w:eastAsia="zh-TW"/>
              </w:rPr>
            </w:pPr>
          </w:p>
        </w:tc>
      </w:tr>
      <w:tr w:rsidR="00113526" w14:paraId="5C3B0CB2" w14:textId="77777777" w:rsidTr="00113526">
        <w:tc>
          <w:tcPr>
            <w:tcW w:w="1425" w:type="dxa"/>
          </w:tcPr>
          <w:p w14:paraId="5B62FA59" w14:textId="3E4BC69B" w:rsidR="00113526" w:rsidRDefault="00113526" w:rsidP="00657F0D">
            <w:pPr>
              <w:rPr>
                <w:rFonts w:eastAsia="SimSun"/>
                <w:lang w:eastAsia="zh-CN"/>
              </w:rPr>
            </w:pPr>
            <w:r>
              <w:rPr>
                <w:rFonts w:eastAsia="SimSun"/>
                <w:lang w:eastAsia="zh-CN"/>
              </w:rPr>
              <w:t>ZTE</w:t>
            </w:r>
          </w:p>
        </w:tc>
        <w:tc>
          <w:tcPr>
            <w:tcW w:w="1040" w:type="dxa"/>
          </w:tcPr>
          <w:p w14:paraId="7F2B02C4" w14:textId="4D64575A" w:rsidR="00113526" w:rsidRDefault="00113526" w:rsidP="00113526">
            <w:pPr>
              <w:rPr>
                <w:rFonts w:eastAsia="SimSun"/>
                <w:lang w:eastAsia="zh-CN"/>
              </w:rPr>
            </w:pPr>
            <w:r>
              <w:rPr>
                <w:rFonts w:eastAsia="SimSun"/>
                <w:lang w:eastAsia="zh-CN"/>
              </w:rPr>
              <w:t>Option 1</w:t>
            </w:r>
          </w:p>
        </w:tc>
        <w:tc>
          <w:tcPr>
            <w:tcW w:w="7156" w:type="dxa"/>
          </w:tcPr>
          <w:p w14:paraId="3016229F" w14:textId="77777777" w:rsidR="00113526" w:rsidRDefault="00113526" w:rsidP="00657F0D">
            <w:pPr>
              <w:rPr>
                <w:lang w:eastAsia="zh-TW"/>
              </w:rPr>
            </w:pPr>
          </w:p>
        </w:tc>
      </w:tr>
      <w:tr w:rsidR="007F3F05" w14:paraId="4FEBA3BD" w14:textId="77777777" w:rsidTr="00113526">
        <w:tc>
          <w:tcPr>
            <w:tcW w:w="1425" w:type="dxa"/>
          </w:tcPr>
          <w:p w14:paraId="3CAFD9D4" w14:textId="1B3667AD" w:rsidR="007F3F05" w:rsidRDefault="007F3F05" w:rsidP="00657F0D">
            <w:pPr>
              <w:rPr>
                <w:rFonts w:eastAsia="SimSun"/>
                <w:lang w:eastAsia="zh-CN"/>
              </w:rPr>
            </w:pPr>
            <w:r>
              <w:rPr>
                <w:rFonts w:eastAsia="SimSun"/>
                <w:lang w:eastAsia="zh-CN"/>
              </w:rPr>
              <w:t>Nokia</w:t>
            </w:r>
          </w:p>
        </w:tc>
        <w:tc>
          <w:tcPr>
            <w:tcW w:w="1040" w:type="dxa"/>
          </w:tcPr>
          <w:p w14:paraId="414466E4" w14:textId="62E453DB" w:rsidR="007F3F05" w:rsidRDefault="007F3F05" w:rsidP="00113526">
            <w:pPr>
              <w:rPr>
                <w:rFonts w:eastAsia="SimSun"/>
                <w:lang w:eastAsia="zh-CN"/>
              </w:rPr>
            </w:pPr>
            <w:r>
              <w:rPr>
                <w:rFonts w:eastAsia="SimSun"/>
                <w:lang w:eastAsia="zh-CN"/>
              </w:rPr>
              <w:t>Option 2</w:t>
            </w:r>
          </w:p>
        </w:tc>
        <w:tc>
          <w:tcPr>
            <w:tcW w:w="7156" w:type="dxa"/>
          </w:tcPr>
          <w:p w14:paraId="782C209A" w14:textId="7E8DC6C9" w:rsidR="007F3F05" w:rsidRDefault="007F3F05" w:rsidP="00657F0D">
            <w:pPr>
              <w:rPr>
                <w:lang w:eastAsia="zh-TW"/>
              </w:rPr>
            </w:pPr>
            <w:r>
              <w:rPr>
                <w:lang w:eastAsia="zh-TW"/>
              </w:rPr>
              <w:t xml:space="preserve">Our understanding is aligned with Asustek and Ofinno that </w:t>
            </w:r>
            <w:r>
              <w:rPr>
                <w:rFonts w:eastAsia="PMingLiU"/>
                <w:lang w:eastAsia="zh-TW"/>
              </w:rPr>
              <w:t>the UE transmits UEIRI to the network as long as the number of event instance reaches the threshold</w:t>
            </w:r>
            <w:r>
              <w:rPr>
                <w:rFonts w:eastAsia="PMingLiU"/>
                <w:lang w:eastAsia="zh-TW"/>
              </w:rPr>
              <w:t xml:space="preserve">, and </w:t>
            </w:r>
            <w:r>
              <w:rPr>
                <w:rFonts w:eastAsia="PMingLiU"/>
                <w:lang w:eastAsia="zh-TW"/>
              </w:rPr>
              <w:t>the counter for event instance is reset when indicated TCI state is updated</w:t>
            </w:r>
            <w:r>
              <w:rPr>
                <w:rFonts w:eastAsia="PMingLiU"/>
                <w:lang w:eastAsia="zh-TW"/>
              </w:rPr>
              <w:t xml:space="preserve">. So if we go with Option 1, </w:t>
            </w:r>
            <w:r>
              <w:rPr>
                <w:rFonts w:hint="eastAsia"/>
                <w:lang w:eastAsia="zh-TW"/>
              </w:rPr>
              <w:t xml:space="preserve">UE will keep transmitting the PUCCH, </w:t>
            </w:r>
            <w:r>
              <w:rPr>
                <w:lang w:eastAsia="zh-TW"/>
              </w:rPr>
              <w:t xml:space="preserve">hence prolonging the </w:t>
            </w:r>
            <w:r>
              <w:rPr>
                <w:rFonts w:hint="eastAsia"/>
                <w:lang w:eastAsia="zh-TW"/>
              </w:rPr>
              <w:t xml:space="preserve">active time to receive the possible PUSCH </w:t>
            </w:r>
            <w:r>
              <w:rPr>
                <w:lang w:eastAsia="zh-TW"/>
              </w:rPr>
              <w:t>scheduling</w:t>
            </w:r>
            <w:r>
              <w:rPr>
                <w:lang w:eastAsia="zh-TW"/>
              </w:rPr>
              <w:t>.</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lastRenderedPageBreak/>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4FD6" w14:textId="77777777" w:rsidR="009A2ED4" w:rsidRDefault="009A2ED4" w:rsidP="00051DF8">
      <w:r>
        <w:separator/>
      </w:r>
    </w:p>
  </w:endnote>
  <w:endnote w:type="continuationSeparator" w:id="0">
    <w:p w14:paraId="5FA157D8" w14:textId="77777777" w:rsidR="009A2ED4" w:rsidRDefault="009A2ED4" w:rsidP="00051DF8">
      <w:r>
        <w:continuationSeparator/>
      </w:r>
    </w:p>
  </w:endnote>
  <w:endnote w:type="continuationNotice" w:id="1">
    <w:p w14:paraId="4D9E8548" w14:textId="77777777" w:rsidR="009A2ED4" w:rsidRDefault="009A2ED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81FF" w14:textId="77777777" w:rsidR="009A2ED4" w:rsidRDefault="009A2ED4" w:rsidP="00051DF8">
      <w:r>
        <w:separator/>
      </w:r>
    </w:p>
  </w:footnote>
  <w:footnote w:type="continuationSeparator" w:id="0">
    <w:p w14:paraId="5675A0D4" w14:textId="77777777" w:rsidR="009A2ED4" w:rsidRDefault="009A2ED4" w:rsidP="00051DF8">
      <w:r>
        <w:continuationSeparator/>
      </w:r>
    </w:p>
  </w:footnote>
  <w:footnote w:type="continuationNotice" w:id="1">
    <w:p w14:paraId="3617A94A" w14:textId="77777777" w:rsidR="009A2ED4" w:rsidRDefault="009A2ED4"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114849">
    <w:abstractNumId w:val="18"/>
  </w:num>
  <w:num w:numId="2" w16cid:durableId="1195536022">
    <w:abstractNumId w:val="1"/>
  </w:num>
  <w:num w:numId="3" w16cid:durableId="115758012">
    <w:abstractNumId w:val="9"/>
  </w:num>
  <w:num w:numId="4" w16cid:durableId="1793282905">
    <w:abstractNumId w:val="16"/>
  </w:num>
  <w:num w:numId="5" w16cid:durableId="239407412">
    <w:abstractNumId w:val="0"/>
  </w:num>
  <w:num w:numId="6" w16cid:durableId="1438719053">
    <w:abstractNumId w:val="5"/>
  </w:num>
  <w:num w:numId="7" w16cid:durableId="250087824">
    <w:abstractNumId w:val="12"/>
  </w:num>
  <w:num w:numId="8" w16cid:durableId="1007291219">
    <w:abstractNumId w:val="21"/>
  </w:num>
  <w:num w:numId="9" w16cid:durableId="66149097">
    <w:abstractNumId w:val="8"/>
  </w:num>
  <w:num w:numId="10" w16cid:durableId="258761415">
    <w:abstractNumId w:val="7"/>
  </w:num>
  <w:num w:numId="11" w16cid:durableId="1394113051">
    <w:abstractNumId w:val="3"/>
  </w:num>
  <w:num w:numId="12" w16cid:durableId="2104837528">
    <w:abstractNumId w:val="4"/>
  </w:num>
  <w:num w:numId="13" w16cid:durableId="87700015">
    <w:abstractNumId w:val="17"/>
  </w:num>
  <w:num w:numId="14" w16cid:durableId="1906600612">
    <w:abstractNumId w:val="13"/>
  </w:num>
  <w:num w:numId="15" w16cid:durableId="1452822113">
    <w:abstractNumId w:val="6"/>
  </w:num>
  <w:num w:numId="16" w16cid:durableId="1365977895">
    <w:abstractNumId w:val="0"/>
  </w:num>
  <w:num w:numId="17" w16cid:durableId="1890335319">
    <w:abstractNumId w:val="12"/>
  </w:num>
  <w:num w:numId="18" w16cid:durableId="1282802707">
    <w:abstractNumId w:val="18"/>
  </w:num>
  <w:num w:numId="19" w16cid:durableId="1923951713">
    <w:abstractNumId w:val="15"/>
  </w:num>
  <w:num w:numId="20" w16cid:durableId="604457052">
    <w:abstractNumId w:val="11"/>
  </w:num>
  <w:num w:numId="21" w16cid:durableId="1111052065">
    <w:abstractNumId w:val="14"/>
  </w:num>
  <w:num w:numId="22" w16cid:durableId="1342275521">
    <w:abstractNumId w:val="19"/>
  </w:num>
  <w:num w:numId="23" w16cid:durableId="1808162535">
    <w:abstractNumId w:val="10"/>
  </w:num>
  <w:num w:numId="24" w16cid:durableId="1995718436">
    <w:abstractNumId w:val="20"/>
  </w:num>
  <w:num w:numId="25" w16cid:durableId="75867730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4FE"/>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7A"/>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FFF"/>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05"/>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A29"/>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D4"/>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1F2C"/>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129E-335F-4885-8B03-47DD42B4D4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6260</Words>
  <Characters>35682</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41859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2025-10-16T09:01:00Z</dcterms:created>
  <dcterms:modified xsi:type="dcterms:W3CDTF">2025-10-16T09:54:00Z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