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146" w14:textId="5272BAA9" w:rsidR="00AF3527" w:rsidRDefault="008B18E6">
      <w:pPr>
        <w:rPr>
          <w:rFonts w:ascii="Arial" w:eastAsia="Times New Roman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#131-bis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EB653D" w:rsidRPr="00EB653D">
        <w:rPr>
          <w:rFonts w:ascii="Arial" w:eastAsia="Times New Roman" w:hAnsi="Arial"/>
          <w:b/>
          <w:sz w:val="22"/>
          <w:szCs w:val="22"/>
          <w:lang w:eastAsia="zh-CN"/>
        </w:rPr>
        <w:t>R2-2507907</w:t>
      </w:r>
    </w:p>
    <w:p w14:paraId="32A4A849" w14:textId="1E5445AE" w:rsidR="000570AE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Prague, Czech Republic, 13 – 17 October</w:t>
      </w:r>
      <w:r w:rsidR="000570AE" w:rsidRPr="00B32B21">
        <w:rPr>
          <w:rFonts w:ascii="Arial" w:hAnsi="Arial" w:cs="Arial"/>
          <w:b/>
          <w:sz w:val="22"/>
          <w:szCs w:val="22"/>
        </w:rPr>
        <w:t xml:space="preserve"> 2025</w:t>
      </w:r>
    </w:p>
    <w:p w14:paraId="2201D644" w14:textId="77777777" w:rsidR="008B18E6" w:rsidRPr="0083434C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20FC0B1B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</w:t>
      </w:r>
      <w:r w:rsidRPr="0096471A">
        <w:rPr>
          <w:rFonts w:ascii="Arial" w:hAnsi="Arial" w:cs="Arial"/>
          <w:b/>
          <w:sz w:val="22"/>
          <w:szCs w:val="22"/>
        </w:rPr>
        <w:t xml:space="preserve">eply LS on </w:t>
      </w:r>
      <w:proofErr w:type="spellStart"/>
      <w:r w:rsidRPr="00610F78">
        <w:rPr>
          <w:rFonts w:ascii="Arial" w:hAnsi="Arial" w:cs="Arial"/>
          <w:b/>
          <w:sz w:val="22"/>
          <w:szCs w:val="22"/>
        </w:rPr>
        <w:t>signalling</w:t>
      </w:r>
      <w:proofErr w:type="spellEnd"/>
      <w:r w:rsidRPr="00610F78">
        <w:rPr>
          <w:rFonts w:ascii="Arial" w:hAnsi="Arial" w:cs="Arial"/>
          <w:b/>
          <w:sz w:val="22"/>
          <w:szCs w:val="22"/>
        </w:rPr>
        <w:t xml:space="preserve"> feasibility of dataset and parameter sharing</w:t>
      </w:r>
    </w:p>
    <w:p w14:paraId="18D7E2C5" w14:textId="15402DF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96471A">
        <w:rPr>
          <w:rFonts w:ascii="Arial" w:hAnsi="Arial" w:cs="Arial"/>
          <w:b/>
          <w:sz w:val="22"/>
          <w:szCs w:val="22"/>
        </w:rPr>
        <w:t>Response 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391224" w:rsidRPr="008B18E6" w:rsidDel="00391224">
        <w:rPr>
          <w:rFonts w:ascii="Arial" w:hAnsi="Arial" w:cs="Arial"/>
          <w:b/>
          <w:sz w:val="22"/>
          <w:szCs w:val="22"/>
        </w:rPr>
        <w:t xml:space="preserve"> </w:t>
      </w:r>
      <w:r w:rsidR="008B18E6" w:rsidRPr="008B18E6">
        <w:rPr>
          <w:rFonts w:ascii="Arial" w:hAnsi="Arial" w:cs="Arial"/>
          <w:b/>
          <w:sz w:val="22"/>
          <w:szCs w:val="22"/>
        </w:rPr>
        <w:t>R2-2506751</w:t>
      </w:r>
      <w:r w:rsidR="008B18E6">
        <w:rPr>
          <w:rFonts w:ascii="Arial" w:hAnsi="Arial" w:cs="Arial"/>
          <w:b/>
          <w:sz w:val="22"/>
          <w:szCs w:val="22"/>
        </w:rPr>
        <w:t xml:space="preserve"> / </w:t>
      </w:r>
      <w:r w:rsidR="008B18E6" w:rsidRPr="008B18E6">
        <w:rPr>
          <w:rFonts w:ascii="Arial" w:hAnsi="Arial" w:cs="Arial"/>
          <w:b/>
          <w:sz w:val="22"/>
          <w:szCs w:val="22"/>
        </w:rPr>
        <w:t>S2-2508104</w:t>
      </w:r>
    </w:p>
    <w:p w14:paraId="2D236999" w14:textId="7EF54F2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hAnsi="Arial" w:cs="Arial"/>
          <w:b/>
          <w:sz w:val="22"/>
          <w:szCs w:val="22"/>
          <w:lang w:eastAsia="zh-CN"/>
        </w:rPr>
        <w:t>Release 20</w:t>
      </w:r>
    </w:p>
    <w:bookmarkEnd w:id="2"/>
    <w:bookmarkEnd w:id="3"/>
    <w:bookmarkEnd w:id="4"/>
    <w:p w14:paraId="2FDF609A" w14:textId="646631F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C21DC" w:rsidRPr="000C21DC">
        <w:rPr>
          <w:rFonts w:ascii="Arial" w:eastAsia="Times New Roman" w:hAnsi="Arial" w:cs="Arial"/>
          <w:b/>
          <w:sz w:val="22"/>
          <w:szCs w:val="22"/>
        </w:rPr>
        <w:t>NR_AIML_air_Ph2</w:t>
      </w:r>
    </w:p>
    <w:p w14:paraId="2789BFD9" w14:textId="5F03F6E3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</w:rPr>
        <w:t xml:space="preserve">Samsung 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8B18E6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8B18E6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51FCB42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8B18E6">
        <w:rPr>
          <w:rFonts w:ascii="Arial" w:hAnsi="Arial" w:cs="Arial"/>
          <w:b/>
          <w:sz w:val="22"/>
          <w:szCs w:val="22"/>
          <w:lang w:eastAsia="zh-CN"/>
        </w:rPr>
        <w:t>SA2</w:t>
      </w:r>
    </w:p>
    <w:p w14:paraId="0605EECD" w14:textId="444B4AB2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8B18E6" w:rsidRPr="008B18E6">
        <w:rPr>
          <w:rFonts w:ascii="Arial" w:hAnsi="Arial" w:cs="Arial"/>
          <w:b/>
          <w:sz w:val="22"/>
          <w:szCs w:val="22"/>
          <w:lang w:eastAsia="zh-CN"/>
        </w:rPr>
        <w:t>RAN, RAN1, RAN3, SA, SA3, SA5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686F05DA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Milos Tesanovic</w:t>
      </w:r>
    </w:p>
    <w:p w14:paraId="37045B62" w14:textId="3023B6E1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8B18E6">
        <w:rPr>
          <w:rFonts w:ascii="Arial" w:eastAsia="Times New Roman" w:hAnsi="Arial" w:cs="Arial"/>
          <w:b/>
          <w:sz w:val="22"/>
          <w:szCs w:val="22"/>
        </w:rPr>
        <w:t>m.tesanovic@samsung.com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Send any </w:t>
      </w:r>
      <w:proofErr w:type="gramStart"/>
      <w:r w:rsidRPr="002F1217">
        <w:rPr>
          <w:rFonts w:ascii="Arial" w:eastAsia="Times New Roman" w:hAnsi="Arial" w:cs="Arial"/>
          <w:b/>
          <w:bCs/>
          <w:sz w:val="22"/>
          <w:szCs w:val="22"/>
        </w:rPr>
        <w:t>reply</w:t>
      </w:r>
      <w:proofErr w:type="gramEnd"/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1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2381D114" w14:textId="57F14DCB" w:rsidR="00F021D0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SA2 for their reply-LS on </w:t>
      </w:r>
      <w:r w:rsidRPr="00F021D0">
        <w:rPr>
          <w:lang w:val="en-GB"/>
        </w:rPr>
        <w:t>signalling feasibility of dataset and parameter sharing</w:t>
      </w:r>
      <w:r>
        <w:rPr>
          <w:lang w:val="en-GB"/>
        </w:rPr>
        <w:t>, contents of which are noted. In the reply-LS, SA2 asked</w:t>
      </w:r>
      <w:r w:rsidRPr="00F021D0">
        <w:rPr>
          <w:lang w:val="en-GB"/>
        </w:rPr>
        <w:t xml:space="preserve"> RAN</w:t>
      </w:r>
      <w:r w:rsidR="00B21262">
        <w:rPr>
          <w:lang w:val="en-GB"/>
        </w:rPr>
        <w:t>2 about the difference between O</w:t>
      </w:r>
      <w:r w:rsidRPr="00F021D0">
        <w:rPr>
          <w:lang w:val="en-GB"/>
        </w:rPr>
        <w:t>pt</w:t>
      </w:r>
      <w:r>
        <w:rPr>
          <w:lang w:val="en-GB"/>
        </w:rPr>
        <w:t>ion 3 and the other two options, and i</w:t>
      </w:r>
      <w:r w:rsidRPr="00F021D0">
        <w:rPr>
          <w:lang w:val="en-GB"/>
        </w:rPr>
        <w:t>n particular, how</w:t>
      </w:r>
      <w:r w:rsidR="00B21262">
        <w:rPr>
          <w:lang w:val="en-GB"/>
        </w:rPr>
        <w:t xml:space="preserve"> O</w:t>
      </w:r>
      <w:r w:rsidRPr="00F021D0">
        <w:rPr>
          <w:lang w:val="en-GB"/>
        </w:rPr>
        <w:t>ption 3 (</w:t>
      </w:r>
      <w:proofErr w:type="spellStart"/>
      <w:r w:rsidRPr="00F021D0">
        <w:rPr>
          <w:lang w:val="en-GB"/>
        </w:rPr>
        <w:t>gNB</w:t>
      </w:r>
      <w:proofErr w:type="spellEnd"/>
      <w:r w:rsidRPr="00F021D0">
        <w:rPr>
          <w:lang w:val="en-GB"/>
        </w:rPr>
        <w:t xml:space="preserve"> -&gt; OAM/CN -</w:t>
      </w:r>
      <w:r w:rsidR="00B21262">
        <w:rPr>
          <w:lang w:val="en-GB"/>
        </w:rPr>
        <w:t>&gt; UE-side training entity) and O</w:t>
      </w:r>
      <w:r w:rsidRPr="00F021D0">
        <w:rPr>
          <w:lang w:val="en-GB"/>
        </w:rPr>
        <w:t>ption 2 (CN -&gt; UE-side training entity) are different</w:t>
      </w:r>
      <w:r>
        <w:rPr>
          <w:lang w:val="en-GB"/>
        </w:rPr>
        <w:t xml:space="preserve"> from the CN entity perspective.</w:t>
      </w:r>
    </w:p>
    <w:p w14:paraId="5343EEA7" w14:textId="147FB740" w:rsidR="00F021D0" w:rsidRDefault="004E2C3C" w:rsidP="00F021D0">
      <w:pPr>
        <w:rPr>
          <w:lang w:val="en-GB"/>
        </w:rPr>
      </w:pPr>
      <w:r>
        <w:rPr>
          <w:lang w:val="en-GB"/>
        </w:rPr>
        <w:t xml:space="preserve">RAN2 </w:t>
      </w:r>
      <w:proofErr w:type="gramStart"/>
      <w:r w:rsidRPr="007C107C">
        <w:rPr>
          <w:lang w:val="en-GB"/>
        </w:rPr>
        <w:t>made the assumption</w:t>
      </w:r>
      <w:proofErr w:type="gramEnd"/>
      <w:r w:rsidRPr="007C107C">
        <w:rPr>
          <w:lang w:val="en-GB"/>
        </w:rPr>
        <w:t xml:space="preserve"> in Rel-19 that the </w:t>
      </w:r>
      <w:commentRangeStart w:id="5"/>
      <w:r w:rsidRPr="007C107C">
        <w:rPr>
          <w:lang w:val="en-GB"/>
        </w:rPr>
        <w:t xml:space="preserve">NW-side </w:t>
      </w:r>
      <w:r w:rsidR="00A20C90" w:rsidRPr="00A20C90">
        <w:rPr>
          <w:lang w:val="en-GB"/>
        </w:rPr>
        <w:t xml:space="preserve">dataset/model parameter </w:t>
      </w:r>
      <w:r w:rsidRPr="007C107C">
        <w:rPr>
          <w:lang w:val="en-GB"/>
        </w:rPr>
        <w:t xml:space="preserve">collection entity may reside in the </w:t>
      </w:r>
      <w:r w:rsidR="0022156F" w:rsidRPr="007C107C">
        <w:rPr>
          <w:lang w:val="en-GB"/>
        </w:rPr>
        <w:t>OAM, a CN function</w:t>
      </w:r>
      <w:r w:rsidR="00B21262">
        <w:rPr>
          <w:lang w:val="en-GB"/>
        </w:rPr>
        <w:t>,</w:t>
      </w:r>
      <w:r w:rsidR="0022156F" w:rsidRPr="007C107C">
        <w:rPr>
          <w:lang w:val="en-GB"/>
        </w:rPr>
        <w:t xml:space="preserve"> or the</w:t>
      </w:r>
      <w:r w:rsidR="00BF431E" w:rsidRPr="007C107C">
        <w:rPr>
          <w:lang w:val="en-GB"/>
        </w:rPr>
        <w:t xml:space="preserve"> </w:t>
      </w:r>
      <w:proofErr w:type="spellStart"/>
      <w:r w:rsidRPr="007C107C">
        <w:rPr>
          <w:lang w:val="en-GB"/>
        </w:rPr>
        <w:t>gNB</w:t>
      </w:r>
      <w:commentRangeEnd w:id="5"/>
      <w:proofErr w:type="spellEnd"/>
      <w:r w:rsidR="00141325">
        <w:rPr>
          <w:rStyle w:val="CommentReference"/>
        </w:rPr>
        <w:commentReference w:id="5"/>
      </w:r>
      <w:r w:rsidR="00431F9D">
        <w:rPr>
          <w:lang w:val="en-GB"/>
        </w:rPr>
        <w:t xml:space="preserve"> </w:t>
      </w:r>
      <w:r w:rsidRPr="007C107C">
        <w:rPr>
          <w:lang w:val="en-GB"/>
        </w:rPr>
        <w:t xml:space="preserve">– </w:t>
      </w:r>
      <w:r w:rsidR="0022156F" w:rsidRPr="007C107C">
        <w:rPr>
          <w:lang w:val="en-GB"/>
        </w:rPr>
        <w:t>these three options</w:t>
      </w:r>
      <w:r w:rsidRPr="007C107C">
        <w:rPr>
          <w:lang w:val="en-GB"/>
        </w:rPr>
        <w:t xml:space="preserve"> </w:t>
      </w:r>
      <w:r w:rsidR="0022156F" w:rsidRPr="007C107C">
        <w:rPr>
          <w:lang w:val="en-GB"/>
        </w:rPr>
        <w:t>correspond</w:t>
      </w:r>
      <w:r w:rsidRPr="007C107C">
        <w:rPr>
          <w:lang w:val="en-GB"/>
        </w:rPr>
        <w:t xml:space="preserve"> to Option</w:t>
      </w:r>
      <w:r w:rsidR="00431F9D">
        <w:rPr>
          <w:lang w:val="en-GB"/>
        </w:rPr>
        <w:t>s</w:t>
      </w:r>
      <w:r w:rsidRPr="007C107C">
        <w:rPr>
          <w:lang w:val="en-GB"/>
        </w:rPr>
        <w:t xml:space="preserve"> 1/2/3 to which the SA2 LS refers to</w:t>
      </w:r>
      <w:r w:rsidR="00A20C90">
        <w:rPr>
          <w:lang w:val="en-GB"/>
        </w:rPr>
        <w:t xml:space="preserve"> and which were provided in </w:t>
      </w:r>
      <w:r w:rsidR="00A20C90" w:rsidRPr="00A20C90">
        <w:rPr>
          <w:lang w:val="en-GB"/>
        </w:rPr>
        <w:t xml:space="preserve">Table 1 of LS </w:t>
      </w:r>
      <w:r w:rsidR="00B21262">
        <w:rPr>
          <w:lang w:val="en-GB"/>
        </w:rPr>
        <w:t xml:space="preserve">in </w:t>
      </w:r>
      <w:r w:rsidR="00A20C90" w:rsidRPr="00A20C90">
        <w:rPr>
          <w:lang w:val="en-GB"/>
        </w:rPr>
        <w:t>R2-2503169</w:t>
      </w:r>
      <w:r w:rsidRPr="007C107C">
        <w:rPr>
          <w:lang w:val="en-GB"/>
        </w:rPr>
        <w:t xml:space="preserve">. </w:t>
      </w:r>
      <w:r w:rsidR="00BF431E" w:rsidRPr="007C107C">
        <w:rPr>
          <w:lang w:val="en-GB"/>
        </w:rPr>
        <w:t>For the two-sided model, a sharing of data</w:t>
      </w:r>
      <w:r w:rsidR="00431F9D">
        <w:rPr>
          <w:lang w:val="en-GB"/>
        </w:rPr>
        <w:t>set and model parameters</w:t>
      </w:r>
      <w:r w:rsidR="00BF431E" w:rsidRPr="007C107C">
        <w:rPr>
          <w:lang w:val="en-GB"/>
        </w:rPr>
        <w:t xml:space="preserve"> between</w:t>
      </w:r>
      <w:r w:rsidR="00BF431E">
        <w:rPr>
          <w:lang w:val="en-GB"/>
        </w:rPr>
        <w:t xml:space="preserve"> the NW-side </w:t>
      </w:r>
      <w:r w:rsidR="00A20C90" w:rsidRPr="00A20C90">
        <w:rPr>
          <w:lang w:val="en-GB"/>
        </w:rPr>
        <w:t xml:space="preserve">dataset/model parameter </w:t>
      </w:r>
      <w:r w:rsidR="00BF431E">
        <w:rPr>
          <w:lang w:val="en-GB"/>
        </w:rPr>
        <w:t xml:space="preserve">collection entity and the UE-side training entity is envisaged. </w:t>
      </w:r>
      <w:r>
        <w:rPr>
          <w:lang w:val="en-GB"/>
        </w:rPr>
        <w:t xml:space="preserve">RAN2 did not analyse </w:t>
      </w:r>
      <w:r w:rsidR="000C21DC">
        <w:rPr>
          <w:lang w:val="en-GB"/>
        </w:rPr>
        <w:t>details of data transfer</w:t>
      </w:r>
      <w:r>
        <w:rPr>
          <w:lang w:val="en-GB"/>
        </w:rPr>
        <w:t xml:space="preserve"> path </w:t>
      </w:r>
      <w:r w:rsidR="000C21DC">
        <w:rPr>
          <w:lang w:val="en-GB"/>
        </w:rPr>
        <w:t>involved</w:t>
      </w:r>
      <w:r>
        <w:rPr>
          <w:lang w:val="en-GB"/>
        </w:rPr>
        <w:t xml:space="preserve"> in each of these options. </w:t>
      </w:r>
      <w:r w:rsidR="0022156F">
        <w:rPr>
          <w:lang w:val="en-GB"/>
        </w:rPr>
        <w:t>RAN2 believes</w:t>
      </w:r>
      <w:r w:rsidR="00EB0E06">
        <w:rPr>
          <w:lang w:val="en-GB"/>
        </w:rPr>
        <w:t xml:space="preserve"> this</w:t>
      </w:r>
      <w:r>
        <w:rPr>
          <w:lang w:val="en-GB"/>
        </w:rPr>
        <w:t xml:space="preserve"> is within </w:t>
      </w:r>
      <w:commentRangeStart w:id="6"/>
      <w:r>
        <w:rPr>
          <w:lang w:val="en-GB"/>
        </w:rPr>
        <w:t>SA2 remit</w:t>
      </w:r>
      <w:commentRangeEnd w:id="6"/>
      <w:r w:rsidR="00141325">
        <w:rPr>
          <w:rStyle w:val="CommentReference"/>
        </w:rPr>
        <w:commentReference w:id="6"/>
      </w:r>
      <w:r>
        <w:rPr>
          <w:lang w:val="en-GB"/>
        </w:rPr>
        <w:t xml:space="preserve">. </w:t>
      </w:r>
    </w:p>
    <w:p w14:paraId="3CC1D55D" w14:textId="4793C27F" w:rsidR="004E2C3C" w:rsidRDefault="00BF431E" w:rsidP="00AB1785">
      <w:pPr>
        <w:rPr>
          <w:lang w:val="en-GB"/>
        </w:rPr>
      </w:pPr>
      <w:commentRangeStart w:id="7"/>
      <w:r>
        <w:rPr>
          <w:lang w:val="en-GB"/>
        </w:rPr>
        <w:t xml:space="preserve">One </w:t>
      </w:r>
      <w:r w:rsidR="00A74AC3">
        <w:rPr>
          <w:lang w:val="en-GB"/>
        </w:rPr>
        <w:t>resulting</w:t>
      </w:r>
      <w:r>
        <w:rPr>
          <w:lang w:val="en-GB"/>
        </w:rPr>
        <w:t xml:space="preserve"> difference between Option 2 </w:t>
      </w:r>
      <w:r w:rsidR="00D31848">
        <w:rPr>
          <w:lang w:val="en-GB"/>
        </w:rPr>
        <w:t xml:space="preserve">and </w:t>
      </w:r>
      <w:r>
        <w:rPr>
          <w:lang w:val="en-GB"/>
        </w:rPr>
        <w:t>Option</w:t>
      </w:r>
      <w:r w:rsidR="00D31848">
        <w:rPr>
          <w:lang w:val="en-GB"/>
        </w:rPr>
        <w:t xml:space="preserve"> 3</w:t>
      </w:r>
      <w:r>
        <w:rPr>
          <w:lang w:val="en-GB"/>
        </w:rPr>
        <w:t xml:space="preserve"> </w:t>
      </w:r>
      <w:r w:rsidR="00AB1785">
        <w:rPr>
          <w:lang w:val="en-GB"/>
        </w:rPr>
        <w:t xml:space="preserve">pertains to </w:t>
      </w:r>
      <w:r w:rsidR="00B21262">
        <w:rPr>
          <w:lang w:val="en-GB"/>
        </w:rPr>
        <w:t>where the</w:t>
      </w:r>
      <w:r w:rsidR="00AB1785">
        <w:rPr>
          <w:lang w:val="en-GB"/>
        </w:rPr>
        <w:t xml:space="preserve"> dataset/model parameter</w:t>
      </w:r>
      <w:r w:rsidR="00B21262">
        <w:rPr>
          <w:lang w:val="en-GB"/>
        </w:rPr>
        <w:t xml:space="preserve"> are generated</w:t>
      </w:r>
      <w:r w:rsidR="00AB1785">
        <w:rPr>
          <w:lang w:val="en-GB"/>
        </w:rPr>
        <w:t xml:space="preserve">: </w:t>
      </w:r>
      <w:r>
        <w:rPr>
          <w:lang w:val="en-GB"/>
        </w:rPr>
        <w:t xml:space="preserve">in Option 2 </w:t>
      </w:r>
      <w:r w:rsidR="00AB1785" w:rsidRPr="00AB1785">
        <w:rPr>
          <w:lang w:val="en-GB"/>
        </w:rPr>
        <w:t xml:space="preserve">dataset/model parameter generation </w:t>
      </w:r>
      <w:r w:rsidR="00B21262">
        <w:rPr>
          <w:lang w:val="en-GB"/>
        </w:rPr>
        <w:t>occurs</w:t>
      </w:r>
      <w:r w:rsidR="005C5174">
        <w:rPr>
          <w:lang w:val="en-GB"/>
        </w:rPr>
        <w:t xml:space="preserve"> in CN, whereas in Option 3</w:t>
      </w:r>
      <w:r w:rsidR="00AB1785" w:rsidRPr="00AB1785">
        <w:rPr>
          <w:lang w:val="en-GB"/>
        </w:rPr>
        <w:t xml:space="preserve">, the dataset model parameters generation </w:t>
      </w:r>
      <w:r w:rsidR="00B21262">
        <w:rPr>
          <w:lang w:val="en-GB"/>
        </w:rPr>
        <w:t>occurs</w:t>
      </w:r>
      <w:r w:rsidR="00AB1785" w:rsidRPr="00AB1785">
        <w:rPr>
          <w:lang w:val="en-GB"/>
        </w:rPr>
        <w:t xml:space="preserve"> in the </w:t>
      </w:r>
      <w:proofErr w:type="spellStart"/>
      <w:r w:rsidR="00AB1785" w:rsidRPr="00AB1785">
        <w:rPr>
          <w:lang w:val="en-GB"/>
        </w:rPr>
        <w:t>gNB</w:t>
      </w:r>
      <w:proofErr w:type="spellEnd"/>
      <w:r w:rsidR="00AB1785">
        <w:rPr>
          <w:lang w:val="en-GB"/>
        </w:rPr>
        <w:t>.</w:t>
      </w:r>
      <w:commentRangeEnd w:id="7"/>
      <w:r w:rsidR="0037566B">
        <w:rPr>
          <w:rStyle w:val="CommentReference"/>
        </w:rPr>
        <w:commentReference w:id="7"/>
      </w:r>
      <w:r w:rsidR="00AB1785">
        <w:rPr>
          <w:lang w:val="en-GB"/>
        </w:rPr>
        <w:t xml:space="preserve"> </w:t>
      </w:r>
      <w:r w:rsidR="00AB1785" w:rsidRPr="00AB1785">
        <w:rPr>
          <w:lang w:val="en-GB"/>
        </w:rPr>
        <w:t xml:space="preserve">RAN2 has not discuss the content of the dataset/model </w:t>
      </w:r>
      <w:commentRangeStart w:id="8"/>
      <w:r w:rsidR="00AB1785" w:rsidRPr="00AB1785">
        <w:rPr>
          <w:lang w:val="en-GB"/>
        </w:rPr>
        <w:t>parameters</w:t>
      </w:r>
      <w:commentRangeEnd w:id="8"/>
      <w:r w:rsidR="00141325">
        <w:rPr>
          <w:rStyle w:val="CommentReference"/>
        </w:rPr>
        <w:commentReference w:id="8"/>
      </w:r>
      <w:r w:rsidR="00AB1785" w:rsidRPr="00AB1785">
        <w:rPr>
          <w:lang w:val="en-GB"/>
        </w:rPr>
        <w:t>.</w:t>
      </w:r>
      <w:r w:rsidR="007B2BB4">
        <w:rPr>
          <w:lang w:val="en-GB"/>
        </w:rPr>
        <w:t xml:space="preserve"> </w:t>
      </w:r>
      <w:r w:rsidR="00962235">
        <w:rPr>
          <w:lang w:val="en-GB"/>
        </w:rPr>
        <w:t xml:space="preserve">Moreover, </w:t>
      </w:r>
      <w:r w:rsidR="007B2BB4">
        <w:rPr>
          <w:lang w:val="en-GB"/>
        </w:rPr>
        <w:t xml:space="preserve">RAN2 has not discussed </w:t>
      </w:r>
      <w:r w:rsidR="005C5174" w:rsidRPr="005C5174">
        <w:rPr>
          <w:lang w:val="en-GB"/>
        </w:rPr>
        <w:t xml:space="preserve">if the difference between </w:t>
      </w:r>
      <w:r w:rsidR="00AA2BB1">
        <w:rPr>
          <w:lang w:val="en-GB"/>
        </w:rPr>
        <w:t>the options has any standardization</w:t>
      </w:r>
      <w:r w:rsidR="005C5174" w:rsidRPr="005C5174">
        <w:rPr>
          <w:lang w:val="en-GB"/>
        </w:rPr>
        <w:t xml:space="preserve"> impact</w:t>
      </w:r>
      <w:r w:rsidR="00AA2BB1">
        <w:rPr>
          <w:lang w:val="en-GB"/>
        </w:rPr>
        <w:t xml:space="preserve">, which RAN2 assumes is in the scope of </w:t>
      </w:r>
      <w:commentRangeStart w:id="9"/>
      <w:r w:rsidR="00AA2BB1">
        <w:rPr>
          <w:lang w:val="en-GB"/>
        </w:rPr>
        <w:t>SA2</w:t>
      </w:r>
      <w:commentRangeEnd w:id="9"/>
      <w:r w:rsidR="00141325">
        <w:rPr>
          <w:rStyle w:val="CommentReference"/>
        </w:rPr>
        <w:commentReference w:id="9"/>
      </w:r>
      <w:r w:rsidR="007B2BB4">
        <w:rPr>
          <w:lang w:val="en-GB"/>
        </w:rPr>
        <w:t>.</w:t>
      </w:r>
      <w:r w:rsidR="005C5174" w:rsidRPr="005C5174">
        <w:rPr>
          <w:lang w:val="en-GB" w:eastAsia="zh-CN"/>
        </w:rPr>
        <w:t xml:space="preserve"> </w:t>
      </w:r>
      <w:r w:rsidR="005C5174">
        <w:rPr>
          <w:lang w:val="en-GB" w:eastAsia="zh-CN"/>
        </w:rPr>
        <w:t>For the data content of dataset/model parameter, the previous RAN1 LS R1-2410922 can be referred</w:t>
      </w:r>
      <w:r w:rsidR="00AA2BB1">
        <w:rPr>
          <w:lang w:val="en-GB" w:eastAsia="zh-CN"/>
        </w:rPr>
        <w:t xml:space="preserve"> to</w:t>
      </w:r>
      <w:r w:rsidR="005C5174">
        <w:rPr>
          <w:lang w:val="en-GB" w:eastAsia="zh-CN"/>
        </w:rPr>
        <w:t>.</w:t>
      </w:r>
    </w:p>
    <w:p w14:paraId="25FEFB1F" w14:textId="6314D079" w:rsidR="004E2C3C" w:rsidRPr="00F021D0" w:rsidRDefault="00CE025D" w:rsidP="00F021D0">
      <w:pPr>
        <w:rPr>
          <w:lang w:val="en-GB"/>
        </w:rPr>
      </w:pPr>
      <w:r>
        <w:rPr>
          <w:lang w:val="en-GB"/>
        </w:rPr>
        <w:t>Regarding the request from SA2 for</w:t>
      </w:r>
      <w:r w:rsidRPr="00CE025D">
        <w:rPr>
          <w:lang w:val="en-GB"/>
        </w:rPr>
        <w:t xml:space="preserve"> any further information from RAN2/ RAN1/R</w:t>
      </w:r>
      <w:r>
        <w:rPr>
          <w:lang w:val="en-GB"/>
        </w:rPr>
        <w:t>AN plenary on the requirements, RAN2 wishes to inform SA2 that at this point RAN2 has no new or additional requirements</w:t>
      </w:r>
      <w:r w:rsidR="005C5174">
        <w:rPr>
          <w:lang w:val="en-GB"/>
        </w:rPr>
        <w:t xml:space="preserve"> identified</w:t>
      </w:r>
      <w:r>
        <w:rPr>
          <w:lang w:val="en-GB"/>
        </w:rPr>
        <w:t>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1E38D5C0" w14:textId="0519738E" w:rsidR="009560B8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F021D0">
        <w:rPr>
          <w:lang w:eastAsia="zh-CN"/>
        </w:rPr>
        <w:t>SA2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36197FEA" w:rsidR="009560B8" w:rsidRPr="00D656E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t>TSG RAN2 Meeting #1</w:t>
      </w:r>
      <w:r w:rsidR="00D656E2" w:rsidRPr="00D656E2">
        <w:rPr>
          <w:rFonts w:ascii="Arial" w:eastAsiaTheme="minorEastAsia" w:hAnsi="Arial" w:cs="Arial"/>
          <w:bCs/>
          <w:lang w:eastAsia="zh-CN"/>
        </w:rPr>
        <w:t>32</w:t>
      </w:r>
      <w:r w:rsidRPr="00D656E2">
        <w:rPr>
          <w:rFonts w:ascii="Arial" w:eastAsiaTheme="minorEastAsia" w:hAnsi="Arial" w:cs="Arial"/>
          <w:bCs/>
          <w:lang w:eastAsia="zh-CN"/>
        </w:rPr>
        <w:tab/>
      </w:r>
      <w:r w:rsidRPr="00D656E2">
        <w:rPr>
          <w:rFonts w:ascii="Arial" w:eastAsia="MS Mincho" w:hAnsi="Arial" w:cs="Arial"/>
          <w:bCs/>
        </w:rPr>
        <w:tab/>
      </w:r>
      <w:r w:rsidR="00D656E2">
        <w:rPr>
          <w:rFonts w:ascii="Arial" w:eastAsia="MS Mincho" w:hAnsi="Arial" w:cs="Arial"/>
          <w:bCs/>
        </w:rPr>
        <w:t>17 – 21 August</w:t>
      </w:r>
      <w:r w:rsidRPr="00D656E2"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D656E2">
        <w:rPr>
          <w:rFonts w:ascii="Arial" w:eastAsia="MS Mincho" w:hAnsi="Arial" w:cs="Arial"/>
          <w:bCs/>
        </w:rPr>
        <w:tab/>
      </w:r>
      <w:r w:rsidR="00D656E2" w:rsidRPr="00D656E2">
        <w:rPr>
          <w:rFonts w:ascii="Arial" w:eastAsia="MS Mincho" w:hAnsi="Arial" w:cs="Arial"/>
          <w:bCs/>
        </w:rPr>
        <w:t>Dallas, Texas</w:t>
      </w:r>
    </w:p>
    <w:p w14:paraId="4A2E05DD" w14:textId="17193F5B" w:rsidR="00AF3527" w:rsidRPr="00176536" w:rsidRDefault="00D656E2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D656E2">
        <w:rPr>
          <w:rFonts w:ascii="Arial" w:eastAsia="MS Mincho" w:hAnsi="Arial" w:cs="Arial"/>
          <w:bCs/>
        </w:rPr>
        <w:lastRenderedPageBreak/>
        <w:t>TSG RAN2 Meeting #133</w:t>
      </w:r>
      <w:r w:rsidRPr="00D656E2">
        <w:rPr>
          <w:rFonts w:ascii="Arial" w:eastAsia="MS Mincho" w:hAnsi="Arial" w:cs="Arial"/>
          <w:bCs/>
        </w:rPr>
        <w:tab/>
      </w:r>
      <w:r w:rsidR="009560B8" w:rsidRPr="00D656E2"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9 – 13 February</w:t>
      </w:r>
      <w:r w:rsidR="00C475DF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C475DF">
        <w:rPr>
          <w:rFonts w:ascii="Arial" w:eastAsiaTheme="minorEastAsia" w:hAnsi="Arial" w:cs="Arial"/>
          <w:bCs/>
          <w:lang w:eastAsia="zh-CN"/>
        </w:rPr>
        <w:t>6</w:t>
      </w:r>
      <w:r w:rsidR="009560B8" w:rsidRPr="00D656E2">
        <w:rPr>
          <w:rFonts w:ascii="Arial" w:eastAsia="MS Mincho" w:hAnsi="Arial" w:cs="Arial"/>
          <w:bCs/>
        </w:rPr>
        <w:tab/>
      </w:r>
      <w:r w:rsidRPr="00D656E2">
        <w:rPr>
          <w:rFonts w:ascii="Arial" w:eastAsiaTheme="minorEastAsia" w:hAnsi="Arial" w:cs="Arial"/>
          <w:bCs/>
          <w:lang w:eastAsia="zh-CN"/>
        </w:rPr>
        <w:t>Gothenburg, Sweden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headerReference w:type="even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Ericsson" w:date="2025-10-15T18:42:00Z" w:initials="Ericsson">
    <w:p w14:paraId="0FCDD6F8" w14:textId="77777777" w:rsidR="00141325" w:rsidRDefault="00141325" w:rsidP="00141325">
      <w:pPr>
        <w:pStyle w:val="CommentText"/>
      </w:pPr>
      <w:r>
        <w:rPr>
          <w:rStyle w:val="CommentReference"/>
        </w:rPr>
        <w:annotationRef/>
      </w:r>
      <w:r>
        <w:t xml:space="preserve">As it is stated here, and in the TR38.843 we agreed that the </w:t>
      </w:r>
      <w:r>
        <w:rPr>
          <w:lang w:val="en-GB"/>
        </w:rPr>
        <w:t>NW-side dataset/model parameter collection entity may be CN/OAM/gNB, but we never agreed during the SI that the CN can generate the dataset/model parameters as it is assumed in the following paragraph in this LS.</w:t>
      </w:r>
    </w:p>
    <w:p w14:paraId="66BC9CFE" w14:textId="77777777" w:rsidR="00141325" w:rsidRDefault="00141325" w:rsidP="00141325">
      <w:pPr>
        <w:pStyle w:val="CommentText"/>
      </w:pPr>
      <w:r>
        <w:rPr>
          <w:lang w:val="en-GB"/>
        </w:rPr>
        <w:t>If now companies want to propose a solution where the CN generates the dataset/model parameters, that should be discussed online and at least the following issues should be addressed:</w:t>
      </w:r>
    </w:p>
    <w:p w14:paraId="6CDF9F40" w14:textId="77777777" w:rsidR="00141325" w:rsidRDefault="00141325" w:rsidP="00141325">
      <w:pPr>
        <w:pStyle w:val="CommentText"/>
        <w:numPr>
          <w:ilvl w:val="0"/>
          <w:numId w:val="20"/>
        </w:numPr>
      </w:pPr>
      <w:r>
        <w:rPr>
          <w:lang w:val="en-GB"/>
        </w:rPr>
        <w:t xml:space="preserve"> In the Rel.19 WI, we just agreed to have either a gNB or OAM centric NW side data collection. We never agreed to have a CN centric data collection. We cannot introduce a new framework for data collection just for the case of two sided models</w:t>
      </w:r>
    </w:p>
    <w:p w14:paraId="2D627754" w14:textId="77777777" w:rsidR="00141325" w:rsidRDefault="00141325" w:rsidP="00141325">
      <w:pPr>
        <w:pStyle w:val="CommentText"/>
        <w:numPr>
          <w:ilvl w:val="0"/>
          <w:numId w:val="20"/>
        </w:numPr>
      </w:pPr>
      <w:r>
        <w:t xml:space="preserve"> If the CN generates the dataset/model parameters, then it is not clear what type of information the CN needs from the gNB. This was never discussed in RAN1/RAN2. Since as mentioned in the bullet 1, we do not have CN centric NW side data collection, then it is not clear how this can be achieved.</w:t>
      </w:r>
    </w:p>
  </w:comment>
  <w:comment w:id="6" w:author="Ericsson" w:date="2025-10-15T18:43:00Z" w:initials="Ericsson">
    <w:p w14:paraId="4C170AE7" w14:textId="77777777" w:rsidR="00141325" w:rsidRDefault="00141325" w:rsidP="00141325">
      <w:pPr>
        <w:pStyle w:val="CommentText"/>
      </w:pPr>
      <w:r>
        <w:rPr>
          <w:rStyle w:val="CommentReference"/>
        </w:rPr>
        <w:annotationRef/>
      </w:r>
      <w:r>
        <w:t>Please add “or SA5”, because for option 3 at least, the impact is in SA5 mainly.</w:t>
      </w:r>
    </w:p>
  </w:comment>
  <w:comment w:id="7" w:author="YuanY Zhang (张园园)" w:date="2025-10-16T00:12:00Z" w:initials="YZ(">
    <w:p w14:paraId="36D62D22" w14:textId="57E8E27C" w:rsidR="0037566B" w:rsidRDefault="0037566B">
      <w:pPr>
        <w:pStyle w:val="CommentText"/>
      </w:pPr>
      <w:r>
        <w:rPr>
          <w:rStyle w:val="CommentReference"/>
        </w:rPr>
        <w:annotationRef/>
      </w:r>
      <w:r>
        <w:t>Thank you for your patience in explaining the details. However, we don’t believe that the difference identified between option 2 and option 3 is entirely factual or neutral. If you still have the patience, allow me to elaborate further ☺️:</w:t>
      </w:r>
    </w:p>
    <w:p w14:paraId="518E3BE8" w14:textId="77777777" w:rsidR="0037566B" w:rsidRDefault="0037566B">
      <w:pPr>
        <w:pStyle w:val="CommentText"/>
      </w:pPr>
    </w:p>
    <w:p w14:paraId="589D02DB" w14:textId="77777777" w:rsidR="0037566B" w:rsidRDefault="0037566B">
      <w:pPr>
        <w:pStyle w:val="CommentText"/>
      </w:pPr>
      <w:r>
        <w:t>The sharing of the dataset/model parameters occurs after the model training for the network-part of the two-sided model is completed. This training entity is typically some form of network-side server, responsible for managing offline training collaboration between the network-part and UE-part of the two-sided model. Logically, the gNB is not the appropriate entity to generate or act as the source of these dataset/model parameters. Furthermore, this particular role of the gNB has not been explicitly discussed or agreed upon in RAN2. I also believe it falls outside RAN2's scope to determine whether the gNB can perform this function.</w:t>
      </w:r>
    </w:p>
    <w:p w14:paraId="1A8361A7" w14:textId="77777777" w:rsidR="0037566B" w:rsidRDefault="0037566B">
      <w:pPr>
        <w:pStyle w:val="CommentText"/>
      </w:pPr>
    </w:p>
    <w:p w14:paraId="3D461231" w14:textId="77777777" w:rsidR="0037566B" w:rsidRDefault="0037566B">
      <w:pPr>
        <w:pStyle w:val="CommentText"/>
      </w:pPr>
      <w:r>
        <w:t>To maintain a constructive and neutral approach, we suggest considering wording along the lines of:</w:t>
      </w:r>
    </w:p>
    <w:p w14:paraId="4434C96D" w14:textId="77777777" w:rsidR="0037566B" w:rsidRDefault="0037566B">
      <w:pPr>
        <w:pStyle w:val="CommentText"/>
      </w:pPr>
    </w:p>
    <w:p w14:paraId="70BBD4E7" w14:textId="77777777" w:rsidR="0037566B" w:rsidRDefault="0037566B" w:rsidP="003F2918">
      <w:pPr>
        <w:pStyle w:val="CommentText"/>
      </w:pPr>
      <w:r>
        <w:t>"</w:t>
      </w:r>
      <w:r>
        <w:rPr>
          <w:b/>
          <w:bCs/>
        </w:rPr>
        <w:t>One potential difference, as imagined from RAN2’s perspective</w:t>
      </w:r>
      <w:r>
        <w:t>, between option 2 and option 3 is…"</w:t>
      </w:r>
    </w:p>
  </w:comment>
  <w:comment w:id="8" w:author="Ericsson" w:date="2025-10-15T18:44:00Z" w:initials="Ericsson">
    <w:p w14:paraId="6BAB7368" w14:textId="77777777" w:rsidR="00141325" w:rsidRDefault="00141325" w:rsidP="00141325">
      <w:pPr>
        <w:pStyle w:val="CommentText"/>
      </w:pPr>
      <w:r>
        <w:rPr>
          <w:rStyle w:val="CommentReference"/>
        </w:rPr>
        <w:annotationRef/>
      </w:r>
      <w:r>
        <w:t>In option 2, it is not clear what information the CN needs to generate the dataset/model parameters. This was never discussed in RAN1/RAN2.</w:t>
      </w:r>
    </w:p>
    <w:p w14:paraId="2B775904" w14:textId="77777777" w:rsidR="00141325" w:rsidRDefault="00141325" w:rsidP="00141325">
      <w:pPr>
        <w:pStyle w:val="CommentText"/>
      </w:pPr>
      <w:r>
        <w:t>So we suggest adding the following:</w:t>
      </w:r>
    </w:p>
    <w:p w14:paraId="1C9EA83A" w14:textId="77777777" w:rsidR="00141325" w:rsidRDefault="00141325" w:rsidP="00141325">
      <w:pPr>
        <w:pStyle w:val="CommentText"/>
      </w:pPr>
    </w:p>
    <w:p w14:paraId="1C4581B2" w14:textId="77777777" w:rsidR="00141325" w:rsidRDefault="00141325" w:rsidP="00141325">
      <w:pPr>
        <w:pStyle w:val="CommentText"/>
      </w:pPr>
      <w:r>
        <w:t>“</w:t>
      </w:r>
      <w:r>
        <w:rPr>
          <w:lang w:val="en-GB"/>
        </w:rPr>
        <w:t>RAN2 has not discuss</w:t>
      </w:r>
      <w:r>
        <w:rPr>
          <w:u w:val="single"/>
          <w:lang w:val="en-GB"/>
        </w:rPr>
        <w:t>ed</w:t>
      </w:r>
      <w:r>
        <w:rPr>
          <w:lang w:val="en-GB"/>
        </w:rPr>
        <w:t xml:space="preserve"> the content of the dataset/model parameters </w:t>
      </w:r>
      <w:r>
        <w:rPr>
          <w:u w:val="single"/>
          <w:lang w:val="en-GB"/>
        </w:rPr>
        <w:t>and for the case of option 2 what information the CN needs from the gNB for the dataset/model parameter generation</w:t>
      </w:r>
      <w:r>
        <w:t>”</w:t>
      </w:r>
    </w:p>
  </w:comment>
  <w:comment w:id="9" w:author="Ericsson" w:date="2025-10-15T18:45:00Z" w:initials="Ericsson">
    <w:p w14:paraId="7DE557DE" w14:textId="77777777" w:rsidR="00141325" w:rsidRDefault="00141325" w:rsidP="00141325">
      <w:pPr>
        <w:pStyle w:val="CommentText"/>
      </w:pPr>
      <w:r>
        <w:rPr>
          <w:rStyle w:val="CommentReference"/>
        </w:rPr>
        <w:annotationRef/>
      </w:r>
      <w:r>
        <w:t>Same comment as above:</w:t>
      </w:r>
    </w:p>
    <w:p w14:paraId="07FCA649" w14:textId="77777777" w:rsidR="00141325" w:rsidRDefault="00141325" w:rsidP="00141325">
      <w:pPr>
        <w:pStyle w:val="CommentText"/>
      </w:pPr>
      <w:r>
        <w:t>Please add “or SA5”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627754" w15:done="0"/>
  <w15:commentEx w15:paraId="4C170AE7" w15:done="0"/>
  <w15:commentEx w15:paraId="70BBD4E7" w15:done="0"/>
  <w15:commentEx w15:paraId="1C4581B2" w15:done="0"/>
  <w15:commentEx w15:paraId="07FCA6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4B2D4B" w16cex:dateUtc="2025-10-15T16:42:00Z"/>
  <w16cex:commentExtensible w16cex:durableId="6E65FFEF" w16cex:dateUtc="2025-10-15T16:43:00Z"/>
  <w16cex:commentExtensible w16cex:durableId="2C9AB6ED" w16cex:dateUtc="2025-10-15T16:12:00Z"/>
  <w16cex:commentExtensible w16cex:durableId="3E4710F6" w16cex:dateUtc="2025-10-15T16:44:00Z"/>
  <w16cex:commentExtensible w16cex:durableId="2828CBD1" w16cex:dateUtc="2025-10-15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627754" w16cid:durableId="5E4B2D4B"/>
  <w16cid:commentId w16cid:paraId="4C170AE7" w16cid:durableId="6E65FFEF"/>
  <w16cid:commentId w16cid:paraId="70BBD4E7" w16cid:durableId="2C9AB6ED"/>
  <w16cid:commentId w16cid:paraId="1C4581B2" w16cid:durableId="3E4710F6"/>
  <w16cid:commentId w16cid:paraId="07FCA649" w16cid:durableId="2828CB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0CB3" w14:textId="77777777" w:rsidR="00E3112D" w:rsidRDefault="00E3112D" w:rsidP="00F373BD">
      <w:pPr>
        <w:spacing w:after="0"/>
      </w:pPr>
      <w:r>
        <w:separator/>
      </w:r>
    </w:p>
  </w:endnote>
  <w:endnote w:type="continuationSeparator" w:id="0">
    <w:p w14:paraId="4ECA6719" w14:textId="77777777" w:rsidR="00E3112D" w:rsidRDefault="00E3112D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1348" w14:textId="77777777" w:rsidR="00E3112D" w:rsidRDefault="00E3112D" w:rsidP="00F373BD">
      <w:pPr>
        <w:spacing w:after="0"/>
      </w:pPr>
      <w:r>
        <w:separator/>
      </w:r>
    </w:p>
  </w:footnote>
  <w:footnote w:type="continuationSeparator" w:id="0">
    <w:p w14:paraId="6EADA7AA" w14:textId="77777777" w:rsidR="00E3112D" w:rsidRDefault="00E3112D" w:rsidP="00F37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47B7" w14:textId="47213CAC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1619B" wp14:editId="1C0B33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249327806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D643A" w14:textId="273AD5B2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6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12.8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9+dgIAALcEAAAOAAAAZHJzL2Uyb0RvYy54bWysVN9P2zAQfp+0/8Hye0maNpRWpCi0BCFV&#10;gASIZ9dxaCTHtmxD0k3737lzEraxPU17cS/387vv7np+0TWSvAnraq0yOj2JKRGK67JWLxl9eiwm&#10;Z5Q4z1TJpFYio0fh6MX665fz1qxEog9alsISSKLcqjUZPXhvVlHk+EE0zJ1oIxQYK20b5uHTvkSl&#10;ZS1kb2SUxPFp1GpbGqu5cA60295I1yF/VQnu76rKCU9kRgGbD68N7x7faH3OVi+WmUPNBxjsH1A0&#10;rFZQ9CPVlnlGXm39R6qm5lY7XfkTrptIV1XNRegBupnGn7p5ODAjQi9AjjMfNLn/l5bfvt1bUpcw&#10;u2S+nCWLs/iUEsUamNWj6Dy51B1JKCmF40Db7vqK3CgvrGKSPDlB7pQ8hsbBd+c8UoBRofXvaX41&#10;nxZ5MtnERTGZzxfxZHm5nU/SIt9u8rPF5vIq+YEjiEJUiI9a41YBFc4wiA8GIPoOkABKdEe9AyVW&#10;6yrb4C9QScAOMz5+zBWRcAyaz2bTZUoJB9tscZqm6VB1jDbW+WuhG4JCRi3sTeiKvQGoHuDogsWU&#10;Lmopw+5I9ZsCOkFN6KKHiGB9t+8G3HtdHqEdq/tVdIYXNdTcMefvmYXdgw7gnvwdPJXUbUb1IFFy&#10;0Pbb3/ToDysBVkpa2OWMKjg2SuSNglXBtQ/CdBmnMXzZUb0fBfXabDRcyBSO1fAgop+Xo1hZ3TzD&#10;peVYCExMcSiXUT+KG98fFVwqF3kenGDDDfM79WA4pkaekMTH7plZMzDtYUa3elx0tvpEeO+Lkc7k&#10;rx5oD9NATnsiB6rhOsIWDZeM5/frd/D6+X+zfgcAAP//AwBQSwMEFAAGAAgAAAAhABl76qvaAAAA&#10;BAEAAA8AAABkcnMvZG93bnJldi54bWxMj8FOwzAQRO9I/IO1SNyok6BACXGqCqmH3kqBnrfxkgTi&#10;dRRv29Cvx3CBy0qjGc28LReT69WRxtB5NpDOElDEtbcdNwZeX1Y3c1BBkC32nsnAFwVYVJcXJRbW&#10;n/iZjltpVCzhUKCBVmQotA51Sw7DzA/E0Xv3o0OJcmy0HfEUy12vsyS50w47jgstDvTUUv25PTgD&#10;Xb70ktLbevWxc6lPz5t1ft4Yc301LR9BCU3yF4Yf/IgOVWTa+wPboHoD8RH5vdHLsvwe1N5A/nAL&#10;uir1f/jqGwAA//8DAFBLAQItABQABgAIAAAAIQC2gziS/gAAAOEBAAATAAAAAAAAAAAAAAAAAAAA&#10;AABbQ29udGVudF9UeXBlc10ueG1sUEsBAi0AFAAGAAgAAAAhADj9If/WAAAAlAEAAAsAAAAAAAAA&#10;AAAAAAAALwEAAF9yZWxzLy5yZWxzUEsBAi0AFAAGAAgAAAAhAIFYj352AgAAtwQAAA4AAAAAAAAA&#10;AAAAAAAALgIAAGRycy9lMm9Eb2MueG1sUEsBAi0AFAAGAAgAAAAhABl76qvaAAAABAEAAA8AAAAA&#10;AAAAAAAAAAAA0AQAAGRycy9kb3ducmV2LnhtbFBLBQYAAAAABAAEAPMAAADXBQAAAAA=&#10;" filled="f" stroked="f">
              <v:textbox style="mso-fit-shape-to-text:t" inset="0,15pt,0,0">
                <w:txbxContent>
                  <w:p w14:paraId="2D3D643A" w14:textId="273AD5B2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5E9" w14:textId="28CA718F" w:rsidR="00D20597" w:rsidRDefault="00D2059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734BF2" wp14:editId="52B1C8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376555"/>
              <wp:effectExtent l="0" t="0" r="14605" b="4445"/>
              <wp:wrapNone/>
              <wp:docPr id="1646478874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BB9F" w14:textId="0EB68813" w:rsidR="00D20597" w:rsidRPr="00D20597" w:rsidRDefault="00D20597" w:rsidP="00D205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205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34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GE Internal Use Only" style="position:absolute;margin-left:0;margin-top:0;width:112.8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bjeAIAAL4EAAAOAAAAZHJzL2Uyb0RvYy54bWysVN9P2zAQfp+0/8Hye0lakrZUTVFoCUKq&#10;AAkQz67jtJEc27INSTftf+fOadjG9jTtxb3cz+++u+vysmskeRPW1VpldHwWUyIU12Wt9hl9fipG&#10;c0qcZ6pkUiuR0aNw9HL19cuyNQsx0QctS2EJJFFu0ZqMHrw3iyhy/CAa5s60EQqMlbYN8/Bp91Fp&#10;WQvZGxlN4ngatdqWxmounAPtpjfSVchfVYL7+6pywhOZUcDmw2vDu8M3Wi3ZYm+ZOdT8BIP9A4qG&#10;1QqKfqTaMM/Iq63/SNXU3GqnK3/GdRPpqqq5CD1AN+P4UzePB2ZE6AXIceaDJvf/0vK7twdL6hJm&#10;N02myWw+nyWUKNbArJ5E58mV7siYklI4DrRtb67JrfLCKibJsxPkXsljaBx8t84jBRgVWv+e5tfJ&#10;uMgno3VcFKMkmcWji6tNMkqLfLPO57P11fXkB44gClEhPmqNWwRUOMMgPhqA6DtAAijRHfUOlFit&#10;q2yDv0AlATvM+PgxV0TCMSg5Px9fpJRwsJ3PpmmanqoO0cY6fyN0Q1DIqIW9CV2xNwDVAxxcsJjS&#10;RS1l2B2pflNAJ6gJXfQQEazvdl1P8gB/p8sjdGV1v5HO8KKG0lvm/AOzsILQCJyVv4enkrrNqD5J&#10;lBy0/fY3PfrDZoCVkhZWOqMKbo4SeatgY3D7gzC+iNMYvuyg3g2Cem3WGg4F5g2Agoh+Xg5iZXXz&#10;AgeXYyEwMcWhXEb9IK59f1twsFzkeXCCRTfMb9Wj4Zga6UIun7oXZs2JcA+jutPDvrPFJ957X4x0&#10;Jn/1wH4YClLbE3liHI4kLNPpoPEKf/0OXj//dlbvAAAA//8DAFBLAwQUAAYACAAAACEAGXvqq9oA&#10;AAAEAQAADwAAAGRycy9kb3ducmV2LnhtbEyPwU7DMBBE70j8g7VI3KiToEAJcaoKqYfeSoGet/GS&#10;BOJ1FG/b0K/HcIHLSqMZzbwtF5Pr1ZHG0Hk2kM4SUMS1tx03Bl5fVjdzUEGQLfaeycAXBVhUlxcl&#10;Ftaf+JmOW2lULOFQoIFWZCi0DnVLDsPMD8TRe/ejQ4lybLQd8RTLXa+zJLnTDjuOCy0O9NRS/bk9&#10;OANdvvSS0tt69bFzqU/Pm3V+3hhzfTUtH0EJTfIXhh/8iA5VZNr7A9ugegPxEfm90cuy/B7U3kD+&#10;cAu6KvV/+OobAAD//wMAUEsBAi0AFAAGAAgAAAAhALaDOJL+AAAA4QEAABMAAAAAAAAAAAAAAAAA&#10;AAAAAFtDb250ZW50X1R5cGVzXS54bWxQSwECLQAUAAYACAAAACEAOP0h/9YAAACUAQAACwAAAAAA&#10;AAAAAAAAAAAvAQAAX3JlbHMvLnJlbHNQSwECLQAUAAYACAAAACEA5K6G43gCAAC+BAAADgAAAAAA&#10;AAAAAAAAAAAuAgAAZHJzL2Uyb0RvYy54bWxQSwECLQAUAAYACAAAACEAGXvqq9oAAAAEAQAADwAA&#10;AAAAAAAAAAAAAADSBAAAZHJzL2Rvd25yZXYueG1sUEsFBgAAAAAEAAQA8wAAANkFAAAAAA==&#10;" filled="f" stroked="f">
              <v:textbox style="mso-fit-shape-to-text:t" inset="0,15pt,0,0">
                <w:txbxContent>
                  <w:p w14:paraId="24FCBB9F" w14:textId="0EB68813" w:rsidR="00D20597" w:rsidRPr="00D20597" w:rsidRDefault="00D20597" w:rsidP="00D205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2059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52227"/>
    <w:multiLevelType w:val="hybridMultilevel"/>
    <w:tmpl w:val="CD248574"/>
    <w:lvl w:ilvl="0" w:tplc="3E0498A8">
      <w:start w:val="1"/>
      <w:numFmt w:val="decimal"/>
      <w:lvlText w:val="%1."/>
      <w:lvlJc w:val="left"/>
      <w:pPr>
        <w:ind w:left="720" w:hanging="360"/>
      </w:pPr>
    </w:lvl>
    <w:lvl w:ilvl="1" w:tplc="DAA81A3C">
      <w:start w:val="1"/>
      <w:numFmt w:val="decimal"/>
      <w:lvlText w:val="%2."/>
      <w:lvlJc w:val="left"/>
      <w:pPr>
        <w:ind w:left="720" w:hanging="360"/>
      </w:pPr>
    </w:lvl>
    <w:lvl w:ilvl="2" w:tplc="E3525C74">
      <w:start w:val="1"/>
      <w:numFmt w:val="decimal"/>
      <w:lvlText w:val="%3."/>
      <w:lvlJc w:val="left"/>
      <w:pPr>
        <w:ind w:left="720" w:hanging="360"/>
      </w:pPr>
    </w:lvl>
    <w:lvl w:ilvl="3" w:tplc="2EAA8052">
      <w:start w:val="1"/>
      <w:numFmt w:val="decimal"/>
      <w:lvlText w:val="%4."/>
      <w:lvlJc w:val="left"/>
      <w:pPr>
        <w:ind w:left="720" w:hanging="360"/>
      </w:pPr>
    </w:lvl>
    <w:lvl w:ilvl="4" w:tplc="687481F4">
      <w:start w:val="1"/>
      <w:numFmt w:val="decimal"/>
      <w:lvlText w:val="%5."/>
      <w:lvlJc w:val="left"/>
      <w:pPr>
        <w:ind w:left="720" w:hanging="360"/>
      </w:pPr>
    </w:lvl>
    <w:lvl w:ilvl="5" w:tplc="0DDABB5C">
      <w:start w:val="1"/>
      <w:numFmt w:val="decimal"/>
      <w:lvlText w:val="%6."/>
      <w:lvlJc w:val="left"/>
      <w:pPr>
        <w:ind w:left="720" w:hanging="360"/>
      </w:pPr>
    </w:lvl>
    <w:lvl w:ilvl="6" w:tplc="59FA2142">
      <w:start w:val="1"/>
      <w:numFmt w:val="decimal"/>
      <w:lvlText w:val="%7."/>
      <w:lvlJc w:val="left"/>
      <w:pPr>
        <w:ind w:left="720" w:hanging="360"/>
      </w:pPr>
    </w:lvl>
    <w:lvl w:ilvl="7" w:tplc="2F809BC0">
      <w:start w:val="1"/>
      <w:numFmt w:val="decimal"/>
      <w:lvlText w:val="%8."/>
      <w:lvlJc w:val="left"/>
      <w:pPr>
        <w:ind w:left="720" w:hanging="360"/>
      </w:pPr>
    </w:lvl>
    <w:lvl w:ilvl="8" w:tplc="8B2808DC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772037">
    <w:abstractNumId w:val="13"/>
  </w:num>
  <w:num w:numId="2" w16cid:durableId="2099860552">
    <w:abstractNumId w:val="8"/>
  </w:num>
  <w:num w:numId="3" w16cid:durableId="1684627819">
    <w:abstractNumId w:val="2"/>
  </w:num>
  <w:num w:numId="4" w16cid:durableId="1780638058">
    <w:abstractNumId w:val="7"/>
  </w:num>
  <w:num w:numId="5" w16cid:durableId="26797873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385645375">
    <w:abstractNumId w:val="11"/>
  </w:num>
  <w:num w:numId="7" w16cid:durableId="958796832">
    <w:abstractNumId w:val="4"/>
  </w:num>
  <w:num w:numId="8" w16cid:durableId="818495088">
    <w:abstractNumId w:val="12"/>
  </w:num>
  <w:num w:numId="9" w16cid:durableId="99765015">
    <w:abstractNumId w:val="13"/>
  </w:num>
  <w:num w:numId="10" w16cid:durableId="1090347427">
    <w:abstractNumId w:val="13"/>
  </w:num>
  <w:num w:numId="11" w16cid:durableId="56323526">
    <w:abstractNumId w:val="13"/>
  </w:num>
  <w:num w:numId="12" w16cid:durableId="9812340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57192190">
    <w:abstractNumId w:val="5"/>
  </w:num>
  <w:num w:numId="14" w16cid:durableId="1404403641">
    <w:abstractNumId w:val="14"/>
  </w:num>
  <w:num w:numId="15" w16cid:durableId="547450178">
    <w:abstractNumId w:val="16"/>
  </w:num>
  <w:num w:numId="16" w16cid:durableId="390931751">
    <w:abstractNumId w:val="3"/>
  </w:num>
  <w:num w:numId="17" w16cid:durableId="635379501">
    <w:abstractNumId w:val="1"/>
  </w:num>
  <w:num w:numId="18" w16cid:durableId="1955206594">
    <w:abstractNumId w:val="6"/>
  </w:num>
  <w:num w:numId="19" w16cid:durableId="1555580268">
    <w:abstractNumId w:val="9"/>
  </w:num>
  <w:num w:numId="20" w16cid:durableId="36375613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YuanY Zhang (张园园)">
    <w15:presenceInfo w15:providerId="AD" w15:userId="S::YuanY.Zhang@mediatek.com::95fcffd7-56b5-439e-819a-b19ada2bf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0B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81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607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B1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519"/>
    <w:rsid w:val="00140B94"/>
    <w:rsid w:val="0014114A"/>
    <w:rsid w:val="00141325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2A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A87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5EE3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DCB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66B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0EB8"/>
    <w:rsid w:val="00391224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4023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AF9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52C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D7D2A"/>
    <w:rsid w:val="004E0523"/>
    <w:rsid w:val="004E0AB1"/>
    <w:rsid w:val="004E0C1E"/>
    <w:rsid w:val="004E0EC8"/>
    <w:rsid w:val="004E126C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DD0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360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047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795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174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8E2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077"/>
    <w:rsid w:val="00783165"/>
    <w:rsid w:val="00783426"/>
    <w:rsid w:val="0078371F"/>
    <w:rsid w:val="00783A37"/>
    <w:rsid w:val="00783D89"/>
    <w:rsid w:val="00783E48"/>
    <w:rsid w:val="00784209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7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EE8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1E9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3F4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235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4E80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532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67C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5B9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0C90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1C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4AC3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BB1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785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262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DC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5DD6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DF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3B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597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6D6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848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6E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00F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12D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53D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3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DC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75076-5c04-40e0-9a4d-fd3e2648dcb2">
      <Terms xmlns="http://schemas.microsoft.com/office/infopath/2007/PartnerControls"/>
    </lcf76f155ced4ddcb4097134ff3c332f>
    <TaxCatchAll xmlns="fa0aa013-70cc-4caf-a624-3c5587bb5d7c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CF6BD-930F-432E-9D0B-329458840CCC}">
  <ds:schemaRefs>
    <ds:schemaRef ds:uri="http://www.w3.org/XML/1998/namespace"/>
    <ds:schemaRef ds:uri="http://schemas.microsoft.com/office/2006/documentManagement/types"/>
    <ds:schemaRef ds:uri="fa0aa013-70cc-4caf-a624-3c5587bb5d7c"/>
    <ds:schemaRef ds:uri="http://purl.org/dc/elements/1.1/"/>
    <ds:schemaRef ds:uri="http://purl.org/dc/dcmitype/"/>
    <ds:schemaRef ds:uri="http://schemas.openxmlformats.org/package/2006/metadata/core-properties"/>
    <ds:schemaRef ds:uri="2b775076-5c04-40e0-9a4d-fd3e2648dcb2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EA38D7C-5960-4D71-B955-C86922659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8940C-B2CF-4F7B-A9C3-CE1345F2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Ericsson</cp:lastModifiedBy>
  <cp:revision>3</cp:revision>
  <dcterms:created xsi:type="dcterms:W3CDTF">2025-10-15T16:12:00Z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0x010100B9724136FC6E80489C25817DFB9B13B2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lassificationContentMarkingHeaderShapeIds">
    <vt:lpwstr>6223461a,4a773abe,4deb515d</vt:lpwstr>
  </property>
  <property fmtid="{D5CDD505-2E9C-101B-9397-08002B2CF9AE}" pid="16" name="ClassificationContentMarkingHeaderFontProps">
    <vt:lpwstr>#000000,12,Aptos</vt:lpwstr>
  </property>
  <property fmtid="{D5CDD505-2E9C-101B-9397-08002B2CF9AE}" pid="17" name="ClassificationContentMarkingHeaderText">
    <vt:lpwstr>LGE Internal Use Only</vt:lpwstr>
  </property>
  <property fmtid="{D5CDD505-2E9C-101B-9397-08002B2CF9AE}" pid="18" name="MSIP_Label_cc6ed9fc-fefc-4a0c-a6d6-10cf236c0d4f_Enabled">
    <vt:lpwstr>true</vt:lpwstr>
  </property>
  <property fmtid="{D5CDD505-2E9C-101B-9397-08002B2CF9AE}" pid="19" name="MSIP_Label_cc6ed9fc-fefc-4a0c-a6d6-10cf236c0d4f_SetDate">
    <vt:lpwstr>2025-10-15T07:11:00Z</vt:lpwstr>
  </property>
  <property fmtid="{D5CDD505-2E9C-101B-9397-08002B2CF9AE}" pid="20" name="MSIP_Label_cc6ed9fc-fefc-4a0c-a6d6-10cf236c0d4f_Method">
    <vt:lpwstr>Standard</vt:lpwstr>
  </property>
  <property fmtid="{D5CDD505-2E9C-101B-9397-08002B2CF9AE}" pid="21" name="MSIP_Label_cc6ed9fc-fefc-4a0c-a6d6-10cf236c0d4f_Name">
    <vt:lpwstr>Internal use only</vt:lpwstr>
  </property>
  <property fmtid="{D5CDD505-2E9C-101B-9397-08002B2CF9AE}" pid="22" name="MSIP_Label_cc6ed9fc-fefc-4a0c-a6d6-10cf236c0d4f_SiteId">
    <vt:lpwstr>5069cde4-642a-45c0-8094-d0c2dec10be3</vt:lpwstr>
  </property>
  <property fmtid="{D5CDD505-2E9C-101B-9397-08002B2CF9AE}" pid="23" name="MSIP_Label_cc6ed9fc-fefc-4a0c-a6d6-10cf236c0d4f_ActionId">
    <vt:lpwstr>94863bb8-5fdb-48ca-8d6f-6e43d12271e2</vt:lpwstr>
  </property>
  <property fmtid="{D5CDD505-2E9C-101B-9397-08002B2CF9AE}" pid="24" name="MSIP_Label_cc6ed9fc-fefc-4a0c-a6d6-10cf236c0d4f_ContentBits">
    <vt:lpwstr>1</vt:lpwstr>
  </property>
  <property fmtid="{D5CDD505-2E9C-101B-9397-08002B2CF9AE}" pid="25" name="MSIP_Label_cc6ed9fc-fefc-4a0c-a6d6-10cf236c0d4f_Tag">
    <vt:lpwstr>10, 3, 0, 1</vt:lpwstr>
  </property>
</Properties>
</file>