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D2FAD" w14:textId="74A35DBF" w:rsidR="006408F6" w:rsidRPr="000757C1"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heme="minorEastAsia" w:hAnsiTheme="minorHAnsi" w:cstheme="minorHAnsi"/>
          <w:noProof w:val="0"/>
          <w:sz w:val="24"/>
          <w:szCs w:val="28"/>
          <w:lang w:eastAsia="zh-TW"/>
        </w:rPr>
      </w:pPr>
      <w:bookmarkStart w:id="0" w:name="OLE_LINK137"/>
      <w:bookmarkStart w:id="1" w:name="OLE_LINK138"/>
      <w:r w:rsidRPr="00A8489F">
        <w:rPr>
          <w:rFonts w:asciiTheme="minorHAnsi" w:eastAsia="Times New Roman" w:hAnsiTheme="minorHAnsi" w:cstheme="minorHAnsi"/>
          <w:noProof w:val="0"/>
          <w:sz w:val="24"/>
          <w:szCs w:val="28"/>
          <w:lang w:eastAsia="x-none"/>
        </w:rPr>
        <w:t>3GPP TSG-RAN WG2 Meeting #1</w:t>
      </w:r>
      <w:r w:rsidR="000757C1">
        <w:rPr>
          <w:rFonts w:asciiTheme="minorHAnsi" w:eastAsiaTheme="minorEastAsia" w:hAnsiTheme="minorHAnsi" w:cstheme="minorHAnsi" w:hint="eastAsia"/>
          <w:noProof w:val="0"/>
          <w:sz w:val="24"/>
          <w:szCs w:val="28"/>
          <w:lang w:eastAsia="zh-TW"/>
        </w:rPr>
        <w:t>3</w:t>
      </w:r>
      <w:r w:rsidR="003C5E3E">
        <w:rPr>
          <w:rFonts w:asciiTheme="minorHAnsi" w:eastAsiaTheme="minorEastAsia" w:hAnsiTheme="minorHAnsi" w:cstheme="minorHAnsi" w:hint="eastAsia"/>
          <w:noProof w:val="0"/>
          <w:sz w:val="24"/>
          <w:szCs w:val="28"/>
          <w:lang w:eastAsia="zh-TW"/>
        </w:rPr>
        <w:t>2</w:t>
      </w:r>
      <w:r w:rsidR="006408F6" w:rsidRPr="00A8489F">
        <w:rPr>
          <w:rFonts w:asciiTheme="minorHAnsi" w:eastAsia="Times New Roman" w:hAnsiTheme="minorHAnsi" w:cstheme="minorHAnsi"/>
          <w:noProof w:val="0"/>
          <w:sz w:val="24"/>
          <w:szCs w:val="28"/>
          <w:lang w:eastAsia="x-none"/>
        </w:rPr>
        <w:tab/>
      </w:r>
      <w:r w:rsidR="006408F6" w:rsidRPr="00EA12F8">
        <w:rPr>
          <w:rFonts w:asciiTheme="minorHAnsi" w:eastAsia="Times New Roman" w:hAnsiTheme="minorHAnsi" w:cstheme="minorHAnsi"/>
          <w:bCs/>
          <w:noProof w:val="0"/>
          <w:sz w:val="24"/>
          <w:szCs w:val="28"/>
          <w:lang w:val="en-US" w:eastAsia="x-none"/>
        </w:rPr>
        <w:tab/>
      </w:r>
      <w:r w:rsidR="005B715A">
        <w:rPr>
          <w:rFonts w:asciiTheme="minorHAnsi" w:eastAsia="Times New Roman" w:hAnsiTheme="minorHAnsi" w:cstheme="minorHAnsi"/>
          <w:bCs/>
          <w:noProof w:val="0"/>
          <w:sz w:val="24"/>
          <w:szCs w:val="28"/>
          <w:lang w:val="en-US" w:eastAsia="x-none"/>
        </w:rPr>
        <w:t xml:space="preserve">         </w:t>
      </w:r>
      <w:r w:rsidR="002C085E">
        <w:rPr>
          <w:rFonts w:asciiTheme="minorHAnsi" w:eastAsia="Times New Roman" w:hAnsiTheme="minorHAnsi" w:cstheme="minorHAnsi"/>
          <w:bCs/>
          <w:noProof w:val="0"/>
          <w:sz w:val="24"/>
          <w:szCs w:val="28"/>
          <w:lang w:val="en-US" w:eastAsia="x-none"/>
        </w:rPr>
        <w:t>R2-</w:t>
      </w:r>
      <w:r w:rsidR="00B4536A" w:rsidRPr="00B4536A">
        <w:rPr>
          <w:rFonts w:asciiTheme="minorHAnsi" w:eastAsia="Times New Roman" w:hAnsiTheme="minorHAnsi" w:cstheme="minorHAnsi"/>
          <w:bCs/>
          <w:noProof w:val="0"/>
          <w:sz w:val="24"/>
          <w:szCs w:val="28"/>
          <w:lang w:val="en-US" w:eastAsia="x-none"/>
        </w:rPr>
        <w:t>250</w:t>
      </w:r>
      <w:r w:rsidR="0027262C">
        <w:rPr>
          <w:rFonts w:asciiTheme="minorHAnsi" w:eastAsiaTheme="minorEastAsia" w:hAnsiTheme="minorHAnsi" w:cstheme="minorHAnsi" w:hint="eastAsia"/>
          <w:bCs/>
          <w:noProof w:val="0"/>
          <w:sz w:val="24"/>
          <w:szCs w:val="28"/>
          <w:lang w:val="en-US" w:eastAsia="zh-TW"/>
        </w:rPr>
        <w:t>8550</w:t>
      </w:r>
    </w:p>
    <w:p w14:paraId="41F9B491" w14:textId="64246B45" w:rsidR="0097167E" w:rsidRPr="00281989" w:rsidRDefault="003C5E3E"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x-none"/>
        </w:rPr>
      </w:pPr>
      <w:r w:rsidRPr="003C5E3E">
        <w:rPr>
          <w:rFonts w:asciiTheme="minorHAnsi" w:hAnsiTheme="minorHAnsi" w:cstheme="minorHAnsi"/>
          <w:sz w:val="24"/>
          <w:szCs w:val="22"/>
        </w:rPr>
        <w:t>Dallas, USA, 17th - 21st, November 2025</w:t>
      </w:r>
      <w:r w:rsidR="00331277" w:rsidRPr="00281989">
        <w:rPr>
          <w:rFonts w:asciiTheme="minorHAnsi" w:eastAsia="Times New Roman" w:hAnsiTheme="minorHAnsi" w:cstheme="minorHAnsi"/>
          <w:noProof w:val="0"/>
          <w:sz w:val="24"/>
          <w:szCs w:val="28"/>
          <w:lang w:eastAsia="x-none"/>
        </w:rPr>
        <w:t xml:space="preserve">                                             </w:t>
      </w:r>
      <w:r w:rsidR="00FF192C" w:rsidRPr="00281989">
        <w:rPr>
          <w:rFonts w:asciiTheme="minorHAnsi" w:eastAsia="Times New Roman" w:hAnsiTheme="minorHAnsi" w:cstheme="minorHAnsi"/>
          <w:noProof w:val="0"/>
          <w:sz w:val="24"/>
          <w:szCs w:val="28"/>
          <w:lang w:eastAsia="x-none"/>
        </w:rPr>
        <w:t xml:space="preserve">     </w:t>
      </w:r>
      <w:r w:rsidR="00331277" w:rsidRPr="00281989">
        <w:rPr>
          <w:rFonts w:asciiTheme="minorHAnsi" w:hAnsiTheme="minorHAnsi" w:cstheme="minorHAnsi"/>
          <w:noProof w:val="0"/>
          <w:szCs w:val="24"/>
          <w:lang w:eastAsia="x-none"/>
        </w:rPr>
        <w:t xml:space="preserve"> </w:t>
      </w:r>
      <w:r w:rsidR="00331277" w:rsidRPr="00281989">
        <w:rPr>
          <w:rFonts w:asciiTheme="minorHAnsi" w:hAnsiTheme="minorHAnsi" w:cstheme="minorHAnsi"/>
          <w:i/>
          <w:iCs/>
          <w:noProof w:val="0"/>
          <w:szCs w:val="24"/>
          <w:lang w:eastAsia="x-none"/>
        </w:rPr>
        <w:t xml:space="preserve"> </w:t>
      </w:r>
      <w:r w:rsidR="00F24285" w:rsidRPr="00281989">
        <w:rPr>
          <w:rFonts w:asciiTheme="minorHAnsi" w:hAnsiTheme="minorHAnsi" w:cstheme="minorHAnsi"/>
          <w:i/>
          <w:iCs/>
          <w:noProof w:val="0"/>
          <w:szCs w:val="24"/>
          <w:lang w:eastAsia="x-none"/>
        </w:rPr>
        <w:tab/>
      </w:r>
    </w:p>
    <w:p w14:paraId="54D4CAE8" w14:textId="77777777" w:rsidR="00A07E02" w:rsidRPr="003B7A8C" w:rsidRDefault="00A07E02" w:rsidP="00115117">
      <w:pPr>
        <w:pStyle w:val="3GPPHeader"/>
        <w:rPr>
          <w:rFonts w:asciiTheme="minorHAnsi" w:hAnsiTheme="minorHAnsi" w:cstheme="minorHAnsi"/>
          <w:color w:val="FF0000"/>
          <w:szCs w:val="24"/>
          <w:lang w:eastAsia="zh-TW"/>
        </w:rPr>
      </w:pPr>
    </w:p>
    <w:p w14:paraId="027912C8" w14:textId="4A2C7442"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Agenda Item:</w:t>
      </w:r>
      <w:r w:rsidRPr="003B7A8C">
        <w:rPr>
          <w:rFonts w:asciiTheme="minorHAnsi" w:hAnsiTheme="minorHAnsi" w:cstheme="minorHAnsi"/>
          <w:szCs w:val="24"/>
        </w:rPr>
        <w:tab/>
      </w:r>
      <w:r w:rsidR="003C5E3E">
        <w:rPr>
          <w:rFonts w:asciiTheme="minorHAnsi" w:hAnsiTheme="minorHAnsi" w:cstheme="minorHAnsi" w:hint="eastAsia"/>
          <w:szCs w:val="24"/>
          <w:lang w:val="en-US" w:eastAsia="zh-TW"/>
        </w:rPr>
        <w:t>10.4</w:t>
      </w:r>
    </w:p>
    <w:p w14:paraId="79D236BA" w14:textId="5B3E78C8"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 xml:space="preserve">Source: </w:t>
      </w:r>
      <w:r w:rsidRPr="003B7A8C">
        <w:rPr>
          <w:rFonts w:asciiTheme="minorHAnsi" w:hAnsiTheme="minorHAnsi" w:cstheme="minorHAnsi"/>
          <w:szCs w:val="24"/>
        </w:rPr>
        <w:tab/>
      </w:r>
      <w:r w:rsidR="001230B0" w:rsidRPr="003B7A8C">
        <w:rPr>
          <w:rFonts w:asciiTheme="minorHAnsi" w:hAnsiTheme="minorHAnsi" w:cstheme="minorHAnsi"/>
          <w:szCs w:val="24"/>
        </w:rPr>
        <w:t>ITRI</w:t>
      </w:r>
      <w:r w:rsidR="0053799E">
        <w:rPr>
          <w:rFonts w:asciiTheme="minorHAnsi" w:hAnsiTheme="minorHAnsi" w:cstheme="minorHAnsi" w:hint="eastAsia"/>
          <w:szCs w:val="24"/>
          <w:lang w:eastAsia="zh-TW"/>
        </w:rPr>
        <w:t xml:space="preserve">, </w:t>
      </w:r>
      <w:r w:rsidR="0053799E" w:rsidRPr="0053799E">
        <w:rPr>
          <w:rFonts w:asciiTheme="minorHAnsi" w:hAnsiTheme="minorHAnsi" w:cstheme="minorHAnsi"/>
          <w:szCs w:val="24"/>
          <w:lang w:val="en-US" w:eastAsia="zh-TW"/>
        </w:rPr>
        <w:t>Acer Incorporated</w:t>
      </w:r>
    </w:p>
    <w:p w14:paraId="2D698DC6" w14:textId="4A55A5CA" w:rsidR="00A07E02" w:rsidRPr="003B7A8C" w:rsidRDefault="00FF0668" w:rsidP="00E2165C">
      <w:pPr>
        <w:pStyle w:val="3GPPHeaderArial"/>
        <w:tabs>
          <w:tab w:val="left" w:pos="1701"/>
        </w:tabs>
        <w:ind w:left="1701" w:hanging="1701"/>
        <w:rPr>
          <w:rFonts w:asciiTheme="minorHAnsi" w:hAnsiTheme="minorHAnsi" w:cstheme="minorHAnsi"/>
          <w:b/>
          <w:sz w:val="24"/>
          <w:lang w:val="en-GB"/>
        </w:rPr>
      </w:pPr>
      <w:r w:rsidRPr="003B7A8C">
        <w:rPr>
          <w:rFonts w:asciiTheme="minorHAnsi" w:hAnsiTheme="minorHAnsi" w:cstheme="minorHAnsi"/>
          <w:b/>
          <w:sz w:val="24"/>
          <w:lang w:val="en-GB"/>
        </w:rPr>
        <w:t xml:space="preserve">Title:  </w:t>
      </w:r>
      <w:r w:rsidRPr="003B7A8C">
        <w:rPr>
          <w:rFonts w:asciiTheme="minorHAnsi" w:hAnsiTheme="minorHAnsi" w:cstheme="minorHAnsi"/>
          <w:b/>
          <w:sz w:val="24"/>
          <w:lang w:val="en-GB"/>
        </w:rPr>
        <w:tab/>
      </w:r>
      <w:r w:rsidR="003C5E3E" w:rsidRPr="003C5E3E">
        <w:rPr>
          <w:rFonts w:asciiTheme="minorHAnsi" w:hAnsiTheme="minorHAnsi" w:cstheme="minorHAnsi"/>
          <w:b/>
          <w:sz w:val="24"/>
        </w:rPr>
        <w:t>Discussions on the RLM/RLF for 6G mobility</w:t>
      </w:r>
    </w:p>
    <w:p w14:paraId="289446BA" w14:textId="77777777" w:rsidR="00CF07EB" w:rsidRPr="003B7A8C" w:rsidRDefault="00CF07EB" w:rsidP="00CF07EB">
      <w:pPr>
        <w:pStyle w:val="3GPPHeaderArial"/>
        <w:tabs>
          <w:tab w:val="left" w:pos="1701"/>
        </w:tabs>
        <w:ind w:left="1701" w:hanging="1701"/>
        <w:rPr>
          <w:rFonts w:asciiTheme="minorHAnsi" w:hAnsiTheme="minorHAnsi" w:cstheme="minorHAnsi"/>
          <w:b/>
          <w:sz w:val="24"/>
          <w:lang w:val="en-GB" w:eastAsia="zh-TW"/>
        </w:rPr>
      </w:pPr>
    </w:p>
    <w:p w14:paraId="4570B40E" w14:textId="2FE4B919"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Document for:</w:t>
      </w:r>
      <w:r w:rsidRPr="003B7A8C">
        <w:rPr>
          <w:rFonts w:asciiTheme="minorHAnsi" w:hAnsiTheme="minorHAnsi" w:cstheme="minorHAnsi"/>
          <w:szCs w:val="24"/>
        </w:rPr>
        <w:tab/>
        <w:t xml:space="preserve">Discussion </w:t>
      </w:r>
    </w:p>
    <w:p w14:paraId="0FB84FBC" w14:textId="2A534442" w:rsidR="00A07E02" w:rsidRPr="003B7A8C" w:rsidRDefault="00A07E02" w:rsidP="00115117">
      <w:pPr>
        <w:pStyle w:val="1"/>
        <w:overflowPunct w:val="0"/>
        <w:autoSpaceDE w:val="0"/>
        <w:autoSpaceDN w:val="0"/>
        <w:adjustRightInd w:val="0"/>
        <w:rPr>
          <w:rFonts w:asciiTheme="minorHAnsi" w:eastAsia="新細明體" w:hAnsiTheme="minorHAnsi" w:cstheme="minorHAnsi"/>
        </w:rPr>
      </w:pPr>
      <w:r w:rsidRPr="003B7A8C">
        <w:rPr>
          <w:rFonts w:asciiTheme="minorHAnsi" w:eastAsia="新細明體" w:hAnsiTheme="minorHAnsi" w:cstheme="minorHAnsi"/>
        </w:rPr>
        <w:t>Introduction</w:t>
      </w:r>
      <w:bookmarkStart w:id="2" w:name="OLE_LINK39"/>
      <w:bookmarkStart w:id="3" w:name="OLE_LINK38"/>
      <w:bookmarkStart w:id="4" w:name="OLE_LINK37"/>
    </w:p>
    <w:bookmarkEnd w:id="2"/>
    <w:bookmarkEnd w:id="3"/>
    <w:bookmarkEnd w:id="4"/>
    <w:p w14:paraId="784E2F71" w14:textId="77777777" w:rsidR="0027262C" w:rsidRPr="0027262C" w:rsidRDefault="0027262C" w:rsidP="0027262C">
      <w:pPr>
        <w:spacing w:line="276" w:lineRule="auto"/>
        <w:ind w:firstLine="432"/>
        <w:jc w:val="both"/>
        <w:rPr>
          <w:rFonts w:asciiTheme="minorHAnsi" w:hAnsiTheme="minorHAnsi" w:cstheme="minorHAnsi"/>
          <w:sz w:val="24"/>
        </w:rPr>
      </w:pPr>
      <w:r w:rsidRPr="0027262C">
        <w:rPr>
          <w:rFonts w:asciiTheme="minorHAnsi" w:hAnsiTheme="minorHAnsi" w:cstheme="minorHAnsi"/>
          <w:sz w:val="24"/>
        </w:rPr>
        <w:t>During the RAN#108 meeting, the study on 6G radio was approved [1]. This paper presents the perspective on the RLM/RLF topic to be addressed under the following agenda item:</w:t>
      </w:r>
    </w:p>
    <w:p w14:paraId="5AE3AAB1" w14:textId="1E31296F" w:rsidR="0033364A" w:rsidRPr="0027262C" w:rsidRDefault="0027262C" w:rsidP="0027262C">
      <w:pPr>
        <w:spacing w:line="276" w:lineRule="auto"/>
        <w:jc w:val="both"/>
        <w:rPr>
          <w:rFonts w:asciiTheme="minorHAnsi" w:hAnsiTheme="minorHAnsi" w:cstheme="minorHAnsi"/>
          <w:i/>
          <w:iCs/>
          <w:sz w:val="24"/>
        </w:rPr>
      </w:pPr>
      <w:r>
        <w:rPr>
          <w:rFonts w:asciiTheme="minorHAnsi" w:hAnsiTheme="minorHAnsi" w:cstheme="minorHAnsi"/>
          <w:i/>
          <w:iCs/>
          <w:sz w:val="24"/>
        </w:rPr>
        <w:t>“</w:t>
      </w:r>
      <w:r w:rsidRPr="0027262C">
        <w:rPr>
          <w:rFonts w:asciiTheme="minorHAnsi" w:hAnsiTheme="minorHAnsi" w:cstheme="minorHAnsi"/>
          <w:i/>
          <w:iCs/>
          <w:sz w:val="24"/>
        </w:rPr>
        <w:t xml:space="preserve">Mobility framework and targets, Measurement Framework, Intra-RAT Connected Mobility (e.g. L3, CHO, LTM, </w:t>
      </w:r>
      <w:r w:rsidRPr="0027262C">
        <w:rPr>
          <w:rFonts w:asciiTheme="minorHAnsi" w:hAnsiTheme="minorHAnsi" w:cstheme="minorHAnsi"/>
          <w:i/>
          <w:iCs/>
          <w:sz w:val="24"/>
          <w:highlight w:val="yellow"/>
        </w:rPr>
        <w:t>RLM/RLF</w:t>
      </w:r>
      <w:r w:rsidRPr="0027262C">
        <w:rPr>
          <w:rFonts w:asciiTheme="minorHAnsi" w:hAnsiTheme="minorHAnsi" w:cstheme="minorHAnsi"/>
          <w:i/>
          <w:iCs/>
          <w:sz w:val="24"/>
        </w:rPr>
        <w:t>), Cell Selection and Reselection, Inter-RAT</w:t>
      </w:r>
      <w:r w:rsidRPr="0027262C">
        <w:rPr>
          <w:rFonts w:asciiTheme="minorHAnsi" w:hAnsiTheme="minorHAnsi" w:cstheme="minorHAnsi" w:hint="eastAsia"/>
          <w:i/>
          <w:iCs/>
          <w:sz w:val="24"/>
        </w:rPr>
        <w:t>.</w:t>
      </w:r>
      <w:r>
        <w:rPr>
          <w:rFonts w:asciiTheme="minorHAnsi" w:hAnsiTheme="minorHAnsi" w:cstheme="minorHAnsi"/>
          <w:i/>
          <w:iCs/>
          <w:sz w:val="24"/>
        </w:rPr>
        <w:t>”</w:t>
      </w:r>
    </w:p>
    <w:p w14:paraId="4EB1DAB0" w14:textId="77777777" w:rsidR="00950E24" w:rsidRPr="0077370A" w:rsidRDefault="00950E24" w:rsidP="00CF1BF4">
      <w:pPr>
        <w:spacing w:line="276" w:lineRule="auto"/>
        <w:ind w:firstLine="432"/>
        <w:jc w:val="both"/>
        <w:rPr>
          <w:rFonts w:asciiTheme="minorHAnsi" w:hAnsiTheme="minorHAnsi" w:cstheme="minorHAnsi"/>
          <w:sz w:val="24"/>
        </w:rPr>
      </w:pPr>
    </w:p>
    <w:p w14:paraId="1FB7191B" w14:textId="4E01D4BC" w:rsidR="006967A9" w:rsidRDefault="00CF75E9" w:rsidP="00675D8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Discussion</w:t>
      </w:r>
    </w:p>
    <w:p w14:paraId="637122B5" w14:textId="782591D2" w:rsidR="009B6E5B" w:rsidRDefault="009B6E5B" w:rsidP="009B6E5B">
      <w:pPr>
        <w:pStyle w:val="2"/>
        <w:rPr>
          <w:rFonts w:eastAsiaTheme="minorEastAsia"/>
          <w:lang w:eastAsia="zh-TW"/>
        </w:rPr>
      </w:pPr>
    </w:p>
    <w:p w14:paraId="3510FA47" w14:textId="7368E73A" w:rsidR="00194161" w:rsidRPr="00194161" w:rsidRDefault="00194161" w:rsidP="00194161">
      <w:pPr>
        <w:spacing w:line="276" w:lineRule="auto"/>
        <w:ind w:firstLine="432"/>
        <w:jc w:val="both"/>
        <w:rPr>
          <w:rFonts w:asciiTheme="minorHAnsi" w:hAnsiTheme="minorHAnsi" w:cstheme="minorHAnsi"/>
          <w:sz w:val="24"/>
        </w:rPr>
      </w:pPr>
      <w:r w:rsidRPr="00194161">
        <w:rPr>
          <w:rFonts w:asciiTheme="minorHAnsi" w:hAnsiTheme="minorHAnsi" w:cstheme="minorHAnsi"/>
          <w:sz w:val="24"/>
        </w:rPr>
        <w:t>In 5G NR systems, 3GPP has specified two complementary procedures: RLM and RLF handling</w:t>
      </w:r>
      <w:r w:rsidR="00446B99" w:rsidRPr="00446B99">
        <w:t xml:space="preserve"> </w:t>
      </w:r>
      <w:r w:rsidR="00446B99">
        <w:rPr>
          <w:rFonts w:hint="eastAsia"/>
        </w:rPr>
        <w:t xml:space="preserve">to </w:t>
      </w:r>
      <w:r w:rsidR="00446B99" w:rsidRPr="00446B99">
        <w:rPr>
          <w:rFonts w:asciiTheme="minorHAnsi" w:hAnsiTheme="minorHAnsi" w:cstheme="minorHAnsi"/>
          <w:sz w:val="24"/>
        </w:rPr>
        <w:t>maintain reliable connectivity</w:t>
      </w:r>
      <w:r w:rsidRPr="00194161">
        <w:rPr>
          <w:rFonts w:asciiTheme="minorHAnsi" w:hAnsiTheme="minorHAnsi" w:cstheme="minorHAnsi"/>
          <w:sz w:val="24"/>
        </w:rPr>
        <w:t>. These mechanisms work in tandem to ensure service quality and recovery from connectivity issues.</w:t>
      </w:r>
    </w:p>
    <w:p w14:paraId="675E4E22" w14:textId="77777777" w:rsidR="00194161" w:rsidRPr="00194161" w:rsidRDefault="00194161" w:rsidP="00194161">
      <w:pPr>
        <w:spacing w:line="276" w:lineRule="auto"/>
        <w:ind w:firstLine="432"/>
        <w:jc w:val="both"/>
        <w:rPr>
          <w:rFonts w:asciiTheme="minorHAnsi" w:hAnsiTheme="minorHAnsi" w:cstheme="minorHAnsi"/>
          <w:b/>
          <w:bCs/>
          <w:sz w:val="24"/>
        </w:rPr>
      </w:pPr>
      <w:r w:rsidRPr="00194161">
        <w:rPr>
          <w:rFonts w:asciiTheme="minorHAnsi" w:hAnsiTheme="minorHAnsi" w:cstheme="minorHAnsi"/>
          <w:b/>
          <w:bCs/>
          <w:sz w:val="24"/>
        </w:rPr>
        <w:t>Radio Link Monitoring Framework</w:t>
      </w:r>
    </w:p>
    <w:p w14:paraId="27E8651D" w14:textId="1A7B892B" w:rsidR="00194161" w:rsidRPr="00194161" w:rsidRDefault="00194161" w:rsidP="00194161">
      <w:pPr>
        <w:spacing w:line="276" w:lineRule="auto"/>
        <w:ind w:firstLine="432"/>
        <w:jc w:val="both"/>
        <w:rPr>
          <w:rFonts w:asciiTheme="minorHAnsi" w:hAnsiTheme="minorHAnsi" w:cstheme="minorHAnsi"/>
          <w:sz w:val="24"/>
        </w:rPr>
      </w:pPr>
      <w:r w:rsidRPr="00194161">
        <w:rPr>
          <w:rFonts w:asciiTheme="minorHAnsi" w:hAnsiTheme="minorHAnsi" w:cstheme="minorHAnsi"/>
          <w:sz w:val="24"/>
        </w:rPr>
        <w:t>The RLM procedure serves as the foundation for link quality assessment. During normal operation, the UE continuously monitors the quality of configured reference signals on its active BWP. This monitoring process involves measuring signal quality metrics and comparing them against predefined thresholds.</w:t>
      </w:r>
    </w:p>
    <w:p w14:paraId="197BDF8E" w14:textId="0E91ECD1" w:rsidR="00194161" w:rsidRPr="00194161" w:rsidRDefault="00194161" w:rsidP="00194161">
      <w:pPr>
        <w:spacing w:line="276" w:lineRule="auto"/>
        <w:ind w:firstLine="432"/>
        <w:jc w:val="both"/>
        <w:rPr>
          <w:rFonts w:asciiTheme="minorHAnsi" w:hAnsiTheme="minorHAnsi" w:cstheme="minorHAnsi"/>
          <w:sz w:val="24"/>
        </w:rPr>
      </w:pPr>
      <w:r w:rsidRPr="00194161">
        <w:rPr>
          <w:rFonts w:asciiTheme="minorHAnsi" w:hAnsiTheme="minorHAnsi" w:cstheme="minorHAnsi"/>
          <w:sz w:val="24"/>
        </w:rPr>
        <w:t>The 5G NR RLM framework has been designed with sufficient flexibility to support multiple failure scenarios. Notably, it encompasses both BFD for addressing beam-specific issues in millimeter-wave deployments, and traditional RLF handling for managing overall connection failures. This dual capability is particularly important in 5G networks that utilize beamforming techniques, where the failure of a specific beam does not necessarily indicate complete link failure.</w:t>
      </w:r>
    </w:p>
    <w:p w14:paraId="403C1225" w14:textId="77777777" w:rsidR="00194161" w:rsidRPr="00194161" w:rsidRDefault="00194161" w:rsidP="00194161">
      <w:pPr>
        <w:spacing w:line="276" w:lineRule="auto"/>
        <w:ind w:firstLine="432"/>
        <w:jc w:val="both"/>
        <w:rPr>
          <w:rFonts w:asciiTheme="minorHAnsi" w:hAnsiTheme="minorHAnsi" w:cstheme="minorHAnsi"/>
          <w:b/>
          <w:bCs/>
          <w:sz w:val="24"/>
        </w:rPr>
      </w:pPr>
      <w:r w:rsidRPr="00194161">
        <w:rPr>
          <w:rFonts w:asciiTheme="minorHAnsi" w:hAnsiTheme="minorHAnsi" w:cstheme="minorHAnsi"/>
          <w:b/>
          <w:bCs/>
          <w:sz w:val="24"/>
        </w:rPr>
        <w:t>Radio Link Failure Recovery Process</w:t>
      </w:r>
    </w:p>
    <w:p w14:paraId="5F27B222" w14:textId="25A5159F" w:rsidR="00194161" w:rsidRPr="00194161" w:rsidRDefault="00194161" w:rsidP="00194161">
      <w:pPr>
        <w:spacing w:line="276" w:lineRule="auto"/>
        <w:ind w:firstLine="432"/>
        <w:jc w:val="both"/>
        <w:rPr>
          <w:rFonts w:asciiTheme="minorHAnsi" w:hAnsiTheme="minorHAnsi" w:cstheme="minorHAnsi"/>
          <w:sz w:val="24"/>
        </w:rPr>
      </w:pPr>
      <w:r w:rsidRPr="00194161">
        <w:rPr>
          <w:rFonts w:asciiTheme="minorHAnsi" w:hAnsiTheme="minorHAnsi" w:cstheme="minorHAnsi"/>
          <w:sz w:val="24"/>
        </w:rPr>
        <w:t xml:space="preserve">When the UE determines that radio link failure has occurred—typically after a series of consecutive quality threshold violations—it initiates a structured recovery procedure. The process begins with the declaration of RLF, at which point the UE immediately starts the RRC re-establishment timer T311. During the T311 timer period, the UE performs </w:t>
      </w:r>
      <w:r w:rsidR="00BD21C5">
        <w:rPr>
          <w:rFonts w:asciiTheme="minorHAnsi" w:hAnsiTheme="minorHAnsi" w:cstheme="minorHAnsi" w:hint="eastAsia"/>
          <w:sz w:val="24"/>
        </w:rPr>
        <w:t xml:space="preserve">the </w:t>
      </w:r>
      <w:r w:rsidRPr="00194161">
        <w:rPr>
          <w:rFonts w:asciiTheme="minorHAnsi" w:hAnsiTheme="minorHAnsi" w:cstheme="minorHAnsi"/>
          <w:sz w:val="24"/>
        </w:rPr>
        <w:t>cell selection procedure to identify a suitable cell for re-establishment. Once a suitable cell is identified, the UE send</w:t>
      </w:r>
      <w:r w:rsidR="00BD21C5">
        <w:rPr>
          <w:rFonts w:asciiTheme="minorHAnsi" w:hAnsiTheme="minorHAnsi" w:cstheme="minorHAnsi" w:hint="eastAsia"/>
          <w:sz w:val="24"/>
        </w:rPr>
        <w:t>s</w:t>
      </w:r>
      <w:r w:rsidRPr="00194161">
        <w:rPr>
          <w:rFonts w:asciiTheme="minorHAnsi" w:hAnsiTheme="minorHAnsi" w:cstheme="minorHAnsi"/>
          <w:sz w:val="24"/>
        </w:rPr>
        <w:t xml:space="preserve"> an RRC re-establishment request message. If the network </w:t>
      </w:r>
      <w:r w:rsidR="006C4600">
        <w:rPr>
          <w:rFonts w:asciiTheme="minorHAnsi" w:hAnsiTheme="minorHAnsi" w:cstheme="minorHAnsi" w:hint="eastAsia"/>
          <w:sz w:val="24"/>
        </w:rPr>
        <w:t xml:space="preserve">can </w:t>
      </w:r>
      <w:r w:rsidR="006C4600" w:rsidRPr="006C4600">
        <w:rPr>
          <w:rFonts w:asciiTheme="minorHAnsi" w:hAnsiTheme="minorHAnsi" w:cstheme="minorHAnsi"/>
          <w:sz w:val="24"/>
        </w:rPr>
        <w:t xml:space="preserve">retrieve </w:t>
      </w:r>
      <w:r w:rsidR="006C4600">
        <w:rPr>
          <w:rFonts w:asciiTheme="minorHAnsi" w:hAnsiTheme="minorHAnsi" w:cstheme="minorHAnsi" w:hint="eastAsia"/>
          <w:sz w:val="24"/>
        </w:rPr>
        <w:t>the UE context</w:t>
      </w:r>
      <w:r w:rsidRPr="00194161">
        <w:rPr>
          <w:rFonts w:asciiTheme="minorHAnsi" w:hAnsiTheme="minorHAnsi" w:cstheme="minorHAnsi"/>
          <w:sz w:val="24"/>
        </w:rPr>
        <w:t xml:space="preserve">, the connection </w:t>
      </w:r>
      <w:r w:rsidR="006C4600">
        <w:rPr>
          <w:rFonts w:asciiTheme="minorHAnsi" w:hAnsiTheme="minorHAnsi" w:cstheme="minorHAnsi" w:hint="eastAsia"/>
          <w:sz w:val="24"/>
        </w:rPr>
        <w:t xml:space="preserve">could be </w:t>
      </w:r>
      <w:r w:rsidR="006C4600" w:rsidRPr="006C4600">
        <w:rPr>
          <w:rFonts w:asciiTheme="minorHAnsi" w:hAnsiTheme="minorHAnsi" w:cstheme="minorHAnsi"/>
          <w:sz w:val="24"/>
        </w:rPr>
        <w:t>re-establishment</w:t>
      </w:r>
      <w:r w:rsidRPr="00194161">
        <w:rPr>
          <w:rFonts w:asciiTheme="minorHAnsi" w:hAnsiTheme="minorHAnsi" w:cstheme="minorHAnsi"/>
          <w:sz w:val="24"/>
        </w:rPr>
        <w:t>.</w:t>
      </w:r>
    </w:p>
    <w:p w14:paraId="10E9A842" w14:textId="493B4E73" w:rsidR="00194161" w:rsidRPr="00194161" w:rsidRDefault="00194161" w:rsidP="00194161">
      <w:pPr>
        <w:spacing w:line="276" w:lineRule="auto"/>
        <w:ind w:firstLine="432"/>
        <w:jc w:val="both"/>
        <w:rPr>
          <w:rFonts w:asciiTheme="minorHAnsi" w:hAnsiTheme="minorHAnsi" w:cstheme="minorHAnsi"/>
          <w:sz w:val="24"/>
        </w:rPr>
      </w:pPr>
      <w:r w:rsidRPr="00194161">
        <w:rPr>
          <w:rFonts w:asciiTheme="minorHAnsi" w:hAnsiTheme="minorHAnsi" w:cstheme="minorHAnsi"/>
          <w:sz w:val="24"/>
        </w:rPr>
        <w:lastRenderedPageBreak/>
        <w:t>However, if the UE cannot complete re-establishment—either due to the absence of suitable cells or unsuccessful re-establishment attempts—it must transition to RRC_IDLE state. This fallback mechanism ensures that the UE returns to a known state and can subsequently attempt to establish a fresh connection through normal procedures.</w:t>
      </w:r>
    </w:p>
    <w:p w14:paraId="6EE8A0A6" w14:textId="77777777" w:rsidR="00194161" w:rsidRPr="00194161" w:rsidRDefault="00194161" w:rsidP="00194161">
      <w:pPr>
        <w:spacing w:line="276" w:lineRule="auto"/>
        <w:ind w:firstLine="432"/>
        <w:jc w:val="both"/>
        <w:rPr>
          <w:rFonts w:asciiTheme="minorHAnsi" w:hAnsiTheme="minorHAnsi" w:cstheme="minorHAnsi"/>
          <w:b/>
          <w:bCs/>
          <w:sz w:val="24"/>
        </w:rPr>
      </w:pPr>
      <w:r w:rsidRPr="00194161">
        <w:rPr>
          <w:rFonts w:asciiTheme="minorHAnsi" w:hAnsiTheme="minorHAnsi" w:cstheme="minorHAnsi"/>
          <w:b/>
          <w:bCs/>
          <w:sz w:val="24"/>
        </w:rPr>
        <w:t>Implications for 6G Development</w:t>
      </w:r>
    </w:p>
    <w:p w14:paraId="5F49F9D8" w14:textId="033D7BE1" w:rsidR="0027262C" w:rsidRPr="0027262C" w:rsidRDefault="00194161" w:rsidP="00194161">
      <w:pPr>
        <w:spacing w:line="276" w:lineRule="auto"/>
        <w:ind w:firstLine="432"/>
        <w:jc w:val="both"/>
        <w:rPr>
          <w:rFonts w:asciiTheme="minorHAnsi" w:hAnsiTheme="minorHAnsi" w:cstheme="minorHAnsi"/>
          <w:sz w:val="24"/>
        </w:rPr>
      </w:pPr>
      <w:r w:rsidRPr="00194161">
        <w:rPr>
          <w:rFonts w:asciiTheme="minorHAnsi" w:hAnsiTheme="minorHAnsi" w:cstheme="minorHAnsi"/>
          <w:sz w:val="24"/>
        </w:rPr>
        <w:t>Given the proven effectiveness of the 5G NR RLF procedure in maintaining connection reliability, we consider this framework essential as a baseline for 6G system design. The fundamental principles of continuous monitoring, threshold-based failure detection, and structured recovery procedures have demonstrated their value across diverse deployment scenarios. Therefore, preserving the core RLM and RLF concepts while extending them to address 6G-specific challenges represents a pragmatic approach to ensuring robust connectivity in next-generation wireless systems.</w:t>
      </w:r>
    </w:p>
    <w:p w14:paraId="20D289A3" w14:textId="3402AECF" w:rsidR="00764E34" w:rsidRPr="0027262C" w:rsidRDefault="0027262C" w:rsidP="0027262C">
      <w:pPr>
        <w:spacing w:line="276" w:lineRule="auto"/>
        <w:ind w:firstLine="432"/>
        <w:jc w:val="both"/>
        <w:rPr>
          <w:rFonts w:asciiTheme="minorHAnsi" w:hAnsiTheme="minorHAnsi" w:cstheme="minorHAnsi"/>
          <w:b/>
          <w:bCs/>
          <w:sz w:val="24"/>
        </w:rPr>
      </w:pPr>
      <w:r w:rsidRPr="0027262C">
        <w:rPr>
          <w:rFonts w:asciiTheme="minorHAnsi" w:hAnsiTheme="minorHAnsi" w:cstheme="minorHAnsi"/>
          <w:b/>
          <w:bCs/>
          <w:sz w:val="24"/>
        </w:rPr>
        <w:t>Proposal 1. 5G RLF handling should be adopted as a baseline for 6G.</w:t>
      </w:r>
    </w:p>
    <w:p w14:paraId="553E5D89" w14:textId="67387E39" w:rsidR="009B6E5B" w:rsidRPr="009B6E5B" w:rsidRDefault="009B6E5B" w:rsidP="009B6E5B">
      <w:pPr>
        <w:pStyle w:val="2"/>
      </w:pPr>
    </w:p>
    <w:p w14:paraId="1AD671E3" w14:textId="203D9A41" w:rsidR="00194161" w:rsidRPr="00194161" w:rsidRDefault="00194161" w:rsidP="00194161">
      <w:pPr>
        <w:spacing w:line="276" w:lineRule="auto"/>
        <w:ind w:firstLine="432"/>
        <w:rPr>
          <w:rFonts w:asciiTheme="minorHAnsi" w:hAnsiTheme="minorHAnsi" w:cstheme="minorHAnsi"/>
          <w:bCs/>
          <w:sz w:val="24"/>
          <w:szCs w:val="24"/>
        </w:rPr>
      </w:pPr>
      <w:r w:rsidRPr="00194161">
        <w:rPr>
          <w:rFonts w:asciiTheme="minorHAnsi" w:hAnsiTheme="minorHAnsi" w:cstheme="minorHAnsi"/>
          <w:bCs/>
          <w:sz w:val="24"/>
          <w:szCs w:val="24"/>
        </w:rPr>
        <w:t>In 5G NR networks, the PCell serves as the anchor point for the UE's RRC connection and carries critical control signaling. When an RLF occurs on the PCell in traditional single-cell configurations or carrier aggregation deployments, the consequences can be severe. Since the PCell is responsible for maintaining the RRC connection state, its failure necessitates a complete RRC re-establishment procedure to restore connectivity.</w:t>
      </w:r>
    </w:p>
    <w:p w14:paraId="2FDBC458" w14:textId="141E3A5F" w:rsidR="00194161" w:rsidRPr="00194161" w:rsidRDefault="00194161" w:rsidP="00194161">
      <w:pPr>
        <w:spacing w:line="276" w:lineRule="auto"/>
        <w:ind w:firstLine="432"/>
        <w:rPr>
          <w:rFonts w:asciiTheme="minorHAnsi" w:hAnsiTheme="minorHAnsi" w:cstheme="minorHAnsi"/>
          <w:bCs/>
          <w:sz w:val="24"/>
          <w:szCs w:val="24"/>
        </w:rPr>
      </w:pPr>
      <w:r w:rsidRPr="00194161">
        <w:rPr>
          <w:rFonts w:asciiTheme="minorHAnsi" w:hAnsiTheme="minorHAnsi" w:cstheme="minorHAnsi"/>
          <w:bCs/>
          <w:sz w:val="24"/>
          <w:szCs w:val="24"/>
        </w:rPr>
        <w:t>This conventional recovery approach, while functionally reliable, introduces substantial service interruption that can significantly impact user experience. The re-establishment process involves multiple steps: RLF declaration, cell selection during the T311 timer window, transmission of the RRC re-establishment request, network authentication, and reconfiguration of radio bearers. Throughout this entire sequence, user plane data transmission is suspended, resulting in interruption durations that can range from hundreds of milliseconds to several seconds depending on network conditions.</w:t>
      </w:r>
    </w:p>
    <w:p w14:paraId="1D082442" w14:textId="77777777" w:rsidR="00194161" w:rsidRPr="00194161" w:rsidRDefault="00194161" w:rsidP="00194161">
      <w:pPr>
        <w:spacing w:line="276" w:lineRule="auto"/>
        <w:ind w:firstLine="432"/>
        <w:rPr>
          <w:rFonts w:asciiTheme="minorHAnsi" w:hAnsiTheme="minorHAnsi" w:cstheme="minorHAnsi"/>
          <w:b/>
          <w:sz w:val="24"/>
          <w:szCs w:val="24"/>
        </w:rPr>
      </w:pPr>
      <w:r w:rsidRPr="00874B3C">
        <w:rPr>
          <w:rFonts w:asciiTheme="minorHAnsi" w:hAnsiTheme="minorHAnsi" w:cstheme="minorHAnsi"/>
          <w:b/>
          <w:sz w:val="24"/>
          <w:szCs w:val="24"/>
        </w:rPr>
        <w:t>Enhanced Recovery Through Dual Connectivity Architecture</w:t>
      </w:r>
    </w:p>
    <w:p w14:paraId="5C63CBF8" w14:textId="6AEE7769" w:rsidR="00194161" w:rsidRPr="00194161" w:rsidRDefault="00194161" w:rsidP="00194161">
      <w:pPr>
        <w:spacing w:line="276" w:lineRule="auto"/>
        <w:ind w:firstLine="432"/>
        <w:rPr>
          <w:rFonts w:asciiTheme="minorHAnsi" w:hAnsiTheme="minorHAnsi" w:cstheme="minorHAnsi"/>
          <w:bCs/>
          <w:sz w:val="24"/>
          <w:szCs w:val="24"/>
        </w:rPr>
      </w:pPr>
      <w:r w:rsidRPr="00194161">
        <w:rPr>
          <w:rFonts w:asciiTheme="minorHAnsi" w:hAnsiTheme="minorHAnsi" w:cstheme="minorHAnsi"/>
          <w:bCs/>
          <w:sz w:val="24"/>
          <w:szCs w:val="24"/>
        </w:rPr>
        <w:t>The introduction of dual connectivity in 5G NR provides a fundamentally more resilient approach to handling PCell failures. In dual connectivity configurations, the UE simultaneously maintains connections to two cell groups: the MCG anchored by the PCell, and the SCG anchored by the PSCell. This architectural diversity creates a critical redundancy path that can be leveraged during failure scenarios.</w:t>
      </w:r>
    </w:p>
    <w:p w14:paraId="7B94DAAF" w14:textId="77777777" w:rsidR="00194161" w:rsidRPr="00194161" w:rsidRDefault="00194161" w:rsidP="00194161">
      <w:pPr>
        <w:spacing w:line="276" w:lineRule="auto"/>
        <w:ind w:firstLine="432"/>
        <w:rPr>
          <w:rFonts w:asciiTheme="minorHAnsi" w:hAnsiTheme="minorHAnsi" w:cstheme="minorHAnsi"/>
          <w:bCs/>
          <w:sz w:val="24"/>
          <w:szCs w:val="24"/>
        </w:rPr>
      </w:pPr>
      <w:r w:rsidRPr="00194161">
        <w:rPr>
          <w:rFonts w:asciiTheme="minorHAnsi" w:hAnsiTheme="minorHAnsi" w:cstheme="minorHAnsi"/>
          <w:bCs/>
          <w:sz w:val="24"/>
          <w:szCs w:val="24"/>
        </w:rPr>
        <w:t>When a PCell failure occurs in dual connectivity mode, the UE has an alternative communication channel available through the SCG. Instead of immediately initiating RRC re-establishment—which would disrupt the entire connection—the UE can report the PCell failure to the network via the SCG link using dedicated failure information messages. This reporting mechanism allows the network to maintain awareness of the UE's connection state and take appropriate recovery actions while keeping the SCG connection active.</w:t>
      </w:r>
    </w:p>
    <w:p w14:paraId="4006B6AE" w14:textId="77777777" w:rsidR="00194161" w:rsidRPr="00194161" w:rsidRDefault="00194161" w:rsidP="00194161">
      <w:pPr>
        <w:spacing w:line="276" w:lineRule="auto"/>
        <w:ind w:firstLine="432"/>
        <w:rPr>
          <w:rFonts w:asciiTheme="minorHAnsi" w:hAnsiTheme="minorHAnsi" w:cstheme="minorHAnsi"/>
          <w:b/>
          <w:sz w:val="24"/>
          <w:szCs w:val="24"/>
        </w:rPr>
      </w:pPr>
      <w:r w:rsidRPr="00194161">
        <w:rPr>
          <w:rFonts w:asciiTheme="minorHAnsi" w:hAnsiTheme="minorHAnsi" w:cstheme="minorHAnsi"/>
          <w:b/>
          <w:sz w:val="24"/>
          <w:szCs w:val="24"/>
        </w:rPr>
        <w:t>Baseline for 6G Network Resilience</w:t>
      </w:r>
    </w:p>
    <w:p w14:paraId="5C9B19E2" w14:textId="5967F4CC" w:rsidR="00194161" w:rsidRPr="00194161" w:rsidRDefault="00194161" w:rsidP="00194161">
      <w:pPr>
        <w:spacing w:line="276" w:lineRule="auto"/>
        <w:ind w:firstLine="432"/>
        <w:rPr>
          <w:rFonts w:asciiTheme="minorHAnsi" w:hAnsiTheme="minorHAnsi" w:cstheme="minorHAnsi"/>
          <w:bCs/>
          <w:sz w:val="24"/>
          <w:szCs w:val="24"/>
        </w:rPr>
      </w:pPr>
      <w:r w:rsidRPr="00194161">
        <w:rPr>
          <w:rFonts w:asciiTheme="minorHAnsi" w:hAnsiTheme="minorHAnsi" w:cstheme="minorHAnsi"/>
          <w:bCs/>
          <w:sz w:val="24"/>
          <w:szCs w:val="24"/>
        </w:rPr>
        <w:t>Given the substantial improvements in service continuity and connection reliability demonstrated by the existing PCell fast failure recovery mechanism, we consider this approach an essential baseline for 6G system design. The fundamental principle of leveraging connection diversity to enable seamless recovery without full re-establishment.</w:t>
      </w:r>
    </w:p>
    <w:p w14:paraId="3DBCD6EF" w14:textId="6D224657" w:rsidR="00543383" w:rsidRPr="00543383" w:rsidRDefault="00194161" w:rsidP="00194161">
      <w:pPr>
        <w:spacing w:line="276" w:lineRule="auto"/>
        <w:ind w:firstLine="432"/>
        <w:rPr>
          <w:rFonts w:asciiTheme="minorHAnsi" w:hAnsiTheme="minorHAnsi" w:cstheme="minorHAnsi"/>
          <w:bCs/>
          <w:sz w:val="24"/>
          <w:szCs w:val="24"/>
        </w:rPr>
      </w:pPr>
      <w:r w:rsidRPr="00194161">
        <w:rPr>
          <w:rFonts w:asciiTheme="minorHAnsi" w:hAnsiTheme="minorHAnsi" w:cstheme="minorHAnsi"/>
          <w:bCs/>
          <w:sz w:val="24"/>
          <w:szCs w:val="24"/>
        </w:rPr>
        <w:lastRenderedPageBreak/>
        <w:t>The dual connectivity-based fast recovery framework provides a proven foundation that can be extended to support 6G's multi-connectivity architectures, such as multi-RAT dual connectivity or coordinated multi-point connectivity scenarios.</w:t>
      </w:r>
    </w:p>
    <w:p w14:paraId="1EAD002C" w14:textId="1B7DA0D2" w:rsidR="007749A7" w:rsidRDefault="007749A7" w:rsidP="00AA1DEF">
      <w:pPr>
        <w:spacing w:line="276" w:lineRule="auto"/>
        <w:ind w:firstLine="432"/>
        <w:rPr>
          <w:rFonts w:asciiTheme="minorHAnsi" w:hAnsiTheme="minorHAnsi" w:cstheme="minorHAnsi"/>
          <w:b/>
          <w:sz w:val="24"/>
          <w:szCs w:val="24"/>
        </w:rPr>
      </w:pPr>
      <w:r w:rsidRPr="007749A7">
        <w:rPr>
          <w:rFonts w:asciiTheme="minorHAnsi" w:hAnsiTheme="minorHAnsi" w:cstheme="minorHAnsi"/>
          <w:b/>
          <w:sz w:val="24"/>
          <w:szCs w:val="24"/>
        </w:rPr>
        <w:t>Proposal</w:t>
      </w:r>
      <w:r w:rsidR="009B6E5B">
        <w:rPr>
          <w:rFonts w:asciiTheme="minorHAnsi" w:hAnsiTheme="minorHAnsi" w:cstheme="minorHAnsi" w:hint="eastAsia"/>
          <w:b/>
          <w:sz w:val="24"/>
          <w:szCs w:val="24"/>
        </w:rPr>
        <w:t xml:space="preserve"> 2</w:t>
      </w:r>
      <w:r w:rsidRPr="007749A7">
        <w:rPr>
          <w:rFonts w:asciiTheme="minorHAnsi" w:hAnsiTheme="minorHAnsi" w:cstheme="minorHAnsi"/>
          <w:b/>
          <w:sz w:val="24"/>
          <w:szCs w:val="24"/>
        </w:rPr>
        <w:t>:</w:t>
      </w:r>
      <w:r>
        <w:rPr>
          <w:rFonts w:asciiTheme="minorHAnsi" w:hAnsiTheme="minorHAnsi" w:cstheme="minorHAnsi" w:hint="eastAsia"/>
          <w:b/>
          <w:sz w:val="24"/>
          <w:szCs w:val="24"/>
        </w:rPr>
        <w:t xml:space="preserve"> </w:t>
      </w:r>
      <w:r w:rsidR="00543383" w:rsidRPr="00543383">
        <w:rPr>
          <w:rFonts w:asciiTheme="minorHAnsi" w:hAnsiTheme="minorHAnsi" w:cstheme="minorHAnsi"/>
          <w:b/>
          <w:sz w:val="24"/>
          <w:szCs w:val="24"/>
        </w:rPr>
        <w:t>5G PCell fast failure recovery should be considered as a baseline for 6G.</w:t>
      </w:r>
    </w:p>
    <w:p w14:paraId="415F8194" w14:textId="116C27F8" w:rsidR="00543383" w:rsidRDefault="00543383" w:rsidP="00543383">
      <w:pPr>
        <w:pStyle w:val="2"/>
      </w:pPr>
    </w:p>
    <w:p w14:paraId="145A007D" w14:textId="0449C318" w:rsidR="00194161" w:rsidRPr="00194161" w:rsidRDefault="00194161" w:rsidP="00194161">
      <w:pPr>
        <w:spacing w:line="276" w:lineRule="auto"/>
        <w:ind w:firstLine="432"/>
        <w:rPr>
          <w:rFonts w:asciiTheme="minorHAnsi" w:hAnsiTheme="minorHAnsi" w:cstheme="minorHAnsi"/>
          <w:bCs/>
          <w:sz w:val="24"/>
          <w:szCs w:val="24"/>
        </w:rPr>
      </w:pPr>
      <w:r w:rsidRPr="00194161">
        <w:rPr>
          <w:rFonts w:asciiTheme="minorHAnsi" w:hAnsiTheme="minorHAnsi" w:cstheme="minorHAnsi"/>
          <w:bCs/>
          <w:sz w:val="24"/>
          <w:szCs w:val="24"/>
        </w:rPr>
        <w:t xml:space="preserve">Given that Day-1 6G deployments are expected to prioritize CA configurations due to infrastructure maturity and cost-effectiveness, we propose enhancing CA resilience through an SCell-based fast PCell recovery mechanism. </w:t>
      </w:r>
    </w:p>
    <w:p w14:paraId="5BD18344" w14:textId="77777777" w:rsidR="00194161" w:rsidRPr="00194161" w:rsidRDefault="00194161" w:rsidP="00194161">
      <w:pPr>
        <w:spacing w:line="276" w:lineRule="auto"/>
        <w:ind w:firstLine="432"/>
        <w:rPr>
          <w:rFonts w:asciiTheme="minorHAnsi" w:hAnsiTheme="minorHAnsi" w:cstheme="minorHAnsi"/>
          <w:b/>
          <w:sz w:val="24"/>
          <w:szCs w:val="24"/>
        </w:rPr>
      </w:pPr>
      <w:r w:rsidRPr="00194161">
        <w:rPr>
          <w:rFonts w:asciiTheme="minorHAnsi" w:hAnsiTheme="minorHAnsi" w:cstheme="minorHAnsi"/>
          <w:b/>
          <w:sz w:val="24"/>
          <w:szCs w:val="24"/>
        </w:rPr>
        <w:t>Proposed Recovery Mechanism</w:t>
      </w:r>
    </w:p>
    <w:p w14:paraId="0FA5A8F7" w14:textId="389807AE" w:rsidR="00194161" w:rsidRPr="00194161" w:rsidRDefault="00194161" w:rsidP="00194161">
      <w:pPr>
        <w:spacing w:line="276" w:lineRule="auto"/>
        <w:ind w:firstLine="432"/>
        <w:rPr>
          <w:rFonts w:asciiTheme="minorHAnsi" w:hAnsiTheme="minorHAnsi" w:cstheme="minorHAnsi"/>
          <w:bCs/>
          <w:sz w:val="24"/>
          <w:szCs w:val="24"/>
        </w:rPr>
      </w:pPr>
      <w:r w:rsidRPr="00194161">
        <w:rPr>
          <w:rFonts w:asciiTheme="minorHAnsi" w:hAnsiTheme="minorHAnsi" w:cstheme="minorHAnsi"/>
          <w:bCs/>
          <w:sz w:val="24"/>
          <w:szCs w:val="24"/>
        </w:rPr>
        <w:t>Our proposed mechanism adapts the proven dual connectivity fast recovery concept to CA scenarios. Upon detecting an RLF on the PCell</w:t>
      </w:r>
      <w:r w:rsidR="00874B3C">
        <w:rPr>
          <w:rFonts w:asciiTheme="minorHAnsi" w:hAnsiTheme="minorHAnsi" w:cstheme="minorHAnsi" w:hint="eastAsia"/>
          <w:bCs/>
          <w:sz w:val="24"/>
          <w:szCs w:val="24"/>
        </w:rPr>
        <w:t xml:space="preserve">, </w:t>
      </w:r>
      <w:r w:rsidRPr="00194161">
        <w:rPr>
          <w:rFonts w:asciiTheme="minorHAnsi" w:hAnsiTheme="minorHAnsi" w:cstheme="minorHAnsi"/>
          <w:bCs/>
          <w:sz w:val="24"/>
          <w:szCs w:val="24"/>
        </w:rPr>
        <w:t>the UE evaluates the status of configured SCells. If one or more SCells maintain adequate link quality, the UE transmits a PCell failure information message through a surviving SCell instead of initiating conventional RRC re-establishment.</w:t>
      </w:r>
    </w:p>
    <w:p w14:paraId="614FB65D" w14:textId="7439756E" w:rsidR="00194161" w:rsidRPr="00194161" w:rsidRDefault="00194161" w:rsidP="00194161">
      <w:pPr>
        <w:spacing w:line="276" w:lineRule="auto"/>
        <w:ind w:firstLine="432"/>
        <w:rPr>
          <w:rFonts w:asciiTheme="minorHAnsi" w:hAnsiTheme="minorHAnsi" w:cstheme="minorHAnsi"/>
          <w:bCs/>
          <w:sz w:val="24"/>
          <w:szCs w:val="24"/>
        </w:rPr>
      </w:pPr>
      <w:r w:rsidRPr="00194161">
        <w:rPr>
          <w:rFonts w:asciiTheme="minorHAnsi" w:hAnsiTheme="minorHAnsi" w:cstheme="minorHAnsi"/>
          <w:bCs/>
          <w:sz w:val="24"/>
          <w:szCs w:val="24"/>
        </w:rPr>
        <w:t xml:space="preserve">This failure report </w:t>
      </w:r>
      <w:r w:rsidR="008A51F5">
        <w:rPr>
          <w:rFonts w:asciiTheme="minorHAnsi" w:hAnsiTheme="minorHAnsi" w:cstheme="minorHAnsi" w:hint="eastAsia"/>
          <w:bCs/>
          <w:sz w:val="24"/>
          <w:szCs w:val="24"/>
        </w:rPr>
        <w:t xml:space="preserve">may </w:t>
      </w:r>
      <w:r w:rsidRPr="00194161">
        <w:rPr>
          <w:rFonts w:asciiTheme="minorHAnsi" w:hAnsiTheme="minorHAnsi" w:cstheme="minorHAnsi"/>
          <w:bCs/>
          <w:sz w:val="24"/>
          <w:szCs w:val="24"/>
        </w:rPr>
        <w:t xml:space="preserve">contain critical diagnostic </w:t>
      </w:r>
      <w:r w:rsidR="008A51F5">
        <w:rPr>
          <w:rFonts w:asciiTheme="minorHAnsi" w:hAnsiTheme="minorHAnsi" w:cstheme="minorHAnsi" w:hint="eastAsia"/>
          <w:bCs/>
          <w:sz w:val="24"/>
          <w:szCs w:val="24"/>
        </w:rPr>
        <w:t>information</w:t>
      </w:r>
      <w:r w:rsidRPr="00194161">
        <w:rPr>
          <w:rFonts w:asciiTheme="minorHAnsi" w:hAnsiTheme="minorHAnsi" w:cstheme="minorHAnsi"/>
          <w:bCs/>
          <w:sz w:val="24"/>
          <w:szCs w:val="24"/>
        </w:rPr>
        <w:t xml:space="preserve"> including the failure cause, neighboring cell measurements, </w:t>
      </w:r>
      <w:r w:rsidR="008A51F5">
        <w:rPr>
          <w:rFonts w:asciiTheme="minorHAnsi" w:hAnsiTheme="minorHAnsi" w:cstheme="minorHAnsi" w:hint="eastAsia"/>
          <w:bCs/>
          <w:sz w:val="24"/>
          <w:szCs w:val="24"/>
        </w:rPr>
        <w:t>or</w:t>
      </w:r>
      <w:r w:rsidRPr="00194161">
        <w:rPr>
          <w:rFonts w:asciiTheme="minorHAnsi" w:hAnsiTheme="minorHAnsi" w:cstheme="minorHAnsi"/>
          <w:bCs/>
          <w:sz w:val="24"/>
          <w:szCs w:val="24"/>
        </w:rPr>
        <w:t xml:space="preserve"> last known PCell conditions. By leveraging the SCell as an emergency communication channel, the network </w:t>
      </w:r>
      <w:r w:rsidR="008A51F5">
        <w:rPr>
          <w:rFonts w:asciiTheme="minorHAnsi" w:hAnsiTheme="minorHAnsi" w:cstheme="minorHAnsi" w:hint="eastAsia"/>
          <w:bCs/>
          <w:sz w:val="24"/>
          <w:szCs w:val="24"/>
        </w:rPr>
        <w:t xml:space="preserve">could </w:t>
      </w:r>
      <w:r w:rsidRPr="00194161">
        <w:rPr>
          <w:rFonts w:asciiTheme="minorHAnsi" w:hAnsiTheme="minorHAnsi" w:cstheme="minorHAnsi"/>
          <w:bCs/>
          <w:sz w:val="24"/>
          <w:szCs w:val="24"/>
        </w:rPr>
        <w:t>receive timely notification while the UE's connection context remains valid and the remaining CA configuration stays active.</w:t>
      </w:r>
    </w:p>
    <w:p w14:paraId="4A13F530" w14:textId="77777777" w:rsidR="00194161" w:rsidRPr="00194161" w:rsidRDefault="00194161" w:rsidP="00194161">
      <w:pPr>
        <w:spacing w:line="276" w:lineRule="auto"/>
        <w:ind w:firstLine="432"/>
        <w:rPr>
          <w:rFonts w:asciiTheme="minorHAnsi" w:hAnsiTheme="minorHAnsi" w:cstheme="minorHAnsi"/>
          <w:b/>
          <w:sz w:val="24"/>
          <w:szCs w:val="24"/>
        </w:rPr>
      </w:pPr>
      <w:r w:rsidRPr="00194161">
        <w:rPr>
          <w:rFonts w:asciiTheme="minorHAnsi" w:hAnsiTheme="minorHAnsi" w:cstheme="minorHAnsi"/>
          <w:b/>
          <w:sz w:val="24"/>
          <w:szCs w:val="24"/>
        </w:rPr>
        <w:t>Network Recovery Actions and Benefits</w:t>
      </w:r>
    </w:p>
    <w:p w14:paraId="7AB1FF63" w14:textId="04AC7CED" w:rsidR="00194161" w:rsidRPr="00194161" w:rsidRDefault="00194161" w:rsidP="00194161">
      <w:pPr>
        <w:spacing w:line="276" w:lineRule="auto"/>
        <w:ind w:firstLine="432"/>
        <w:rPr>
          <w:rFonts w:asciiTheme="minorHAnsi" w:hAnsiTheme="minorHAnsi" w:cstheme="minorHAnsi"/>
          <w:bCs/>
          <w:sz w:val="24"/>
          <w:szCs w:val="24"/>
        </w:rPr>
      </w:pPr>
      <w:r w:rsidRPr="00194161">
        <w:rPr>
          <w:rFonts w:asciiTheme="minorHAnsi" w:hAnsiTheme="minorHAnsi" w:cstheme="minorHAnsi"/>
          <w:bCs/>
          <w:sz w:val="24"/>
          <w:szCs w:val="24"/>
        </w:rPr>
        <w:t xml:space="preserve">Upon receiving the failure report, the network can orchestrate tailored recovery actions. Recovery options </w:t>
      </w:r>
      <w:r w:rsidR="008A51F5">
        <w:rPr>
          <w:rFonts w:asciiTheme="minorHAnsi" w:hAnsiTheme="minorHAnsi" w:cstheme="minorHAnsi" w:hint="eastAsia"/>
          <w:bCs/>
          <w:sz w:val="24"/>
          <w:szCs w:val="24"/>
        </w:rPr>
        <w:t xml:space="preserve">could </w:t>
      </w:r>
      <w:r w:rsidRPr="00194161">
        <w:rPr>
          <w:rFonts w:asciiTheme="minorHAnsi" w:hAnsiTheme="minorHAnsi" w:cstheme="minorHAnsi"/>
          <w:bCs/>
          <w:sz w:val="24"/>
          <w:szCs w:val="24"/>
        </w:rPr>
        <w:t>include: initiating controlled handover to a different cell</w:t>
      </w:r>
      <w:r w:rsidR="008A51F5">
        <w:rPr>
          <w:rFonts w:asciiTheme="minorHAnsi" w:hAnsiTheme="minorHAnsi" w:cstheme="minorHAnsi" w:hint="eastAsia"/>
          <w:bCs/>
          <w:sz w:val="24"/>
          <w:szCs w:val="24"/>
        </w:rPr>
        <w:t xml:space="preserve"> or release the radio connection</w:t>
      </w:r>
      <w:r w:rsidRPr="00194161">
        <w:rPr>
          <w:rFonts w:asciiTheme="minorHAnsi" w:hAnsiTheme="minorHAnsi" w:cstheme="minorHAnsi"/>
          <w:bCs/>
          <w:sz w:val="24"/>
          <w:szCs w:val="24"/>
        </w:rPr>
        <w:t>. These actions can be delivered through the functional SCell, with the entire recovery process typically completing within 100-300 milliseconds compared to 500+ milliseconds for traditional re-establishment.</w:t>
      </w:r>
    </w:p>
    <w:p w14:paraId="135A7694" w14:textId="77777777" w:rsidR="00194161" w:rsidRPr="00194161" w:rsidRDefault="00194161" w:rsidP="00194161">
      <w:pPr>
        <w:spacing w:line="276" w:lineRule="auto"/>
        <w:ind w:firstLine="432"/>
        <w:rPr>
          <w:rFonts w:asciiTheme="minorHAnsi" w:hAnsiTheme="minorHAnsi" w:cstheme="minorHAnsi"/>
          <w:b/>
          <w:sz w:val="24"/>
          <w:szCs w:val="24"/>
        </w:rPr>
      </w:pPr>
      <w:r w:rsidRPr="00194161">
        <w:rPr>
          <w:rFonts w:asciiTheme="minorHAnsi" w:hAnsiTheme="minorHAnsi" w:cstheme="minorHAnsi"/>
          <w:b/>
          <w:sz w:val="24"/>
          <w:szCs w:val="24"/>
        </w:rPr>
        <w:t>Impact on 6G Network Reliability</w:t>
      </w:r>
    </w:p>
    <w:p w14:paraId="0B82E26E" w14:textId="03593B45" w:rsidR="00543383" w:rsidRDefault="00194161" w:rsidP="004B6D00">
      <w:pPr>
        <w:spacing w:line="276" w:lineRule="auto"/>
        <w:ind w:firstLine="432"/>
        <w:rPr>
          <w:rFonts w:asciiTheme="minorHAnsi" w:hAnsiTheme="minorHAnsi" w:cstheme="minorHAnsi"/>
          <w:bCs/>
          <w:sz w:val="24"/>
          <w:szCs w:val="24"/>
        </w:rPr>
      </w:pPr>
      <w:r w:rsidRPr="00194161">
        <w:rPr>
          <w:rFonts w:asciiTheme="minorHAnsi" w:hAnsiTheme="minorHAnsi" w:cstheme="minorHAnsi"/>
          <w:bCs/>
          <w:sz w:val="24"/>
          <w:szCs w:val="24"/>
        </w:rPr>
        <w:t xml:space="preserve">By leveraging SCell-based failure reporting, the network can deliver reliable recovery commands that significantly reduce service interruption time and improve overall CA availability. We therefore consider this SCell-based fast PCell recovery mechanism </w:t>
      </w:r>
      <w:r w:rsidR="00E50279">
        <w:rPr>
          <w:rFonts w:asciiTheme="minorHAnsi" w:hAnsiTheme="minorHAnsi" w:cstheme="minorHAnsi" w:hint="eastAsia"/>
          <w:bCs/>
          <w:sz w:val="24"/>
          <w:szCs w:val="24"/>
        </w:rPr>
        <w:t xml:space="preserve">could be </w:t>
      </w:r>
      <w:r w:rsidRPr="00194161">
        <w:rPr>
          <w:rFonts w:asciiTheme="minorHAnsi" w:hAnsiTheme="minorHAnsi" w:cstheme="minorHAnsi"/>
          <w:bCs/>
          <w:sz w:val="24"/>
          <w:szCs w:val="24"/>
        </w:rPr>
        <w:t>an enhancement for 6G carrier aggregation frameworks.</w:t>
      </w:r>
    </w:p>
    <w:p w14:paraId="109A2D2C" w14:textId="67896E89" w:rsidR="00543383" w:rsidRPr="00543383" w:rsidRDefault="00543383" w:rsidP="00543383">
      <w:pPr>
        <w:spacing w:line="276" w:lineRule="auto"/>
        <w:ind w:firstLine="432"/>
        <w:rPr>
          <w:rFonts w:asciiTheme="minorHAnsi" w:hAnsiTheme="minorHAnsi" w:cstheme="minorHAnsi"/>
          <w:b/>
          <w:sz w:val="24"/>
          <w:szCs w:val="24"/>
        </w:rPr>
      </w:pPr>
      <w:r w:rsidRPr="00543383">
        <w:rPr>
          <w:rFonts w:asciiTheme="minorHAnsi" w:hAnsiTheme="minorHAnsi" w:cstheme="minorHAnsi"/>
          <w:b/>
          <w:sz w:val="24"/>
          <w:szCs w:val="24"/>
        </w:rPr>
        <w:t xml:space="preserve">Proposal </w:t>
      </w:r>
      <w:r w:rsidRPr="00543383">
        <w:rPr>
          <w:rFonts w:asciiTheme="minorHAnsi" w:hAnsiTheme="minorHAnsi" w:cstheme="minorHAnsi" w:hint="eastAsia"/>
          <w:b/>
          <w:sz w:val="24"/>
          <w:szCs w:val="24"/>
        </w:rPr>
        <w:t>3</w:t>
      </w:r>
      <w:r w:rsidRPr="00543383">
        <w:rPr>
          <w:rFonts w:asciiTheme="minorHAnsi" w:hAnsiTheme="minorHAnsi" w:cstheme="minorHAnsi"/>
          <w:b/>
          <w:sz w:val="24"/>
          <w:szCs w:val="24"/>
        </w:rPr>
        <w:t>:</w:t>
      </w:r>
      <w:r w:rsidRPr="00543383">
        <w:rPr>
          <w:rFonts w:asciiTheme="minorHAnsi" w:hAnsiTheme="minorHAnsi" w:cstheme="minorHAnsi" w:hint="eastAsia"/>
          <w:b/>
          <w:sz w:val="24"/>
          <w:szCs w:val="24"/>
        </w:rPr>
        <w:t xml:space="preserve"> </w:t>
      </w:r>
      <w:r w:rsidRPr="00543383">
        <w:rPr>
          <w:rFonts w:asciiTheme="minorHAnsi" w:hAnsiTheme="minorHAnsi" w:cstheme="minorHAnsi"/>
          <w:b/>
          <w:sz w:val="24"/>
          <w:szCs w:val="24"/>
        </w:rPr>
        <w:t>Study PCell failure recovery without interruption in 6G CA, where the UE utilizes an SCell to report PCell RLF and enables fast recovery without RRC re-establishment.</w:t>
      </w:r>
    </w:p>
    <w:p w14:paraId="33D16211" w14:textId="4148E388" w:rsidR="00C30AC3" w:rsidRPr="005B3A1C" w:rsidRDefault="001D0B92" w:rsidP="00880B1B">
      <w:pPr>
        <w:rPr>
          <w:rFonts w:asciiTheme="minorHAnsi" w:hAnsiTheme="minorHAnsi" w:cstheme="minorHAnsi"/>
          <w:bCs/>
          <w:sz w:val="24"/>
          <w:szCs w:val="24"/>
        </w:rPr>
      </w:pPr>
      <w:r>
        <w:rPr>
          <w:rFonts w:asciiTheme="minorHAnsi" w:hAnsiTheme="minorHAnsi" w:cstheme="minorHAnsi"/>
          <w:bCs/>
          <w:sz w:val="24"/>
          <w:szCs w:val="24"/>
        </w:rPr>
        <w:tab/>
      </w:r>
    </w:p>
    <w:p w14:paraId="0E35054B" w14:textId="5F31CD81" w:rsidR="00A07E02" w:rsidRPr="003B7A8C" w:rsidRDefault="00A07E02" w:rsidP="00B600A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Conclusion</w:t>
      </w:r>
    </w:p>
    <w:bookmarkEnd w:id="0"/>
    <w:bookmarkEnd w:id="1"/>
    <w:p w14:paraId="6EEC9014" w14:textId="661AE23D" w:rsidR="004D1437" w:rsidRDefault="008449E7" w:rsidP="004D1437">
      <w:pPr>
        <w:spacing w:line="276" w:lineRule="auto"/>
        <w:ind w:firstLine="432"/>
        <w:rPr>
          <w:rFonts w:asciiTheme="minorHAnsi" w:hAnsiTheme="minorHAnsi" w:cstheme="minorHAnsi"/>
          <w:b/>
          <w:sz w:val="24"/>
          <w:szCs w:val="24"/>
        </w:rPr>
      </w:pPr>
      <w:r w:rsidRPr="008449E7">
        <w:rPr>
          <w:rFonts w:asciiTheme="minorHAnsi" w:hAnsiTheme="minorHAnsi" w:cstheme="minorHAnsi"/>
          <w:b/>
          <w:sz w:val="24"/>
          <w:szCs w:val="24"/>
        </w:rPr>
        <w:t>Proposal 1. 5G RLF handling should be adopted as a baseline for 6G.</w:t>
      </w:r>
    </w:p>
    <w:p w14:paraId="5D118BDA" w14:textId="3B14B1F3" w:rsidR="008449E7" w:rsidRDefault="008449E7" w:rsidP="004D1437">
      <w:pPr>
        <w:spacing w:line="276" w:lineRule="auto"/>
        <w:ind w:firstLine="432"/>
        <w:rPr>
          <w:rFonts w:asciiTheme="minorHAnsi" w:hAnsiTheme="minorHAnsi" w:cstheme="minorHAnsi"/>
          <w:b/>
          <w:sz w:val="24"/>
          <w:szCs w:val="24"/>
        </w:rPr>
      </w:pPr>
      <w:r w:rsidRPr="008449E7">
        <w:rPr>
          <w:rFonts w:asciiTheme="minorHAnsi" w:hAnsiTheme="minorHAnsi" w:cstheme="minorHAnsi"/>
          <w:b/>
          <w:sz w:val="24"/>
          <w:szCs w:val="24"/>
        </w:rPr>
        <w:t>Proposal 2: 5G PCell fast failure recovery should be considered as a baseline for 6G.</w:t>
      </w:r>
    </w:p>
    <w:p w14:paraId="06B88987" w14:textId="6623493B" w:rsidR="008449E7" w:rsidRDefault="008449E7" w:rsidP="004D1437">
      <w:pPr>
        <w:spacing w:line="276" w:lineRule="auto"/>
        <w:ind w:firstLine="432"/>
        <w:rPr>
          <w:rFonts w:asciiTheme="minorHAnsi" w:hAnsiTheme="minorHAnsi" w:cstheme="minorHAnsi"/>
          <w:b/>
          <w:sz w:val="24"/>
          <w:szCs w:val="24"/>
        </w:rPr>
      </w:pPr>
      <w:r w:rsidRPr="008449E7">
        <w:rPr>
          <w:rFonts w:asciiTheme="minorHAnsi" w:hAnsiTheme="minorHAnsi" w:cstheme="minorHAnsi"/>
          <w:b/>
          <w:sz w:val="24"/>
          <w:szCs w:val="24"/>
        </w:rPr>
        <w:t>Proposal 3: Study PCell failure recovery without interruption in 6G CA, where the UE utilizes an SCell to report PCell RLF and enables fast recovery without RRC re-establishment.</w:t>
      </w:r>
    </w:p>
    <w:p w14:paraId="2F97C128" w14:textId="46805279" w:rsidR="004C3D43" w:rsidRDefault="004C3D43" w:rsidP="004C3D43">
      <w:pPr>
        <w:pStyle w:val="1"/>
        <w:rPr>
          <w:rFonts w:asciiTheme="minorHAnsi" w:eastAsiaTheme="minorEastAsia" w:hAnsiTheme="minorHAnsi" w:cstheme="minorHAnsi"/>
          <w:lang w:val="en-US" w:eastAsia="zh-TW"/>
        </w:rPr>
      </w:pPr>
      <w:r w:rsidRPr="004C3D43">
        <w:rPr>
          <w:rFonts w:asciiTheme="minorHAnsi" w:hAnsiTheme="minorHAnsi" w:cstheme="minorHAnsi"/>
          <w:lang w:val="en-US"/>
        </w:rPr>
        <w:t>References</w:t>
      </w:r>
    </w:p>
    <w:p w14:paraId="70E9BFFE" w14:textId="780563D5" w:rsidR="004C3D43" w:rsidRPr="004C3D43" w:rsidRDefault="004C3D43" w:rsidP="004C3D43">
      <w:r w:rsidRPr="004C3D43">
        <w:t>[1] RP-251881, New SID: Study on 6G Radio, June 2025.</w:t>
      </w:r>
    </w:p>
    <w:p w14:paraId="5BCE85E9" w14:textId="14A6DB90" w:rsidR="004C3D43" w:rsidRPr="00FD4458" w:rsidRDefault="004C3D43" w:rsidP="004C3D43">
      <w:pPr>
        <w:spacing w:line="276" w:lineRule="auto"/>
        <w:rPr>
          <w:rFonts w:asciiTheme="minorHAnsi" w:hAnsiTheme="minorHAnsi" w:cstheme="minorHAnsi"/>
          <w:b/>
          <w:sz w:val="24"/>
          <w:szCs w:val="24"/>
        </w:rPr>
      </w:pPr>
    </w:p>
    <w:sectPr w:rsidR="004C3D43" w:rsidRPr="00FD4458"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FFF80" w14:textId="77777777" w:rsidR="00FD5C18" w:rsidRDefault="00FD5C18">
      <w:pPr>
        <w:pStyle w:val="TAL"/>
      </w:pPr>
      <w:r>
        <w:separator/>
      </w:r>
    </w:p>
  </w:endnote>
  <w:endnote w:type="continuationSeparator" w:id="0">
    <w:p w14:paraId="55B820AB" w14:textId="77777777" w:rsidR="00FD5C18" w:rsidRDefault="00FD5C1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a5"/>
    </w:pPr>
    <w:r>
      <w:fldChar w:fldCharType="begin"/>
    </w:r>
    <w:r>
      <w:instrText xml:space="preserve"> PAGE   \* MERGEFORMAT </w:instrText>
    </w:r>
    <w:r>
      <w:fldChar w:fldCharType="separate"/>
    </w:r>
    <w:r>
      <w:t>7</w:t>
    </w:r>
    <w:r>
      <w:fldChar w:fldCharType="end"/>
    </w:r>
  </w:p>
  <w:p w14:paraId="0FBB99F7" w14:textId="77777777" w:rsidR="00AE1777" w:rsidRDefault="00AE1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6AF79" w14:textId="77777777" w:rsidR="00FD5C18" w:rsidRDefault="00FD5C18">
      <w:pPr>
        <w:pStyle w:val="TAL"/>
      </w:pPr>
      <w:r>
        <w:separator/>
      </w:r>
    </w:p>
  </w:footnote>
  <w:footnote w:type="continuationSeparator" w:id="0">
    <w:p w14:paraId="1D0ABDAA" w14:textId="77777777" w:rsidR="00FD5C18" w:rsidRDefault="00FD5C1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i1026" type="#_x0000_t75" style="width:1in;height:1in;visibility:visible;mso-wrap-style:square;mso-left-percent:-10001;mso-top-percent:-10001;mso-position-horizontal:absolute;mso-position-horizontal-relative:char;mso-position-vertical:absolute;mso-position-vertical-relative:line;mso-left-percent:-10001;mso-top-percent:-10001" o:bullet="t"/>
    </w:pict>
  </w:numPicBullet>
  <w:numPicBullet w:numPicBulletId="1">
    <w:pict>
      <v:shape id="_x0000_i1027" type="#_x0000_t75" style="width:1in;height:1in;visibility:visible;mso-wrap-style:square;mso-left-percent:-10001;mso-top-percent:-10001;mso-position-horizontal:absolute;mso-position-horizontal-relative:char;mso-position-vertical:absolute;mso-position-vertical-relative:line;mso-left-percent:-10001;mso-top-percent:-10001" o:bullet="t"/>
    </w:pict>
  </w:numPicBullet>
  <w:abstractNum w:abstractNumId="0" w15:restartNumberingAfterBreak="0">
    <w:nsid w:val="0EF57615"/>
    <w:multiLevelType w:val="hybridMultilevel"/>
    <w:tmpl w:val="EAD80FB2"/>
    <w:lvl w:ilvl="0" w:tplc="C46631B8">
      <w:numFmt w:val="bullet"/>
      <w:lvlText w:val="-"/>
      <w:lvlJc w:val="left"/>
      <w:pPr>
        <w:ind w:left="792" w:hanging="360"/>
      </w:pPr>
      <w:rPr>
        <w:rFonts w:ascii="Calibri" w:eastAsiaTheme="minorEastAsia" w:hAnsi="Calibri" w:cs="Calibri"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CD4347"/>
    <w:multiLevelType w:val="hybridMultilevel"/>
    <w:tmpl w:val="64163694"/>
    <w:lvl w:ilvl="0" w:tplc="A4F4BA1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5537E88"/>
    <w:multiLevelType w:val="hybridMultilevel"/>
    <w:tmpl w:val="5992A1C8"/>
    <w:lvl w:ilvl="0" w:tplc="BDEA563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 w15:restartNumberingAfterBreak="0">
    <w:nsid w:val="35704E70"/>
    <w:multiLevelType w:val="hybridMultilevel"/>
    <w:tmpl w:val="A7AE45E6"/>
    <w:lvl w:ilvl="0" w:tplc="DF64B67C">
      <w:start w:val="1"/>
      <w:numFmt w:val="bullet"/>
      <w:lvlText w:val=""/>
      <w:lvlJc w:val="left"/>
      <w:pPr>
        <w:tabs>
          <w:tab w:val="num" w:pos="360"/>
        </w:tabs>
        <w:ind w:left="360" w:hanging="360"/>
      </w:pPr>
      <w:rPr>
        <w:rFonts w:ascii="Symbol" w:hAnsi="Symbol" w:hint="default"/>
      </w:rPr>
    </w:lvl>
    <w:lvl w:ilvl="1" w:tplc="4C0E2850">
      <w:start w:val="1"/>
      <w:numFmt w:val="bullet"/>
      <w:lvlText w:val=""/>
      <w:lvlJc w:val="left"/>
      <w:pPr>
        <w:tabs>
          <w:tab w:val="num" w:pos="1080"/>
        </w:tabs>
        <w:ind w:left="1080" w:hanging="360"/>
      </w:pPr>
      <w:rPr>
        <w:rFonts w:ascii="Symbol" w:hAnsi="Symbol" w:hint="default"/>
      </w:rPr>
    </w:lvl>
    <w:lvl w:ilvl="2" w:tplc="12660FEA">
      <w:start w:val="1"/>
      <w:numFmt w:val="bullet"/>
      <w:lvlText w:val=""/>
      <w:lvlJc w:val="left"/>
      <w:pPr>
        <w:tabs>
          <w:tab w:val="num" w:pos="1800"/>
        </w:tabs>
        <w:ind w:left="1800" w:hanging="360"/>
      </w:pPr>
      <w:rPr>
        <w:rFonts w:ascii="Symbol" w:hAnsi="Symbol" w:hint="default"/>
      </w:rPr>
    </w:lvl>
    <w:lvl w:ilvl="3" w:tplc="F36AE300" w:tentative="1">
      <w:start w:val="1"/>
      <w:numFmt w:val="bullet"/>
      <w:lvlText w:val=""/>
      <w:lvlJc w:val="left"/>
      <w:pPr>
        <w:tabs>
          <w:tab w:val="num" w:pos="2520"/>
        </w:tabs>
        <w:ind w:left="2520" w:hanging="360"/>
      </w:pPr>
      <w:rPr>
        <w:rFonts w:ascii="Symbol" w:hAnsi="Symbol" w:hint="default"/>
      </w:rPr>
    </w:lvl>
    <w:lvl w:ilvl="4" w:tplc="F864AABE" w:tentative="1">
      <w:start w:val="1"/>
      <w:numFmt w:val="bullet"/>
      <w:lvlText w:val=""/>
      <w:lvlJc w:val="left"/>
      <w:pPr>
        <w:tabs>
          <w:tab w:val="num" w:pos="3240"/>
        </w:tabs>
        <w:ind w:left="3240" w:hanging="360"/>
      </w:pPr>
      <w:rPr>
        <w:rFonts w:ascii="Symbol" w:hAnsi="Symbol" w:hint="default"/>
      </w:rPr>
    </w:lvl>
    <w:lvl w:ilvl="5" w:tplc="C01C8966" w:tentative="1">
      <w:start w:val="1"/>
      <w:numFmt w:val="bullet"/>
      <w:lvlText w:val=""/>
      <w:lvlJc w:val="left"/>
      <w:pPr>
        <w:tabs>
          <w:tab w:val="num" w:pos="3960"/>
        </w:tabs>
        <w:ind w:left="3960" w:hanging="360"/>
      </w:pPr>
      <w:rPr>
        <w:rFonts w:ascii="Symbol" w:hAnsi="Symbol" w:hint="default"/>
      </w:rPr>
    </w:lvl>
    <w:lvl w:ilvl="6" w:tplc="735CF4B6" w:tentative="1">
      <w:start w:val="1"/>
      <w:numFmt w:val="bullet"/>
      <w:lvlText w:val=""/>
      <w:lvlJc w:val="left"/>
      <w:pPr>
        <w:tabs>
          <w:tab w:val="num" w:pos="4680"/>
        </w:tabs>
        <w:ind w:left="4680" w:hanging="360"/>
      </w:pPr>
      <w:rPr>
        <w:rFonts w:ascii="Symbol" w:hAnsi="Symbol" w:hint="default"/>
      </w:rPr>
    </w:lvl>
    <w:lvl w:ilvl="7" w:tplc="AEEAB24E" w:tentative="1">
      <w:start w:val="1"/>
      <w:numFmt w:val="bullet"/>
      <w:lvlText w:val=""/>
      <w:lvlJc w:val="left"/>
      <w:pPr>
        <w:tabs>
          <w:tab w:val="num" w:pos="5400"/>
        </w:tabs>
        <w:ind w:left="5400" w:hanging="360"/>
      </w:pPr>
      <w:rPr>
        <w:rFonts w:ascii="Symbol" w:hAnsi="Symbol" w:hint="default"/>
      </w:rPr>
    </w:lvl>
    <w:lvl w:ilvl="8" w:tplc="0C1AA01C"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1092"/>
        </w:tabs>
        <w:ind w:left="1092"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12"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tentative="1">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1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5"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67596675">
    <w:abstractNumId w:val="8"/>
  </w:num>
  <w:num w:numId="2" w16cid:durableId="418673675">
    <w:abstractNumId w:val="17"/>
  </w:num>
  <w:num w:numId="3" w16cid:durableId="791090313">
    <w:abstractNumId w:val="14"/>
  </w:num>
  <w:num w:numId="4" w16cid:durableId="135419405">
    <w:abstractNumId w:val="10"/>
  </w:num>
  <w:num w:numId="5" w16cid:durableId="398945065">
    <w:abstractNumId w:val="1"/>
  </w:num>
  <w:num w:numId="6" w16cid:durableId="608321583">
    <w:abstractNumId w:val="14"/>
  </w:num>
  <w:num w:numId="7" w16cid:durableId="371687206">
    <w:abstractNumId w:val="4"/>
  </w:num>
  <w:num w:numId="8" w16cid:durableId="397362555">
    <w:abstractNumId w:val="2"/>
  </w:num>
  <w:num w:numId="9" w16cid:durableId="1902448782">
    <w:abstractNumId w:val="14"/>
  </w:num>
  <w:num w:numId="10" w16cid:durableId="698045362">
    <w:abstractNumId w:val="16"/>
  </w:num>
  <w:num w:numId="11" w16cid:durableId="117913230">
    <w:abstractNumId w:val="18"/>
  </w:num>
  <w:num w:numId="12" w16cid:durableId="1676112439">
    <w:abstractNumId w:val="9"/>
  </w:num>
  <w:num w:numId="13" w16cid:durableId="1809784374">
    <w:abstractNumId w:val="11"/>
  </w:num>
  <w:num w:numId="14" w16cid:durableId="1922375435">
    <w:abstractNumId w:val="10"/>
  </w:num>
  <w:num w:numId="15" w16cid:durableId="1123423319">
    <w:abstractNumId w:val="15"/>
  </w:num>
  <w:num w:numId="16" w16cid:durableId="1955214677">
    <w:abstractNumId w:val="12"/>
  </w:num>
  <w:num w:numId="17" w16cid:durableId="2082872380">
    <w:abstractNumId w:val="6"/>
  </w:num>
  <w:num w:numId="18" w16cid:durableId="1292781866">
    <w:abstractNumId w:val="3"/>
  </w:num>
  <w:num w:numId="19" w16cid:durableId="152836752">
    <w:abstractNumId w:val="10"/>
  </w:num>
  <w:num w:numId="20" w16cid:durableId="1912041605">
    <w:abstractNumId w:val="10"/>
  </w:num>
  <w:num w:numId="21" w16cid:durableId="1774393836">
    <w:abstractNumId w:val="10"/>
  </w:num>
  <w:num w:numId="22" w16cid:durableId="2077893630">
    <w:abstractNumId w:val="10"/>
  </w:num>
  <w:num w:numId="23" w16cid:durableId="2010324494">
    <w:abstractNumId w:val="13"/>
  </w:num>
  <w:num w:numId="24" w16cid:durableId="1441024294">
    <w:abstractNumId w:val="7"/>
  </w:num>
  <w:num w:numId="25" w16cid:durableId="683559382">
    <w:abstractNumId w:val="0"/>
  </w:num>
  <w:num w:numId="26" w16cid:durableId="20942325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12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1DF3"/>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922"/>
    <w:rsid w:val="00030C38"/>
    <w:rsid w:val="00030D4B"/>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BF5"/>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84C"/>
    <w:rsid w:val="00053B1F"/>
    <w:rsid w:val="00053EE8"/>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5"/>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7C1"/>
    <w:rsid w:val="00075820"/>
    <w:rsid w:val="00075D95"/>
    <w:rsid w:val="00076921"/>
    <w:rsid w:val="00076A39"/>
    <w:rsid w:val="00076AB1"/>
    <w:rsid w:val="00076DA4"/>
    <w:rsid w:val="000770E1"/>
    <w:rsid w:val="000771A9"/>
    <w:rsid w:val="00077519"/>
    <w:rsid w:val="00077A44"/>
    <w:rsid w:val="00077AA6"/>
    <w:rsid w:val="00077BB7"/>
    <w:rsid w:val="00077C91"/>
    <w:rsid w:val="00077D9E"/>
    <w:rsid w:val="0008028B"/>
    <w:rsid w:val="00080493"/>
    <w:rsid w:val="0008101D"/>
    <w:rsid w:val="0008108E"/>
    <w:rsid w:val="00081843"/>
    <w:rsid w:val="00081BB5"/>
    <w:rsid w:val="00081E2B"/>
    <w:rsid w:val="0008209D"/>
    <w:rsid w:val="00082463"/>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BCB"/>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3A3"/>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16"/>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48A"/>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CB5"/>
    <w:rsid w:val="00134D82"/>
    <w:rsid w:val="001352BE"/>
    <w:rsid w:val="00135413"/>
    <w:rsid w:val="001355E7"/>
    <w:rsid w:val="00135895"/>
    <w:rsid w:val="00136162"/>
    <w:rsid w:val="001364CF"/>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BD9"/>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1F1"/>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9B4"/>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5D9"/>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811"/>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C33"/>
    <w:rsid w:val="00191ED9"/>
    <w:rsid w:val="00192197"/>
    <w:rsid w:val="001921D8"/>
    <w:rsid w:val="00192890"/>
    <w:rsid w:val="00192C9A"/>
    <w:rsid w:val="00193E8D"/>
    <w:rsid w:val="00194161"/>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88F"/>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886"/>
    <w:rsid w:val="001B3B87"/>
    <w:rsid w:val="001B4417"/>
    <w:rsid w:val="001B449A"/>
    <w:rsid w:val="001B475D"/>
    <w:rsid w:val="001B4824"/>
    <w:rsid w:val="001B4FB9"/>
    <w:rsid w:val="001B50F2"/>
    <w:rsid w:val="001B5707"/>
    <w:rsid w:val="001B5964"/>
    <w:rsid w:val="001B60E5"/>
    <w:rsid w:val="001B61CC"/>
    <w:rsid w:val="001B626D"/>
    <w:rsid w:val="001B6382"/>
    <w:rsid w:val="001B6BD7"/>
    <w:rsid w:val="001B6D73"/>
    <w:rsid w:val="001B76FD"/>
    <w:rsid w:val="001B7803"/>
    <w:rsid w:val="001C0B7D"/>
    <w:rsid w:val="001C0E55"/>
    <w:rsid w:val="001C1107"/>
    <w:rsid w:val="001C1663"/>
    <w:rsid w:val="001C1813"/>
    <w:rsid w:val="001C1D50"/>
    <w:rsid w:val="001C1F22"/>
    <w:rsid w:val="001C2691"/>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2A"/>
    <w:rsid w:val="001C5440"/>
    <w:rsid w:val="001C5512"/>
    <w:rsid w:val="001C643B"/>
    <w:rsid w:val="001C6648"/>
    <w:rsid w:val="001C69F3"/>
    <w:rsid w:val="001C6ABE"/>
    <w:rsid w:val="001C6E60"/>
    <w:rsid w:val="001C6F8C"/>
    <w:rsid w:val="001C73B0"/>
    <w:rsid w:val="001C7494"/>
    <w:rsid w:val="001C7B62"/>
    <w:rsid w:val="001C7FD5"/>
    <w:rsid w:val="001D0581"/>
    <w:rsid w:val="001D089D"/>
    <w:rsid w:val="001D0AD9"/>
    <w:rsid w:val="001D0B92"/>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38E8"/>
    <w:rsid w:val="001E4E5A"/>
    <w:rsid w:val="001E4F6F"/>
    <w:rsid w:val="001E50B2"/>
    <w:rsid w:val="001E5E94"/>
    <w:rsid w:val="001E5F31"/>
    <w:rsid w:val="001E6802"/>
    <w:rsid w:val="001E6840"/>
    <w:rsid w:val="001E6981"/>
    <w:rsid w:val="001E69FB"/>
    <w:rsid w:val="001E7831"/>
    <w:rsid w:val="001E7D1D"/>
    <w:rsid w:val="001F027E"/>
    <w:rsid w:val="001F0310"/>
    <w:rsid w:val="001F0B40"/>
    <w:rsid w:val="001F0CF9"/>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5E0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854"/>
    <w:rsid w:val="00201A88"/>
    <w:rsid w:val="002024F8"/>
    <w:rsid w:val="002027BB"/>
    <w:rsid w:val="002034C0"/>
    <w:rsid w:val="002034E9"/>
    <w:rsid w:val="00203639"/>
    <w:rsid w:val="00203C7C"/>
    <w:rsid w:val="00203E60"/>
    <w:rsid w:val="00203F32"/>
    <w:rsid w:val="00204013"/>
    <w:rsid w:val="002044B1"/>
    <w:rsid w:val="00204719"/>
    <w:rsid w:val="0020480D"/>
    <w:rsid w:val="0020489D"/>
    <w:rsid w:val="00204DC9"/>
    <w:rsid w:val="00204DCF"/>
    <w:rsid w:val="00205351"/>
    <w:rsid w:val="00205428"/>
    <w:rsid w:val="00205C1D"/>
    <w:rsid w:val="0020602F"/>
    <w:rsid w:val="0020646D"/>
    <w:rsid w:val="002067DF"/>
    <w:rsid w:val="00206D2A"/>
    <w:rsid w:val="00206EFE"/>
    <w:rsid w:val="002073AF"/>
    <w:rsid w:val="00207467"/>
    <w:rsid w:val="0020751F"/>
    <w:rsid w:val="00207953"/>
    <w:rsid w:val="00207AAD"/>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394"/>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D32"/>
    <w:rsid w:val="00245EE7"/>
    <w:rsid w:val="002461FF"/>
    <w:rsid w:val="00246C14"/>
    <w:rsid w:val="00247917"/>
    <w:rsid w:val="00247A87"/>
    <w:rsid w:val="00247BCB"/>
    <w:rsid w:val="00247E30"/>
    <w:rsid w:val="0025071A"/>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B8B"/>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B5"/>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18A"/>
    <w:rsid w:val="00272232"/>
    <w:rsid w:val="00272295"/>
    <w:rsid w:val="002722C0"/>
    <w:rsid w:val="0027255B"/>
    <w:rsid w:val="0027262C"/>
    <w:rsid w:val="00272769"/>
    <w:rsid w:val="00272A5B"/>
    <w:rsid w:val="00272E19"/>
    <w:rsid w:val="00273031"/>
    <w:rsid w:val="0027360D"/>
    <w:rsid w:val="002739D6"/>
    <w:rsid w:val="002741CF"/>
    <w:rsid w:val="0027484D"/>
    <w:rsid w:val="00274899"/>
    <w:rsid w:val="00274E65"/>
    <w:rsid w:val="0027525B"/>
    <w:rsid w:val="002756BE"/>
    <w:rsid w:val="0027570E"/>
    <w:rsid w:val="00275747"/>
    <w:rsid w:val="00275A54"/>
    <w:rsid w:val="0027611E"/>
    <w:rsid w:val="002766AB"/>
    <w:rsid w:val="00276A4C"/>
    <w:rsid w:val="00277AB8"/>
    <w:rsid w:val="00277F25"/>
    <w:rsid w:val="00280272"/>
    <w:rsid w:val="00280849"/>
    <w:rsid w:val="00280C9F"/>
    <w:rsid w:val="00280CF1"/>
    <w:rsid w:val="00280FA2"/>
    <w:rsid w:val="002817B9"/>
    <w:rsid w:val="0028198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0F96"/>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0B5"/>
    <w:rsid w:val="002B01CD"/>
    <w:rsid w:val="002B081A"/>
    <w:rsid w:val="002B0A07"/>
    <w:rsid w:val="002B10B0"/>
    <w:rsid w:val="002B14D8"/>
    <w:rsid w:val="002B18DC"/>
    <w:rsid w:val="002B1DE4"/>
    <w:rsid w:val="002B2124"/>
    <w:rsid w:val="002B285A"/>
    <w:rsid w:val="002B2CC2"/>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85E"/>
    <w:rsid w:val="002C0A1C"/>
    <w:rsid w:val="002C0B21"/>
    <w:rsid w:val="002C0BAE"/>
    <w:rsid w:val="002C0C0B"/>
    <w:rsid w:val="002C0C65"/>
    <w:rsid w:val="002C1741"/>
    <w:rsid w:val="002C1B10"/>
    <w:rsid w:val="002C1B9C"/>
    <w:rsid w:val="002C1D43"/>
    <w:rsid w:val="002C1FE9"/>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EBF"/>
    <w:rsid w:val="002C52D6"/>
    <w:rsid w:val="002C59AD"/>
    <w:rsid w:val="002C5A07"/>
    <w:rsid w:val="002C62D8"/>
    <w:rsid w:val="002C6470"/>
    <w:rsid w:val="002C663E"/>
    <w:rsid w:val="002C67B4"/>
    <w:rsid w:val="002C67F1"/>
    <w:rsid w:val="002C6DA4"/>
    <w:rsid w:val="002C6DDA"/>
    <w:rsid w:val="002C7B9C"/>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B3E"/>
    <w:rsid w:val="002E643F"/>
    <w:rsid w:val="002E6569"/>
    <w:rsid w:val="002E6A4E"/>
    <w:rsid w:val="002E6B61"/>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9A"/>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E6"/>
    <w:rsid w:val="003009F6"/>
    <w:rsid w:val="00300A6C"/>
    <w:rsid w:val="00300ADC"/>
    <w:rsid w:val="00300CD0"/>
    <w:rsid w:val="00300DD9"/>
    <w:rsid w:val="0030119E"/>
    <w:rsid w:val="003014DC"/>
    <w:rsid w:val="003016AE"/>
    <w:rsid w:val="00301BF3"/>
    <w:rsid w:val="00301CCC"/>
    <w:rsid w:val="00301DA9"/>
    <w:rsid w:val="003021A4"/>
    <w:rsid w:val="00302745"/>
    <w:rsid w:val="00302DDE"/>
    <w:rsid w:val="00302F9A"/>
    <w:rsid w:val="00303071"/>
    <w:rsid w:val="0030337E"/>
    <w:rsid w:val="003033D5"/>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2E1"/>
    <w:rsid w:val="003108D4"/>
    <w:rsid w:val="003112F7"/>
    <w:rsid w:val="003113C2"/>
    <w:rsid w:val="0031148E"/>
    <w:rsid w:val="0031174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3A5"/>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77"/>
    <w:rsid w:val="003313BD"/>
    <w:rsid w:val="00331447"/>
    <w:rsid w:val="0033178E"/>
    <w:rsid w:val="00331D2F"/>
    <w:rsid w:val="00331D6F"/>
    <w:rsid w:val="0033258D"/>
    <w:rsid w:val="00332C2D"/>
    <w:rsid w:val="00332C4D"/>
    <w:rsid w:val="00332D39"/>
    <w:rsid w:val="0033364A"/>
    <w:rsid w:val="0033376F"/>
    <w:rsid w:val="00333816"/>
    <w:rsid w:val="00333BC7"/>
    <w:rsid w:val="00333BF1"/>
    <w:rsid w:val="00334CAB"/>
    <w:rsid w:val="003350F4"/>
    <w:rsid w:val="00335527"/>
    <w:rsid w:val="0033580A"/>
    <w:rsid w:val="00335B2A"/>
    <w:rsid w:val="00336290"/>
    <w:rsid w:val="003368BF"/>
    <w:rsid w:val="00336B0A"/>
    <w:rsid w:val="0033703D"/>
    <w:rsid w:val="0033729C"/>
    <w:rsid w:val="00337CAA"/>
    <w:rsid w:val="00337E7A"/>
    <w:rsid w:val="00337F2A"/>
    <w:rsid w:val="003405D3"/>
    <w:rsid w:val="00340E02"/>
    <w:rsid w:val="003410F8"/>
    <w:rsid w:val="0034186E"/>
    <w:rsid w:val="00341A6F"/>
    <w:rsid w:val="00341B02"/>
    <w:rsid w:val="00341EA2"/>
    <w:rsid w:val="00342033"/>
    <w:rsid w:val="00342217"/>
    <w:rsid w:val="00342B0D"/>
    <w:rsid w:val="00342EFF"/>
    <w:rsid w:val="00343526"/>
    <w:rsid w:val="003435A9"/>
    <w:rsid w:val="0034373D"/>
    <w:rsid w:val="00343E31"/>
    <w:rsid w:val="00343F7B"/>
    <w:rsid w:val="003442B2"/>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5032"/>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14F"/>
    <w:rsid w:val="00367200"/>
    <w:rsid w:val="00367E04"/>
    <w:rsid w:val="00367EEB"/>
    <w:rsid w:val="003700D4"/>
    <w:rsid w:val="003704E2"/>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374C"/>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135"/>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01C"/>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9F"/>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079"/>
    <w:rsid w:val="003C42D1"/>
    <w:rsid w:val="003C4695"/>
    <w:rsid w:val="003C474A"/>
    <w:rsid w:val="003C4874"/>
    <w:rsid w:val="003C48A8"/>
    <w:rsid w:val="003C4C48"/>
    <w:rsid w:val="003C4F5D"/>
    <w:rsid w:val="003C5519"/>
    <w:rsid w:val="003C55A1"/>
    <w:rsid w:val="003C56AA"/>
    <w:rsid w:val="003C56D6"/>
    <w:rsid w:val="003C5AC6"/>
    <w:rsid w:val="003C5E3E"/>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521"/>
    <w:rsid w:val="00435667"/>
    <w:rsid w:val="0043566A"/>
    <w:rsid w:val="00435E45"/>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B99"/>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00C"/>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0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4B5"/>
    <w:rsid w:val="00486871"/>
    <w:rsid w:val="004869A7"/>
    <w:rsid w:val="00486A7F"/>
    <w:rsid w:val="00486A88"/>
    <w:rsid w:val="00486C7C"/>
    <w:rsid w:val="00486E7F"/>
    <w:rsid w:val="00487025"/>
    <w:rsid w:val="0048769D"/>
    <w:rsid w:val="00487753"/>
    <w:rsid w:val="0048787B"/>
    <w:rsid w:val="00487F4E"/>
    <w:rsid w:val="004901BC"/>
    <w:rsid w:val="00490258"/>
    <w:rsid w:val="004902FC"/>
    <w:rsid w:val="00490599"/>
    <w:rsid w:val="0049072B"/>
    <w:rsid w:val="00490E4C"/>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186"/>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5FB9"/>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1E55"/>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6D00"/>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3D43"/>
    <w:rsid w:val="004C414F"/>
    <w:rsid w:val="004C454B"/>
    <w:rsid w:val="004C4646"/>
    <w:rsid w:val="004C48FD"/>
    <w:rsid w:val="004C4CC4"/>
    <w:rsid w:val="004C4F11"/>
    <w:rsid w:val="004C56F2"/>
    <w:rsid w:val="004C5B84"/>
    <w:rsid w:val="004C6014"/>
    <w:rsid w:val="004C627F"/>
    <w:rsid w:val="004C6C24"/>
    <w:rsid w:val="004C70D8"/>
    <w:rsid w:val="004C7288"/>
    <w:rsid w:val="004C7333"/>
    <w:rsid w:val="004C75BE"/>
    <w:rsid w:val="004C766B"/>
    <w:rsid w:val="004C771F"/>
    <w:rsid w:val="004C77A2"/>
    <w:rsid w:val="004D025F"/>
    <w:rsid w:val="004D0445"/>
    <w:rsid w:val="004D07E2"/>
    <w:rsid w:val="004D0A53"/>
    <w:rsid w:val="004D0B6D"/>
    <w:rsid w:val="004D1437"/>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7"/>
    <w:rsid w:val="004E343F"/>
    <w:rsid w:val="004E385D"/>
    <w:rsid w:val="004E3883"/>
    <w:rsid w:val="004E3FEB"/>
    <w:rsid w:val="004E4932"/>
    <w:rsid w:val="004E4BFF"/>
    <w:rsid w:val="004E57BB"/>
    <w:rsid w:val="004E5A13"/>
    <w:rsid w:val="004E5C8E"/>
    <w:rsid w:val="004E5CF9"/>
    <w:rsid w:val="004E60B7"/>
    <w:rsid w:val="004E60C6"/>
    <w:rsid w:val="004E625A"/>
    <w:rsid w:val="004E62EE"/>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2D42"/>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4C72"/>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DCA"/>
    <w:rsid w:val="00524E47"/>
    <w:rsid w:val="00525576"/>
    <w:rsid w:val="00525741"/>
    <w:rsid w:val="0052593A"/>
    <w:rsid w:val="00525B46"/>
    <w:rsid w:val="00525B87"/>
    <w:rsid w:val="00525D7F"/>
    <w:rsid w:val="00526182"/>
    <w:rsid w:val="00526304"/>
    <w:rsid w:val="00526800"/>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99E"/>
    <w:rsid w:val="00537C68"/>
    <w:rsid w:val="00537CD1"/>
    <w:rsid w:val="00537E39"/>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83"/>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8FA"/>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7CA"/>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9CB"/>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20F"/>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4FC7"/>
    <w:rsid w:val="005B5721"/>
    <w:rsid w:val="005B5E7A"/>
    <w:rsid w:val="005B62B8"/>
    <w:rsid w:val="005B669C"/>
    <w:rsid w:val="005B6AEF"/>
    <w:rsid w:val="005B6D2B"/>
    <w:rsid w:val="005B715A"/>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111"/>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80"/>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9E2"/>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7B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755"/>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0EF2"/>
    <w:rsid w:val="00681304"/>
    <w:rsid w:val="006815A9"/>
    <w:rsid w:val="00681953"/>
    <w:rsid w:val="006819D2"/>
    <w:rsid w:val="00681A51"/>
    <w:rsid w:val="00682140"/>
    <w:rsid w:val="006822A9"/>
    <w:rsid w:val="006823F4"/>
    <w:rsid w:val="006829CD"/>
    <w:rsid w:val="00682B0D"/>
    <w:rsid w:val="00682E24"/>
    <w:rsid w:val="006832CA"/>
    <w:rsid w:val="006833B1"/>
    <w:rsid w:val="0068375D"/>
    <w:rsid w:val="006838EC"/>
    <w:rsid w:val="00683A2B"/>
    <w:rsid w:val="00683C7C"/>
    <w:rsid w:val="00683CE8"/>
    <w:rsid w:val="00684263"/>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A1"/>
    <w:rsid w:val="006915DC"/>
    <w:rsid w:val="0069188A"/>
    <w:rsid w:val="00691C23"/>
    <w:rsid w:val="00691FAE"/>
    <w:rsid w:val="00692046"/>
    <w:rsid w:val="006923D1"/>
    <w:rsid w:val="006926E4"/>
    <w:rsid w:val="0069288F"/>
    <w:rsid w:val="006928E2"/>
    <w:rsid w:val="00692B98"/>
    <w:rsid w:val="00692CD7"/>
    <w:rsid w:val="00692FD3"/>
    <w:rsid w:val="00692FFA"/>
    <w:rsid w:val="00693031"/>
    <w:rsid w:val="006930D8"/>
    <w:rsid w:val="006930DD"/>
    <w:rsid w:val="0069310D"/>
    <w:rsid w:val="00693705"/>
    <w:rsid w:val="00694039"/>
    <w:rsid w:val="00694239"/>
    <w:rsid w:val="00694451"/>
    <w:rsid w:val="006947EF"/>
    <w:rsid w:val="00694AB2"/>
    <w:rsid w:val="00694BD9"/>
    <w:rsid w:val="00695026"/>
    <w:rsid w:val="006951EF"/>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C93"/>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224"/>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7A"/>
    <w:rsid w:val="006C19B2"/>
    <w:rsid w:val="006C1F2A"/>
    <w:rsid w:val="006C1F52"/>
    <w:rsid w:val="006C2F2E"/>
    <w:rsid w:val="006C30B8"/>
    <w:rsid w:val="006C35B6"/>
    <w:rsid w:val="006C3820"/>
    <w:rsid w:val="006C39A1"/>
    <w:rsid w:val="006C3B47"/>
    <w:rsid w:val="006C4600"/>
    <w:rsid w:val="006C4772"/>
    <w:rsid w:val="006C47A7"/>
    <w:rsid w:val="006C47D4"/>
    <w:rsid w:val="006C4A84"/>
    <w:rsid w:val="006C5773"/>
    <w:rsid w:val="006C5941"/>
    <w:rsid w:val="006C5AB2"/>
    <w:rsid w:val="006C5C7D"/>
    <w:rsid w:val="006C6259"/>
    <w:rsid w:val="006C6379"/>
    <w:rsid w:val="006C651A"/>
    <w:rsid w:val="006C67B5"/>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A6A"/>
    <w:rsid w:val="006E1D67"/>
    <w:rsid w:val="006E1D92"/>
    <w:rsid w:val="006E25DA"/>
    <w:rsid w:val="006E2CCD"/>
    <w:rsid w:val="006E2DCF"/>
    <w:rsid w:val="006E2EAC"/>
    <w:rsid w:val="006E2F60"/>
    <w:rsid w:val="006E3552"/>
    <w:rsid w:val="006E3574"/>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9E6"/>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7BA"/>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75F"/>
    <w:rsid w:val="0075798A"/>
    <w:rsid w:val="0075798C"/>
    <w:rsid w:val="00757DAA"/>
    <w:rsid w:val="00757E9F"/>
    <w:rsid w:val="00757EFD"/>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E34"/>
    <w:rsid w:val="00764FA0"/>
    <w:rsid w:val="0076528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70A"/>
    <w:rsid w:val="00773B96"/>
    <w:rsid w:val="00773E73"/>
    <w:rsid w:val="00773FF3"/>
    <w:rsid w:val="00774357"/>
    <w:rsid w:val="00774903"/>
    <w:rsid w:val="007749A7"/>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01A"/>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C3B"/>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4B65"/>
    <w:rsid w:val="0079510C"/>
    <w:rsid w:val="0079533C"/>
    <w:rsid w:val="0079546D"/>
    <w:rsid w:val="0079552F"/>
    <w:rsid w:val="00795601"/>
    <w:rsid w:val="0079674B"/>
    <w:rsid w:val="00796C5D"/>
    <w:rsid w:val="00796F1E"/>
    <w:rsid w:val="00796F95"/>
    <w:rsid w:val="00797107"/>
    <w:rsid w:val="00797C3E"/>
    <w:rsid w:val="00797FCA"/>
    <w:rsid w:val="007A029A"/>
    <w:rsid w:val="007A049F"/>
    <w:rsid w:val="007A09AB"/>
    <w:rsid w:val="007A0D97"/>
    <w:rsid w:val="007A0F30"/>
    <w:rsid w:val="007A0FE4"/>
    <w:rsid w:val="007A1151"/>
    <w:rsid w:val="007A1324"/>
    <w:rsid w:val="007A13B6"/>
    <w:rsid w:val="007A15D9"/>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61F"/>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417"/>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88A"/>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1E"/>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5FC"/>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B2"/>
    <w:rsid w:val="00810C56"/>
    <w:rsid w:val="00810EC7"/>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B9F"/>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161"/>
    <w:rsid w:val="00834363"/>
    <w:rsid w:val="0083442C"/>
    <w:rsid w:val="008344A7"/>
    <w:rsid w:val="0083454A"/>
    <w:rsid w:val="00834672"/>
    <w:rsid w:val="00834A9E"/>
    <w:rsid w:val="00834B5B"/>
    <w:rsid w:val="00834EE2"/>
    <w:rsid w:val="008352F4"/>
    <w:rsid w:val="00835392"/>
    <w:rsid w:val="0083542F"/>
    <w:rsid w:val="008355C6"/>
    <w:rsid w:val="00835635"/>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871"/>
    <w:rsid w:val="00842A7D"/>
    <w:rsid w:val="00842FEA"/>
    <w:rsid w:val="00843107"/>
    <w:rsid w:val="0084318A"/>
    <w:rsid w:val="00843548"/>
    <w:rsid w:val="00843663"/>
    <w:rsid w:val="008439A0"/>
    <w:rsid w:val="008439E8"/>
    <w:rsid w:val="00843AF3"/>
    <w:rsid w:val="00843FBC"/>
    <w:rsid w:val="00844375"/>
    <w:rsid w:val="008449E7"/>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2D6E"/>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1EC"/>
    <w:rsid w:val="008666CA"/>
    <w:rsid w:val="00866FE4"/>
    <w:rsid w:val="00867258"/>
    <w:rsid w:val="00867A83"/>
    <w:rsid w:val="00867F02"/>
    <w:rsid w:val="00870403"/>
    <w:rsid w:val="0087083E"/>
    <w:rsid w:val="008709CF"/>
    <w:rsid w:val="00870B54"/>
    <w:rsid w:val="00870D31"/>
    <w:rsid w:val="008710A9"/>
    <w:rsid w:val="00871946"/>
    <w:rsid w:val="00871AC3"/>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3C"/>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37DD"/>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856"/>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94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459"/>
    <w:rsid w:val="008A4A71"/>
    <w:rsid w:val="008A4B6A"/>
    <w:rsid w:val="008A4EE7"/>
    <w:rsid w:val="008A51F5"/>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AD4"/>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2E59"/>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06E7"/>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09D"/>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5E8"/>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3E4D"/>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398"/>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24"/>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E06"/>
    <w:rsid w:val="00954F3F"/>
    <w:rsid w:val="00955211"/>
    <w:rsid w:val="0095572E"/>
    <w:rsid w:val="00955AEB"/>
    <w:rsid w:val="00955CF5"/>
    <w:rsid w:val="00955D11"/>
    <w:rsid w:val="00955D98"/>
    <w:rsid w:val="009566B1"/>
    <w:rsid w:val="009567EA"/>
    <w:rsid w:val="00957093"/>
    <w:rsid w:val="00957495"/>
    <w:rsid w:val="00960486"/>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681A"/>
    <w:rsid w:val="0097704C"/>
    <w:rsid w:val="00977095"/>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784"/>
    <w:rsid w:val="00990009"/>
    <w:rsid w:val="0099005E"/>
    <w:rsid w:val="009901EF"/>
    <w:rsid w:val="00990314"/>
    <w:rsid w:val="009904E4"/>
    <w:rsid w:val="00990555"/>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114"/>
    <w:rsid w:val="009A2395"/>
    <w:rsid w:val="009A2952"/>
    <w:rsid w:val="009A2AA8"/>
    <w:rsid w:val="009A2DE8"/>
    <w:rsid w:val="009A2F40"/>
    <w:rsid w:val="009A32C7"/>
    <w:rsid w:val="009A32E9"/>
    <w:rsid w:val="009A33E8"/>
    <w:rsid w:val="009A34BC"/>
    <w:rsid w:val="009A361E"/>
    <w:rsid w:val="009A37AF"/>
    <w:rsid w:val="009A37E7"/>
    <w:rsid w:val="009A385F"/>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A7D89"/>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E5B"/>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6E3E"/>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1C44"/>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6C8"/>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1FF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08C"/>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7"/>
    <w:rsid w:val="00A12DDE"/>
    <w:rsid w:val="00A13033"/>
    <w:rsid w:val="00A13738"/>
    <w:rsid w:val="00A13BE5"/>
    <w:rsid w:val="00A13D50"/>
    <w:rsid w:val="00A14127"/>
    <w:rsid w:val="00A147E9"/>
    <w:rsid w:val="00A14D02"/>
    <w:rsid w:val="00A14DA9"/>
    <w:rsid w:val="00A14E3C"/>
    <w:rsid w:val="00A151A6"/>
    <w:rsid w:val="00A15755"/>
    <w:rsid w:val="00A15932"/>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17D1B"/>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1869"/>
    <w:rsid w:val="00A31D53"/>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44B"/>
    <w:rsid w:val="00A5796F"/>
    <w:rsid w:val="00A57F00"/>
    <w:rsid w:val="00A600CC"/>
    <w:rsid w:val="00A60643"/>
    <w:rsid w:val="00A60A46"/>
    <w:rsid w:val="00A61109"/>
    <w:rsid w:val="00A61BB0"/>
    <w:rsid w:val="00A61F98"/>
    <w:rsid w:val="00A625E6"/>
    <w:rsid w:val="00A62803"/>
    <w:rsid w:val="00A6294B"/>
    <w:rsid w:val="00A62A02"/>
    <w:rsid w:val="00A63000"/>
    <w:rsid w:val="00A63238"/>
    <w:rsid w:val="00A634B5"/>
    <w:rsid w:val="00A63819"/>
    <w:rsid w:val="00A63ED3"/>
    <w:rsid w:val="00A644B9"/>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7D"/>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C8F"/>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34A"/>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DCD"/>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1DEF"/>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753"/>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0C5C"/>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15"/>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86E"/>
    <w:rsid w:val="00B1690B"/>
    <w:rsid w:val="00B16958"/>
    <w:rsid w:val="00B16BA6"/>
    <w:rsid w:val="00B17070"/>
    <w:rsid w:val="00B170FF"/>
    <w:rsid w:val="00B17175"/>
    <w:rsid w:val="00B17185"/>
    <w:rsid w:val="00B172B6"/>
    <w:rsid w:val="00B173AD"/>
    <w:rsid w:val="00B176DC"/>
    <w:rsid w:val="00B176F1"/>
    <w:rsid w:val="00B17AC1"/>
    <w:rsid w:val="00B20082"/>
    <w:rsid w:val="00B20376"/>
    <w:rsid w:val="00B204EA"/>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6D5E"/>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677"/>
    <w:rsid w:val="00B43997"/>
    <w:rsid w:val="00B43A7E"/>
    <w:rsid w:val="00B440A7"/>
    <w:rsid w:val="00B441A1"/>
    <w:rsid w:val="00B4450D"/>
    <w:rsid w:val="00B44616"/>
    <w:rsid w:val="00B446FF"/>
    <w:rsid w:val="00B45230"/>
    <w:rsid w:val="00B4536A"/>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8A5"/>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59"/>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433"/>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B84"/>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1C5"/>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52"/>
    <w:rsid w:val="00BF3162"/>
    <w:rsid w:val="00BF3619"/>
    <w:rsid w:val="00BF36D6"/>
    <w:rsid w:val="00BF37D8"/>
    <w:rsid w:val="00BF3B3F"/>
    <w:rsid w:val="00BF3C0A"/>
    <w:rsid w:val="00BF3D04"/>
    <w:rsid w:val="00BF4360"/>
    <w:rsid w:val="00BF43AE"/>
    <w:rsid w:val="00BF4B3A"/>
    <w:rsid w:val="00BF53AB"/>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50A"/>
    <w:rsid w:val="00C06630"/>
    <w:rsid w:val="00C066AA"/>
    <w:rsid w:val="00C06AC6"/>
    <w:rsid w:val="00C06AFB"/>
    <w:rsid w:val="00C06B63"/>
    <w:rsid w:val="00C06C21"/>
    <w:rsid w:val="00C06E83"/>
    <w:rsid w:val="00C06FE5"/>
    <w:rsid w:val="00C07050"/>
    <w:rsid w:val="00C0716B"/>
    <w:rsid w:val="00C071E5"/>
    <w:rsid w:val="00C076DA"/>
    <w:rsid w:val="00C078B6"/>
    <w:rsid w:val="00C0791A"/>
    <w:rsid w:val="00C07A21"/>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0E6"/>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AC3"/>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202"/>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516"/>
    <w:rsid w:val="00C65933"/>
    <w:rsid w:val="00C65B05"/>
    <w:rsid w:val="00C660C4"/>
    <w:rsid w:val="00C660E8"/>
    <w:rsid w:val="00C660FE"/>
    <w:rsid w:val="00C667A2"/>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18C"/>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18A"/>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82"/>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793"/>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69B"/>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E7"/>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BF4"/>
    <w:rsid w:val="00CF1E74"/>
    <w:rsid w:val="00CF1F48"/>
    <w:rsid w:val="00CF1FF1"/>
    <w:rsid w:val="00CF31D0"/>
    <w:rsid w:val="00CF36B4"/>
    <w:rsid w:val="00CF384B"/>
    <w:rsid w:val="00CF3876"/>
    <w:rsid w:val="00CF3C39"/>
    <w:rsid w:val="00CF3F14"/>
    <w:rsid w:val="00CF3FEA"/>
    <w:rsid w:val="00CF4B11"/>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37"/>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AAA"/>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49A"/>
    <w:rsid w:val="00D4466D"/>
    <w:rsid w:val="00D455FD"/>
    <w:rsid w:val="00D45A8D"/>
    <w:rsid w:val="00D4638C"/>
    <w:rsid w:val="00D46410"/>
    <w:rsid w:val="00D46923"/>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4F27"/>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6C33"/>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5AA"/>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4"/>
    <w:rsid w:val="00DA3529"/>
    <w:rsid w:val="00DA3581"/>
    <w:rsid w:val="00DA365E"/>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69"/>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5E4"/>
    <w:rsid w:val="00DD58AE"/>
    <w:rsid w:val="00DD5BAA"/>
    <w:rsid w:val="00DD5D37"/>
    <w:rsid w:val="00DD621B"/>
    <w:rsid w:val="00DD6552"/>
    <w:rsid w:val="00DD682F"/>
    <w:rsid w:val="00DD68E5"/>
    <w:rsid w:val="00DD6ACC"/>
    <w:rsid w:val="00DD6F26"/>
    <w:rsid w:val="00DD7001"/>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B6D"/>
    <w:rsid w:val="00E02D9C"/>
    <w:rsid w:val="00E03286"/>
    <w:rsid w:val="00E036FF"/>
    <w:rsid w:val="00E03E4D"/>
    <w:rsid w:val="00E04103"/>
    <w:rsid w:val="00E04421"/>
    <w:rsid w:val="00E04681"/>
    <w:rsid w:val="00E04BBA"/>
    <w:rsid w:val="00E04D51"/>
    <w:rsid w:val="00E057B1"/>
    <w:rsid w:val="00E05B46"/>
    <w:rsid w:val="00E05D42"/>
    <w:rsid w:val="00E06150"/>
    <w:rsid w:val="00E06387"/>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FA"/>
    <w:rsid w:val="00E13B9C"/>
    <w:rsid w:val="00E14861"/>
    <w:rsid w:val="00E148A7"/>
    <w:rsid w:val="00E14CB3"/>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65C"/>
    <w:rsid w:val="00E2177B"/>
    <w:rsid w:val="00E2184A"/>
    <w:rsid w:val="00E219B6"/>
    <w:rsid w:val="00E21B33"/>
    <w:rsid w:val="00E21D30"/>
    <w:rsid w:val="00E21ECD"/>
    <w:rsid w:val="00E2204E"/>
    <w:rsid w:val="00E22291"/>
    <w:rsid w:val="00E2234B"/>
    <w:rsid w:val="00E227AC"/>
    <w:rsid w:val="00E22AA8"/>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A82"/>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79"/>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A74"/>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77"/>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3D"/>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3D2"/>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613"/>
    <w:rsid w:val="00E91B3E"/>
    <w:rsid w:val="00E92038"/>
    <w:rsid w:val="00E926F4"/>
    <w:rsid w:val="00E927FF"/>
    <w:rsid w:val="00E93328"/>
    <w:rsid w:val="00E93367"/>
    <w:rsid w:val="00E9340C"/>
    <w:rsid w:val="00E93892"/>
    <w:rsid w:val="00E93BA8"/>
    <w:rsid w:val="00E93D5C"/>
    <w:rsid w:val="00E9481D"/>
    <w:rsid w:val="00E94B65"/>
    <w:rsid w:val="00E94BCD"/>
    <w:rsid w:val="00E94D00"/>
    <w:rsid w:val="00E959BE"/>
    <w:rsid w:val="00E95F84"/>
    <w:rsid w:val="00E965F4"/>
    <w:rsid w:val="00E966BF"/>
    <w:rsid w:val="00E972B0"/>
    <w:rsid w:val="00E97379"/>
    <w:rsid w:val="00E97B2B"/>
    <w:rsid w:val="00E97D20"/>
    <w:rsid w:val="00E97D76"/>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A7E9D"/>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8F7"/>
    <w:rsid w:val="00EB6F3C"/>
    <w:rsid w:val="00EB722E"/>
    <w:rsid w:val="00EB7497"/>
    <w:rsid w:val="00EB7616"/>
    <w:rsid w:val="00EB7629"/>
    <w:rsid w:val="00EB77A4"/>
    <w:rsid w:val="00EB79DF"/>
    <w:rsid w:val="00EB7A01"/>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36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621"/>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CB2"/>
    <w:rsid w:val="00F23EF8"/>
    <w:rsid w:val="00F23F39"/>
    <w:rsid w:val="00F24285"/>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2794A"/>
    <w:rsid w:val="00F300CC"/>
    <w:rsid w:val="00F300EC"/>
    <w:rsid w:val="00F307D3"/>
    <w:rsid w:val="00F3090F"/>
    <w:rsid w:val="00F30978"/>
    <w:rsid w:val="00F30A9C"/>
    <w:rsid w:val="00F30E14"/>
    <w:rsid w:val="00F30E27"/>
    <w:rsid w:val="00F30EB4"/>
    <w:rsid w:val="00F3173B"/>
    <w:rsid w:val="00F31853"/>
    <w:rsid w:val="00F31C50"/>
    <w:rsid w:val="00F31D33"/>
    <w:rsid w:val="00F31DCB"/>
    <w:rsid w:val="00F3222D"/>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6D19"/>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3CF"/>
    <w:rsid w:val="00F44714"/>
    <w:rsid w:val="00F448DD"/>
    <w:rsid w:val="00F44E8C"/>
    <w:rsid w:val="00F455D8"/>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37D"/>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90F"/>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7E3"/>
    <w:rsid w:val="00F92869"/>
    <w:rsid w:val="00F929C5"/>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CEB"/>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458"/>
    <w:rsid w:val="00FD4806"/>
    <w:rsid w:val="00FD491E"/>
    <w:rsid w:val="00FD498D"/>
    <w:rsid w:val="00FD4A80"/>
    <w:rsid w:val="00FD4FF4"/>
    <w:rsid w:val="00FD5657"/>
    <w:rsid w:val="00FD56D9"/>
    <w:rsid w:val="00FD5ABF"/>
    <w:rsid w:val="00FD5C18"/>
    <w:rsid w:val="00FD5E95"/>
    <w:rsid w:val="00FD605C"/>
    <w:rsid w:val="00FD61EC"/>
    <w:rsid w:val="00FD62D7"/>
    <w:rsid w:val="00FD63BD"/>
    <w:rsid w:val="00FD6459"/>
    <w:rsid w:val="00FD6795"/>
    <w:rsid w:val="00FD6A96"/>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34"/>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17"/>
    <w:rsid w:val="00FF0073"/>
    <w:rsid w:val="00FF010A"/>
    <w:rsid w:val="00FF03CA"/>
    <w:rsid w:val="00FF0563"/>
    <w:rsid w:val="00FF0626"/>
    <w:rsid w:val="00FF0668"/>
    <w:rsid w:val="00FF1364"/>
    <w:rsid w:val="00FF13A0"/>
    <w:rsid w:val="00FF1512"/>
    <w:rsid w:val="00FF1705"/>
    <w:rsid w:val="00FF1927"/>
    <w:rsid w:val="00FF192C"/>
    <w:rsid w:val="00FF1AF2"/>
    <w:rsid w:val="00FF1EEB"/>
    <w:rsid w:val="00FF212A"/>
    <w:rsid w:val="00FF21AD"/>
    <w:rsid w:val="00FF292D"/>
    <w:rsid w:val="00FF3040"/>
    <w:rsid w:val="00FF3262"/>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1265">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3C69"/>
    <w:rPr>
      <w:rFonts w:ascii="Calibri" w:eastAsiaTheme="minorEastAsia" w:hAnsi="Calibri"/>
      <w:noProof/>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tabs>
        <w:tab w:val="clear" w:pos="1092"/>
        <w:tab w:val="num" w:pos="666"/>
      </w:tabs>
      <w:spacing w:before="180"/>
      <w:ind w:left="666"/>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9793811">
      <w:bodyDiv w:val="1"/>
      <w:marLeft w:val="0"/>
      <w:marRight w:val="0"/>
      <w:marTop w:val="0"/>
      <w:marBottom w:val="0"/>
      <w:divBdr>
        <w:top w:val="none" w:sz="0" w:space="0" w:color="auto"/>
        <w:left w:val="none" w:sz="0" w:space="0" w:color="auto"/>
        <w:bottom w:val="none" w:sz="0" w:space="0" w:color="auto"/>
        <w:right w:val="none" w:sz="0" w:space="0" w:color="auto"/>
      </w:divBdr>
      <w:divsChild>
        <w:div w:id="348601382">
          <w:marLeft w:val="1166"/>
          <w:marRight w:val="0"/>
          <w:marTop w:val="86"/>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55753488">
      <w:bodyDiv w:val="1"/>
      <w:marLeft w:val="0"/>
      <w:marRight w:val="0"/>
      <w:marTop w:val="0"/>
      <w:marBottom w:val="0"/>
      <w:divBdr>
        <w:top w:val="none" w:sz="0" w:space="0" w:color="auto"/>
        <w:left w:val="none" w:sz="0" w:space="0" w:color="auto"/>
        <w:bottom w:val="none" w:sz="0" w:space="0" w:color="auto"/>
        <w:right w:val="none" w:sz="0" w:space="0" w:color="auto"/>
      </w:divBdr>
      <w:divsChild>
        <w:div w:id="2081977556">
          <w:marLeft w:val="1166"/>
          <w:marRight w:val="0"/>
          <w:marTop w:val="86"/>
          <w:marBottom w:val="0"/>
          <w:divBdr>
            <w:top w:val="none" w:sz="0" w:space="0" w:color="auto"/>
            <w:left w:val="none" w:sz="0" w:space="0" w:color="auto"/>
            <w:bottom w:val="none" w:sz="0" w:space="0" w:color="auto"/>
            <w:right w:val="none" w:sz="0" w:space="0" w:color="auto"/>
          </w:divBdr>
        </w:div>
      </w:divsChild>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43100613">
      <w:bodyDiv w:val="1"/>
      <w:marLeft w:val="0"/>
      <w:marRight w:val="0"/>
      <w:marTop w:val="0"/>
      <w:marBottom w:val="0"/>
      <w:divBdr>
        <w:top w:val="none" w:sz="0" w:space="0" w:color="auto"/>
        <w:left w:val="none" w:sz="0" w:space="0" w:color="auto"/>
        <w:bottom w:val="none" w:sz="0" w:space="0" w:color="auto"/>
        <w:right w:val="none" w:sz="0" w:space="0" w:color="auto"/>
      </w:divBdr>
      <w:divsChild>
        <w:div w:id="261575263">
          <w:marLeft w:val="547"/>
          <w:marRight w:val="0"/>
          <w:marTop w:val="96"/>
          <w:marBottom w:val="0"/>
          <w:divBdr>
            <w:top w:val="none" w:sz="0" w:space="0" w:color="auto"/>
            <w:left w:val="none" w:sz="0" w:space="0" w:color="auto"/>
            <w:bottom w:val="none" w:sz="0" w:space="0" w:color="auto"/>
            <w:right w:val="none" w:sz="0" w:space="0" w:color="auto"/>
          </w:divBdr>
        </w:div>
      </w:divsChild>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74842911">
      <w:bodyDiv w:val="1"/>
      <w:marLeft w:val="0"/>
      <w:marRight w:val="0"/>
      <w:marTop w:val="0"/>
      <w:marBottom w:val="0"/>
      <w:divBdr>
        <w:top w:val="none" w:sz="0" w:space="0" w:color="auto"/>
        <w:left w:val="none" w:sz="0" w:space="0" w:color="auto"/>
        <w:bottom w:val="none" w:sz="0" w:space="0" w:color="auto"/>
        <w:right w:val="none" w:sz="0" w:space="0" w:color="auto"/>
      </w:divBdr>
      <w:divsChild>
        <w:div w:id="156725122">
          <w:marLeft w:val="547"/>
          <w:marRight w:val="0"/>
          <w:marTop w:val="96"/>
          <w:marBottom w:val="0"/>
          <w:divBdr>
            <w:top w:val="none" w:sz="0" w:space="0" w:color="auto"/>
            <w:left w:val="none" w:sz="0" w:space="0" w:color="auto"/>
            <w:bottom w:val="none" w:sz="0" w:space="0" w:color="auto"/>
            <w:right w:val="none" w:sz="0" w:space="0" w:color="auto"/>
          </w:divBdr>
        </w:div>
        <w:div w:id="744954143">
          <w:marLeft w:val="547"/>
          <w:marRight w:val="0"/>
          <w:marTop w:val="96"/>
          <w:marBottom w:val="0"/>
          <w:divBdr>
            <w:top w:val="none" w:sz="0" w:space="0" w:color="auto"/>
            <w:left w:val="none" w:sz="0" w:space="0" w:color="auto"/>
            <w:bottom w:val="none" w:sz="0" w:space="0" w:color="auto"/>
            <w:right w:val="none" w:sz="0" w:space="0" w:color="auto"/>
          </w:divBdr>
        </w:div>
        <w:div w:id="81605883">
          <w:marLeft w:val="547"/>
          <w:marRight w:val="0"/>
          <w:marTop w:val="96"/>
          <w:marBottom w:val="0"/>
          <w:divBdr>
            <w:top w:val="none" w:sz="0" w:space="0" w:color="auto"/>
            <w:left w:val="none" w:sz="0" w:space="0" w:color="auto"/>
            <w:bottom w:val="none" w:sz="0" w:space="0" w:color="auto"/>
            <w:right w:val="none" w:sz="0" w:space="0" w:color="auto"/>
          </w:divBdr>
        </w:div>
        <w:div w:id="878317140">
          <w:marLeft w:val="547"/>
          <w:marRight w:val="0"/>
          <w:marTop w:val="96"/>
          <w:marBottom w:val="0"/>
          <w:divBdr>
            <w:top w:val="none" w:sz="0" w:space="0" w:color="auto"/>
            <w:left w:val="none" w:sz="0" w:space="0" w:color="auto"/>
            <w:bottom w:val="none" w:sz="0" w:space="0" w:color="auto"/>
            <w:right w:val="none" w:sz="0" w:space="0" w:color="auto"/>
          </w:divBdr>
        </w:div>
      </w:divsChild>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5368835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2550483">
      <w:bodyDiv w:val="1"/>
      <w:marLeft w:val="0"/>
      <w:marRight w:val="0"/>
      <w:marTop w:val="0"/>
      <w:marBottom w:val="0"/>
      <w:divBdr>
        <w:top w:val="none" w:sz="0" w:space="0" w:color="auto"/>
        <w:left w:val="none" w:sz="0" w:space="0" w:color="auto"/>
        <w:bottom w:val="none" w:sz="0" w:space="0" w:color="auto"/>
        <w:right w:val="none" w:sz="0" w:space="0" w:color="auto"/>
      </w:divBdr>
      <w:divsChild>
        <w:div w:id="1142120456">
          <w:marLeft w:val="1166"/>
          <w:marRight w:val="0"/>
          <w:marTop w:val="86"/>
          <w:marBottom w:val="0"/>
          <w:divBdr>
            <w:top w:val="none" w:sz="0" w:space="0" w:color="auto"/>
            <w:left w:val="none" w:sz="0" w:space="0" w:color="auto"/>
            <w:bottom w:val="none" w:sz="0" w:space="0" w:color="auto"/>
            <w:right w:val="none" w:sz="0" w:space="0" w:color="auto"/>
          </w:divBdr>
        </w:div>
      </w:divsChild>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2836471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50513385">
      <w:bodyDiv w:val="1"/>
      <w:marLeft w:val="0"/>
      <w:marRight w:val="0"/>
      <w:marTop w:val="0"/>
      <w:marBottom w:val="0"/>
      <w:divBdr>
        <w:top w:val="none" w:sz="0" w:space="0" w:color="auto"/>
        <w:left w:val="none" w:sz="0" w:space="0" w:color="auto"/>
        <w:bottom w:val="none" w:sz="0" w:space="0" w:color="auto"/>
        <w:right w:val="none" w:sz="0" w:space="0" w:color="auto"/>
      </w:divBdr>
      <w:divsChild>
        <w:div w:id="1987779576">
          <w:marLeft w:val="547"/>
          <w:marRight w:val="0"/>
          <w:marTop w:val="96"/>
          <w:marBottom w:val="0"/>
          <w:divBdr>
            <w:top w:val="none" w:sz="0" w:space="0" w:color="auto"/>
            <w:left w:val="none" w:sz="0" w:space="0" w:color="auto"/>
            <w:bottom w:val="none" w:sz="0" w:space="0" w:color="auto"/>
            <w:right w:val="none" w:sz="0" w:space="0" w:color="auto"/>
          </w:divBdr>
        </w:div>
        <w:div w:id="1074357870">
          <w:marLeft w:val="1166"/>
          <w:marRight w:val="0"/>
          <w:marTop w:val="67"/>
          <w:marBottom w:val="0"/>
          <w:divBdr>
            <w:top w:val="none" w:sz="0" w:space="0" w:color="auto"/>
            <w:left w:val="none" w:sz="0" w:space="0" w:color="auto"/>
            <w:bottom w:val="none" w:sz="0" w:space="0" w:color="auto"/>
            <w:right w:val="none" w:sz="0" w:space="0" w:color="auto"/>
          </w:divBdr>
        </w:div>
        <w:div w:id="2028941244">
          <w:marLeft w:val="1166"/>
          <w:marRight w:val="0"/>
          <w:marTop w:val="67"/>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63461570">
      <w:bodyDiv w:val="1"/>
      <w:marLeft w:val="0"/>
      <w:marRight w:val="0"/>
      <w:marTop w:val="0"/>
      <w:marBottom w:val="0"/>
      <w:divBdr>
        <w:top w:val="none" w:sz="0" w:space="0" w:color="auto"/>
        <w:left w:val="none" w:sz="0" w:space="0" w:color="auto"/>
        <w:bottom w:val="none" w:sz="0" w:space="0" w:color="auto"/>
        <w:right w:val="none" w:sz="0" w:space="0" w:color="auto"/>
      </w:divBdr>
      <w:divsChild>
        <w:div w:id="2010056310">
          <w:marLeft w:val="547"/>
          <w:marRight w:val="0"/>
          <w:marTop w:val="96"/>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00930000">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46839993">
      <w:bodyDiv w:val="1"/>
      <w:marLeft w:val="0"/>
      <w:marRight w:val="0"/>
      <w:marTop w:val="0"/>
      <w:marBottom w:val="0"/>
      <w:divBdr>
        <w:top w:val="none" w:sz="0" w:space="0" w:color="auto"/>
        <w:left w:val="none" w:sz="0" w:space="0" w:color="auto"/>
        <w:bottom w:val="none" w:sz="0" w:space="0" w:color="auto"/>
        <w:right w:val="none" w:sz="0" w:space="0" w:color="auto"/>
      </w:divBdr>
      <w:divsChild>
        <w:div w:id="1221094033">
          <w:marLeft w:val="547"/>
          <w:marRight w:val="0"/>
          <w:marTop w:val="96"/>
          <w:marBottom w:val="0"/>
          <w:divBdr>
            <w:top w:val="none" w:sz="0" w:space="0" w:color="auto"/>
            <w:left w:val="none" w:sz="0" w:space="0" w:color="auto"/>
            <w:bottom w:val="none" w:sz="0" w:space="0" w:color="auto"/>
            <w:right w:val="none" w:sz="0" w:space="0" w:color="auto"/>
          </w:divBdr>
        </w:div>
      </w:divsChild>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28750068">
      <w:bodyDiv w:val="1"/>
      <w:marLeft w:val="0"/>
      <w:marRight w:val="0"/>
      <w:marTop w:val="0"/>
      <w:marBottom w:val="0"/>
      <w:divBdr>
        <w:top w:val="none" w:sz="0" w:space="0" w:color="auto"/>
        <w:left w:val="none" w:sz="0" w:space="0" w:color="auto"/>
        <w:bottom w:val="none" w:sz="0" w:space="0" w:color="auto"/>
        <w:right w:val="none" w:sz="0" w:space="0" w:color="auto"/>
      </w:divBdr>
      <w:divsChild>
        <w:div w:id="297539685">
          <w:marLeft w:val="1800"/>
          <w:marRight w:val="0"/>
          <w:marTop w:val="77"/>
          <w:marBottom w:val="0"/>
          <w:divBdr>
            <w:top w:val="none" w:sz="0" w:space="0" w:color="auto"/>
            <w:left w:val="none" w:sz="0" w:space="0" w:color="auto"/>
            <w:bottom w:val="none" w:sz="0" w:space="0" w:color="auto"/>
            <w:right w:val="none" w:sz="0" w:space="0" w:color="auto"/>
          </w:divBdr>
        </w:div>
      </w:divsChild>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7EFE24-F5F3-45ED-8355-63784A674830}">
  <ds:schemaRefs>
    <ds:schemaRef ds:uri="http://schemas.openxmlformats.org/officeDocument/2006/bibliography"/>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CECA3B16-BD40-4CAA-BC1F-67D13AAB2B9D}">
  <ds:schemaRefs>
    <ds:schemaRef ds:uri="http://purl.org/dc/terms/"/>
    <ds:schemaRef ds:uri="http://schemas.microsoft.com/office/2006/metadata/propertie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1422</TotalTime>
  <Pages>3</Pages>
  <Words>1157</Words>
  <Characters>7226</Characters>
  <Application>Microsoft Office Word</Application>
  <DocSecurity>0</DocSecurity>
  <Lines>112</Lines>
  <Paragraphs>47</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8336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ITRI</cp:lastModifiedBy>
  <cp:revision>55</cp:revision>
  <cp:lastPrinted>2007-12-21T04:58:00Z</cp:lastPrinted>
  <dcterms:created xsi:type="dcterms:W3CDTF">2025-03-27T08:50:00Z</dcterms:created>
  <dcterms:modified xsi:type="dcterms:W3CDTF">2025-11-07T05:34:00Z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