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1C1" w:rsidRPr="005D01C1" w:rsidRDefault="005D01C1" w:rsidP="005D01C1">
      <w:pPr>
        <w:tabs>
          <w:tab w:val="left" w:pos="1701"/>
          <w:tab w:val="right" w:pos="9923"/>
        </w:tabs>
        <w:spacing w:before="120" w:after="0"/>
        <w:jc w:val="left"/>
        <w:rPr>
          <w:b/>
          <w:sz w:val="24"/>
          <w:lang w:val="de-DE" w:eastAsia="x-none"/>
        </w:rPr>
      </w:pPr>
      <w:r w:rsidRPr="005D01C1">
        <w:rPr>
          <w:b/>
          <w:sz w:val="24"/>
          <w:lang w:val="de-DE" w:eastAsia="x-none"/>
        </w:rPr>
        <w:t xml:space="preserve">3GPP TSG-RAN WG2 Meeting #131bis                     </w:t>
      </w:r>
      <w:r>
        <w:rPr>
          <w:b/>
          <w:sz w:val="24"/>
          <w:lang w:val="de-DE" w:eastAsia="x-none"/>
        </w:rPr>
        <w:t xml:space="preserve">         </w:t>
      </w:r>
      <w:r w:rsidR="00DC59E2">
        <w:rPr>
          <w:b/>
          <w:sz w:val="24"/>
          <w:lang w:val="de-DE" w:eastAsia="x-none"/>
        </w:rPr>
        <w:t xml:space="preserve">   R2-2507600</w:t>
      </w:r>
    </w:p>
    <w:p w:rsidR="005D01C1" w:rsidRPr="005D01C1" w:rsidRDefault="005D01C1" w:rsidP="005D01C1">
      <w:pPr>
        <w:tabs>
          <w:tab w:val="left" w:pos="1701"/>
          <w:tab w:val="right" w:pos="9923"/>
        </w:tabs>
        <w:spacing w:before="120" w:after="0"/>
        <w:rPr>
          <w:b/>
          <w:sz w:val="24"/>
          <w:lang w:val="de-DE" w:eastAsia="x-none"/>
        </w:rPr>
      </w:pPr>
      <w:bookmarkStart w:id="0" w:name="OLE_LINK343"/>
      <w:r w:rsidRPr="005D01C1">
        <w:rPr>
          <w:b/>
          <w:sz w:val="24"/>
          <w:lang w:val="de-DE" w:eastAsia="x-none"/>
        </w:rPr>
        <w:t>Prague, Czech Republic, Oct 13th - 17th 202</w:t>
      </w:r>
      <w:bookmarkEnd w:id="0"/>
      <w:r w:rsidRPr="005D01C1">
        <w:rPr>
          <w:b/>
          <w:sz w:val="24"/>
          <w:lang w:val="de-DE" w:eastAsia="x-none"/>
        </w:rPr>
        <w:t>5</w:t>
      </w:r>
    </w:p>
    <w:p w:rsidR="005D01C1" w:rsidRPr="005D01C1" w:rsidRDefault="005D01C1" w:rsidP="00490509">
      <w:pPr>
        <w:overflowPunct w:val="0"/>
        <w:autoSpaceDE w:val="0"/>
        <w:autoSpaceDN w:val="0"/>
        <w:adjustRightInd w:val="0"/>
        <w:snapToGrid w:val="0"/>
        <w:spacing w:beforeLines="50" w:before="120"/>
        <w:textAlignment w:val="baseline"/>
        <w:rPr>
          <w:rFonts w:eastAsia="宋体"/>
          <w:b/>
          <w:szCs w:val="22"/>
          <w:lang w:val="en-US" w:bidi="ar"/>
        </w:rPr>
      </w:pPr>
    </w:p>
    <w:p w:rsidR="00490509" w:rsidRP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Source:        ZTE Corporation</w:t>
      </w:r>
    </w:p>
    <w:p w:rsid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 xml:space="preserve">Title:           </w:t>
      </w:r>
      <w:r w:rsidR="00DD277B" w:rsidRPr="00DD277B">
        <w:rPr>
          <w:rFonts w:ascii="Arial" w:eastAsia="宋体" w:hAnsi="Arial" w:cs="Arial"/>
          <w:b/>
          <w:sz w:val="24"/>
          <w:szCs w:val="22"/>
          <w:lang w:val="en-US" w:eastAsia="zh-CN" w:bidi="ar"/>
        </w:rPr>
        <w:t xml:space="preserve">Consideration on the Remaining </w:t>
      </w:r>
      <w:r w:rsidR="005B5FE2">
        <w:rPr>
          <w:rFonts w:ascii="Arial" w:eastAsia="宋体" w:hAnsi="Arial" w:cs="Arial"/>
          <w:b/>
          <w:sz w:val="24"/>
          <w:szCs w:val="22"/>
          <w:lang w:val="en-US" w:eastAsia="zh-CN" w:bidi="ar"/>
        </w:rPr>
        <w:t xml:space="preserve">MAC </w:t>
      </w:r>
      <w:r w:rsidR="00DD277B" w:rsidRPr="00DD277B">
        <w:rPr>
          <w:rFonts w:ascii="Arial" w:eastAsia="宋体" w:hAnsi="Arial" w:cs="Arial"/>
          <w:b/>
          <w:sz w:val="24"/>
          <w:szCs w:val="22"/>
          <w:lang w:val="en-US" w:eastAsia="zh-CN" w:bidi="ar"/>
        </w:rPr>
        <w:t xml:space="preserve">Issues of </w:t>
      </w:r>
      <w:r w:rsidR="00556CF4">
        <w:rPr>
          <w:rFonts w:ascii="Arial" w:eastAsia="宋体" w:hAnsi="Arial" w:cs="Arial"/>
          <w:b/>
          <w:sz w:val="24"/>
          <w:szCs w:val="22"/>
          <w:lang w:val="en-US" w:eastAsia="zh-CN" w:bidi="ar"/>
        </w:rPr>
        <w:t>UEIBM</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1" w:name="Source"/>
      <w:bookmarkEnd w:id="1"/>
      <w:r w:rsidR="00153E10">
        <w:rPr>
          <w:rFonts w:ascii="Arial" w:eastAsia="宋体" w:hAnsi="Arial" w:cs="Arial"/>
          <w:b/>
          <w:sz w:val="24"/>
          <w:szCs w:val="22"/>
          <w:lang w:val="en-US" w:eastAsia="zh-CN" w:bidi="ar"/>
        </w:rPr>
        <w:t xml:space="preserve">   8.12.2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2" w:name="DocumentFor"/>
      <w:bookmarkEnd w:id="2"/>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77411F" w:rsidRPr="007E3916" w:rsidRDefault="00CB75F0" w:rsidP="005D01C1">
      <w:pPr>
        <w:rPr>
          <w:rFonts w:eastAsiaTheme="minorEastAsia"/>
          <w:sz w:val="22"/>
          <w:szCs w:val="22"/>
        </w:rPr>
      </w:pPr>
      <w:r w:rsidRPr="005D01C1">
        <w:rPr>
          <w:rFonts w:eastAsiaTheme="minorEastAsia"/>
          <w:sz w:val="22"/>
          <w:szCs w:val="22"/>
        </w:rPr>
        <w:t>According to</w:t>
      </w:r>
      <w:r w:rsidR="00490509" w:rsidRPr="005D01C1">
        <w:rPr>
          <w:rFonts w:eastAsiaTheme="minorEastAsia"/>
          <w:sz w:val="22"/>
          <w:szCs w:val="22"/>
        </w:rPr>
        <w:t xml:space="preserve"> the post email discussion </w:t>
      </w:r>
      <w:r w:rsidR="005D01C1" w:rsidRPr="005D01C1">
        <w:rPr>
          <w:rFonts w:eastAsiaTheme="minorEastAsia"/>
          <w:sz w:val="22"/>
          <w:szCs w:val="22"/>
        </w:rPr>
        <w:t>[Post1</w:t>
      </w:r>
      <w:r w:rsidR="005D01C1" w:rsidRPr="005D01C1">
        <w:rPr>
          <w:rFonts w:eastAsiaTheme="minorEastAsia" w:hint="eastAsia"/>
          <w:sz w:val="22"/>
          <w:szCs w:val="22"/>
        </w:rPr>
        <w:t>31</w:t>
      </w:r>
      <w:r w:rsidR="005D01C1" w:rsidRPr="005D01C1">
        <w:rPr>
          <w:rFonts w:eastAsiaTheme="minorEastAsia"/>
          <w:sz w:val="22"/>
          <w:szCs w:val="22"/>
        </w:rPr>
        <w:t>][</w:t>
      </w:r>
      <w:r w:rsidR="005D01C1" w:rsidRPr="005D01C1">
        <w:rPr>
          <w:rFonts w:eastAsiaTheme="minorEastAsia" w:hint="eastAsia"/>
          <w:sz w:val="22"/>
          <w:szCs w:val="22"/>
        </w:rPr>
        <w:t>217</w:t>
      </w:r>
      <w:r w:rsidR="005D01C1" w:rsidRPr="005D01C1">
        <w:rPr>
          <w:rFonts w:eastAsiaTheme="minorEastAsia"/>
          <w:sz w:val="22"/>
          <w:szCs w:val="22"/>
        </w:rPr>
        <w:t xml:space="preserve">][MIMO_Ph5] </w:t>
      </w:r>
      <w:r w:rsidR="005D01C1" w:rsidRPr="005D01C1">
        <w:rPr>
          <w:rFonts w:eastAsiaTheme="minorEastAsia" w:hint="eastAsia"/>
          <w:sz w:val="22"/>
          <w:szCs w:val="22"/>
        </w:rPr>
        <w:t xml:space="preserve">CR for </w:t>
      </w:r>
      <w:r w:rsidR="005D01C1" w:rsidRPr="005D01C1">
        <w:rPr>
          <w:rFonts w:eastAsiaTheme="minorEastAsia"/>
          <w:sz w:val="22"/>
          <w:szCs w:val="22"/>
        </w:rPr>
        <w:t>TS 38.</w:t>
      </w:r>
      <w:r w:rsidR="005D01C1" w:rsidRPr="005D01C1">
        <w:rPr>
          <w:rFonts w:eastAsiaTheme="minorEastAsia" w:hint="eastAsia"/>
          <w:sz w:val="22"/>
          <w:szCs w:val="22"/>
        </w:rPr>
        <w:t>321</w:t>
      </w:r>
      <w:r w:rsidR="005D01C1" w:rsidRPr="005D01C1">
        <w:rPr>
          <w:rFonts w:eastAsiaTheme="minorEastAsia"/>
          <w:sz w:val="22"/>
          <w:szCs w:val="22"/>
        </w:rPr>
        <w:t xml:space="preserve"> (</w:t>
      </w:r>
      <w:r w:rsidR="005D01C1" w:rsidRPr="005D01C1">
        <w:rPr>
          <w:rFonts w:eastAsiaTheme="minorEastAsia" w:hint="eastAsia"/>
          <w:sz w:val="22"/>
          <w:szCs w:val="22"/>
        </w:rPr>
        <w:t>Samsung</w:t>
      </w:r>
      <w:r w:rsidR="005D01C1" w:rsidRPr="005D01C1">
        <w:rPr>
          <w:rFonts w:eastAsiaTheme="minorEastAsia"/>
          <w:sz w:val="22"/>
          <w:szCs w:val="22"/>
        </w:rPr>
        <w:t>)</w:t>
      </w:r>
      <w:r w:rsidR="00FC1FDD" w:rsidRPr="007E3916">
        <w:rPr>
          <w:rFonts w:eastAsiaTheme="minorEastAsia"/>
          <w:sz w:val="22"/>
          <w:szCs w:val="22"/>
        </w:rPr>
        <w:t>,</w:t>
      </w:r>
      <w:r w:rsidR="00C93E8C" w:rsidRPr="007E3916">
        <w:rPr>
          <w:rFonts w:eastAsiaTheme="minorEastAsia"/>
          <w:sz w:val="22"/>
          <w:szCs w:val="22"/>
        </w:rPr>
        <w:t xml:space="preserve"> there are still some remaining</w:t>
      </w:r>
      <w:r w:rsidR="00C75BF5">
        <w:rPr>
          <w:rFonts w:eastAsiaTheme="minorEastAsia"/>
          <w:sz w:val="22"/>
          <w:szCs w:val="22"/>
        </w:rPr>
        <w:t xml:space="preserve"> MAC</w:t>
      </w:r>
      <w:r w:rsidR="00C93E8C" w:rsidRPr="007E3916">
        <w:rPr>
          <w:rFonts w:eastAsiaTheme="minorEastAsia"/>
          <w:sz w:val="22"/>
          <w:szCs w:val="22"/>
        </w:rPr>
        <w:t xml:space="preserve"> issues on the UEIBM, </w:t>
      </w:r>
      <w:r w:rsidR="0077411F" w:rsidRPr="007E3916">
        <w:rPr>
          <w:rFonts w:eastAsiaTheme="minorEastAsia"/>
          <w:sz w:val="22"/>
          <w:szCs w:val="22"/>
        </w:rPr>
        <w:t>In this paper we would like to share our views on these remaining issues.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AB34A2" w:rsidRDefault="005D01C1" w:rsidP="00AB34A2">
      <w:pPr>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n</w:t>
      </w:r>
      <w:r>
        <w:rPr>
          <w:rFonts w:eastAsiaTheme="minorEastAsia"/>
          <w:sz w:val="22"/>
          <w:szCs w:val="22"/>
          <w:lang w:eastAsia="zh-CN"/>
        </w:rPr>
        <w:t xml:space="preserve"> this chapter</w:t>
      </w:r>
      <w:r w:rsidR="00F53D77">
        <w:rPr>
          <w:rFonts w:eastAsiaTheme="minorEastAsia"/>
          <w:sz w:val="22"/>
          <w:szCs w:val="22"/>
          <w:lang w:eastAsia="zh-CN"/>
        </w:rPr>
        <w:t>,</w:t>
      </w:r>
      <w:r>
        <w:rPr>
          <w:rFonts w:eastAsiaTheme="minorEastAsia"/>
          <w:sz w:val="22"/>
          <w:szCs w:val="22"/>
          <w:lang w:eastAsia="zh-CN"/>
        </w:rPr>
        <w:t xml:space="preserve"> we</w:t>
      </w:r>
      <w:r w:rsidR="00F53D77">
        <w:rPr>
          <w:rFonts w:eastAsiaTheme="minorEastAsia"/>
          <w:sz w:val="22"/>
          <w:szCs w:val="22"/>
          <w:lang w:eastAsia="zh-CN"/>
        </w:rPr>
        <w:t xml:space="preserve"> first</w:t>
      </w:r>
      <w:r>
        <w:rPr>
          <w:rFonts w:eastAsiaTheme="minorEastAsia"/>
          <w:sz w:val="22"/>
          <w:szCs w:val="22"/>
          <w:lang w:eastAsia="zh-CN"/>
        </w:rPr>
        <w:t xml:space="preserve"> </w:t>
      </w:r>
      <w:r w:rsidR="00F53D77">
        <w:rPr>
          <w:rFonts w:eastAsiaTheme="minorEastAsia"/>
          <w:sz w:val="22"/>
          <w:szCs w:val="22"/>
          <w:lang w:eastAsia="zh-CN"/>
        </w:rPr>
        <w:t>discuss</w:t>
      </w:r>
      <w:r w:rsidR="00F53D77" w:rsidRPr="00F53D77">
        <w:rPr>
          <w:rFonts w:eastAsiaTheme="minorEastAsia"/>
          <w:sz w:val="22"/>
          <w:szCs w:val="22"/>
          <w:lang w:eastAsia="zh-CN"/>
        </w:rPr>
        <w:t xml:space="preserve"> PUCCH release upon TAT expiry, then shares our views on BWP deactivation, and finally provides a brief discussion on the dormant BWP case.</w:t>
      </w:r>
    </w:p>
    <w:p w:rsidR="007E3916" w:rsidRDefault="007E3916" w:rsidP="007E3916">
      <w:pPr>
        <w:pStyle w:val="2"/>
        <w:rPr>
          <w:sz w:val="28"/>
          <w:szCs w:val="28"/>
          <w:lang w:eastAsia="zh-CN"/>
        </w:rPr>
      </w:pPr>
      <w:bookmarkStart w:id="3" w:name="OLE_LINK1"/>
      <w:bookmarkStart w:id="4" w:name="OLE_LINK2"/>
      <w:r w:rsidRPr="00EB63F1">
        <w:rPr>
          <w:sz w:val="28"/>
          <w:szCs w:val="28"/>
          <w:lang w:eastAsia="zh-CN"/>
        </w:rPr>
        <w:t>2.</w:t>
      </w:r>
      <w:bookmarkEnd w:id="3"/>
      <w:bookmarkEnd w:id="4"/>
      <w:r>
        <w:rPr>
          <w:sz w:val="28"/>
          <w:szCs w:val="28"/>
          <w:lang w:eastAsia="zh-CN"/>
        </w:rPr>
        <w:t xml:space="preserve">1 </w:t>
      </w:r>
      <w:r w:rsidR="005D01C1">
        <w:rPr>
          <w:sz w:val="28"/>
          <w:szCs w:val="28"/>
          <w:lang w:eastAsia="zh-CN"/>
        </w:rPr>
        <w:t xml:space="preserve">PUCCH Release </w:t>
      </w:r>
      <w:r w:rsidR="00F53D77">
        <w:rPr>
          <w:sz w:val="28"/>
          <w:szCs w:val="28"/>
          <w:lang w:eastAsia="zh-CN"/>
        </w:rPr>
        <w:t>upon</w:t>
      </w:r>
      <w:r w:rsidR="005D01C1">
        <w:rPr>
          <w:sz w:val="28"/>
          <w:szCs w:val="28"/>
          <w:lang w:eastAsia="zh-CN"/>
        </w:rPr>
        <w:t xml:space="preserve"> TAT Expiry</w:t>
      </w:r>
    </w:p>
    <w:p w:rsidR="00F53D77" w:rsidRPr="00F53D77" w:rsidRDefault="00F53D77" w:rsidP="00F53D77">
      <w:pPr>
        <w:rPr>
          <w:rFonts w:eastAsiaTheme="minorEastAsia"/>
          <w:sz w:val="22"/>
          <w:szCs w:val="22"/>
        </w:rPr>
      </w:pPr>
      <w:r w:rsidRPr="00F53D77">
        <w:rPr>
          <w:rFonts w:eastAsiaTheme="minorEastAsia"/>
          <w:sz w:val="22"/>
          <w:szCs w:val="22"/>
        </w:rPr>
        <w:t>In the post-email discussions, one remaining issue concerns PUCCH release upon TAT expiry. Contributions are expected based on the following proposal:</w:t>
      </w:r>
    </w:p>
    <w:tbl>
      <w:tblPr>
        <w:tblStyle w:val="af"/>
        <w:tblW w:w="0" w:type="auto"/>
        <w:tblLook w:val="04A0" w:firstRow="1" w:lastRow="0" w:firstColumn="1" w:lastColumn="0" w:noHBand="0" w:noVBand="1"/>
      </w:tblPr>
      <w:tblGrid>
        <w:gridCol w:w="9350"/>
      </w:tblGrid>
      <w:tr w:rsidR="005D01C1" w:rsidTr="005D01C1">
        <w:tc>
          <w:tcPr>
            <w:tcW w:w="9350" w:type="dxa"/>
          </w:tcPr>
          <w:p w:rsidR="005D01C1" w:rsidRPr="005D01C1" w:rsidRDefault="005D01C1" w:rsidP="005D01C1">
            <w:pPr>
              <w:spacing w:after="0"/>
              <w:rPr>
                <w:sz w:val="22"/>
                <w:szCs w:val="22"/>
              </w:rPr>
            </w:pPr>
            <w:r w:rsidRPr="005D01C1">
              <w:rPr>
                <w:sz w:val="22"/>
                <w:szCs w:val="22"/>
              </w:rPr>
              <w:t xml:space="preserve">Proposal 1: For mode-B UEI reporting, PUCCH and type-1 CG PUSCH resource can be associated with different TAGs. Discuss UE behavior when the TAT for PUSCH is expired while the TAT for PUCCH is running. </w:t>
            </w:r>
          </w:p>
          <w:p w:rsidR="005D01C1" w:rsidRPr="005D01C1" w:rsidRDefault="005D01C1" w:rsidP="005D01C1">
            <w:pPr>
              <w:pStyle w:val="af5"/>
              <w:numPr>
                <w:ilvl w:val="0"/>
                <w:numId w:val="18"/>
              </w:numPr>
              <w:overflowPunct/>
              <w:autoSpaceDE/>
              <w:autoSpaceDN/>
              <w:adjustRightInd/>
              <w:spacing w:after="0"/>
              <w:textAlignment w:val="auto"/>
              <w:rPr>
                <w:sz w:val="22"/>
                <w:szCs w:val="22"/>
                <w:lang w:eastAsia="en-US"/>
              </w:rPr>
            </w:pPr>
            <w:r w:rsidRPr="005D01C1">
              <w:rPr>
                <w:sz w:val="22"/>
                <w:szCs w:val="22"/>
                <w:lang w:eastAsia="en-US"/>
              </w:rPr>
              <w:t xml:space="preserve">Option-1: release the associated PUCCH; </w:t>
            </w:r>
          </w:p>
          <w:p w:rsidR="005D01C1" w:rsidRPr="005D01C1" w:rsidRDefault="005D01C1" w:rsidP="005D01C1">
            <w:pPr>
              <w:pStyle w:val="af5"/>
              <w:numPr>
                <w:ilvl w:val="0"/>
                <w:numId w:val="18"/>
              </w:numPr>
              <w:overflowPunct/>
              <w:autoSpaceDE/>
              <w:autoSpaceDN/>
              <w:adjustRightInd/>
              <w:spacing w:after="0"/>
              <w:textAlignment w:val="auto"/>
              <w:rPr>
                <w:sz w:val="22"/>
                <w:szCs w:val="22"/>
                <w:lang w:eastAsia="en-US"/>
              </w:rPr>
            </w:pPr>
            <w:r w:rsidRPr="005D01C1">
              <w:rPr>
                <w:sz w:val="22"/>
                <w:szCs w:val="22"/>
                <w:lang w:eastAsia="en-US"/>
              </w:rPr>
              <w:t xml:space="preserve">Option-2a: not release PUCCH and transmit the Report Indication on PUCCH; </w:t>
            </w:r>
          </w:p>
          <w:p w:rsidR="005D01C1" w:rsidRDefault="005D01C1" w:rsidP="005D01C1">
            <w:pPr>
              <w:pStyle w:val="af5"/>
              <w:numPr>
                <w:ilvl w:val="0"/>
                <w:numId w:val="18"/>
              </w:numPr>
              <w:overflowPunct/>
              <w:autoSpaceDE/>
              <w:autoSpaceDN/>
              <w:adjustRightInd/>
              <w:spacing w:after="0"/>
              <w:textAlignment w:val="auto"/>
              <w:rPr>
                <w:rFonts w:eastAsiaTheme="minorEastAsia"/>
                <w:sz w:val="22"/>
                <w:szCs w:val="22"/>
              </w:rPr>
            </w:pPr>
            <w:r w:rsidRPr="005D01C1">
              <w:rPr>
                <w:sz w:val="22"/>
                <w:szCs w:val="22"/>
                <w:lang w:eastAsia="en-US"/>
              </w:rPr>
              <w:t>Option 2b: not release PUCCH and not transmit the Report Indication on PUCCH.</w:t>
            </w:r>
            <w:r w:rsidRPr="005D01C1">
              <w:rPr>
                <w:b/>
                <w:lang w:eastAsia="en-US"/>
              </w:rPr>
              <w:t xml:space="preserve">  </w:t>
            </w:r>
          </w:p>
        </w:tc>
      </w:tr>
    </w:tbl>
    <w:p w:rsidR="005D01C1" w:rsidRDefault="005D01C1" w:rsidP="005D01C1">
      <w:pPr>
        <w:rPr>
          <w:rFonts w:eastAsiaTheme="minorEastAsia"/>
          <w:sz w:val="22"/>
          <w:szCs w:val="22"/>
        </w:rPr>
      </w:pPr>
    </w:p>
    <w:p w:rsidR="00F53D77" w:rsidRPr="00F53D77" w:rsidRDefault="00F53D77" w:rsidP="00F53D77">
      <w:pPr>
        <w:pStyle w:val="ds-markdown-paragraph"/>
        <w:shd w:val="clear" w:color="auto" w:fill="FFFFFF"/>
        <w:spacing w:before="240" w:beforeAutospacing="0" w:after="240" w:afterAutospacing="0"/>
        <w:rPr>
          <w:rFonts w:eastAsiaTheme="minorEastAsia"/>
          <w:sz w:val="22"/>
          <w:szCs w:val="22"/>
          <w:lang w:val="en-GB" w:eastAsia="en-US"/>
        </w:rPr>
      </w:pPr>
      <w:r w:rsidRPr="00F53D77">
        <w:rPr>
          <w:rFonts w:eastAsiaTheme="minorEastAsia"/>
          <w:sz w:val="22"/>
          <w:szCs w:val="22"/>
          <w:lang w:val="en-GB" w:eastAsia="en-US"/>
        </w:rPr>
        <w:t>Based on company feedback, the resolution of this issue primarily depends on whether the PUCCH resource would be used further, for example:</w:t>
      </w:r>
    </w:p>
    <w:p w:rsidR="00F53D77" w:rsidRPr="00F53D77" w:rsidRDefault="00F53D77" w:rsidP="00F53D77">
      <w:pPr>
        <w:pStyle w:val="af5"/>
        <w:numPr>
          <w:ilvl w:val="0"/>
          <w:numId w:val="20"/>
        </w:numPr>
        <w:rPr>
          <w:rFonts w:eastAsiaTheme="minorEastAsia"/>
          <w:sz w:val="22"/>
          <w:szCs w:val="22"/>
        </w:rPr>
      </w:pPr>
      <w:r w:rsidRPr="00F53D77">
        <w:rPr>
          <w:rFonts w:eastAsiaTheme="minorEastAsia"/>
          <w:b/>
          <w:bCs/>
          <w:sz w:val="22"/>
          <w:szCs w:val="22"/>
        </w:rPr>
        <w:t>Case 1:</w:t>
      </w:r>
      <w:r w:rsidRPr="00F53D77">
        <w:rPr>
          <w:rFonts w:eastAsiaTheme="minorEastAsia"/>
          <w:sz w:val="22"/>
          <w:szCs w:val="22"/>
        </w:rPr>
        <w:t> The PUCCH resource is still needed for HARQ-ACK or other CSI reporting.</w:t>
      </w:r>
    </w:p>
    <w:p w:rsidR="00F53D77" w:rsidRPr="00F53D77" w:rsidRDefault="00F53D77" w:rsidP="00F53D77">
      <w:pPr>
        <w:pStyle w:val="af5"/>
        <w:numPr>
          <w:ilvl w:val="0"/>
          <w:numId w:val="20"/>
        </w:numPr>
        <w:rPr>
          <w:rFonts w:eastAsiaTheme="minorEastAsia"/>
          <w:sz w:val="22"/>
          <w:szCs w:val="22"/>
        </w:rPr>
      </w:pPr>
      <w:r w:rsidRPr="00F53D77">
        <w:rPr>
          <w:rFonts w:eastAsiaTheme="minorEastAsia"/>
          <w:b/>
          <w:bCs/>
          <w:sz w:val="22"/>
          <w:szCs w:val="22"/>
        </w:rPr>
        <w:t>Case 2:</w:t>
      </w:r>
      <w:r w:rsidRPr="00F53D77">
        <w:rPr>
          <w:rFonts w:eastAsiaTheme="minorEastAsia"/>
          <w:sz w:val="22"/>
          <w:szCs w:val="22"/>
        </w:rPr>
        <w:t> The network might restore uplink transmission on this SCell later.</w:t>
      </w:r>
    </w:p>
    <w:p w:rsidR="00F53D77" w:rsidRPr="00F53D77" w:rsidRDefault="00F53D77" w:rsidP="00F53D77">
      <w:pPr>
        <w:pStyle w:val="ds-markdown-paragraph"/>
        <w:shd w:val="clear" w:color="auto" w:fill="FFFFFF"/>
        <w:spacing w:before="240" w:beforeAutospacing="0" w:after="240" w:afterAutospacing="0"/>
        <w:jc w:val="both"/>
        <w:rPr>
          <w:rFonts w:eastAsiaTheme="minorEastAsia"/>
          <w:sz w:val="22"/>
          <w:szCs w:val="22"/>
          <w:lang w:val="en-GB" w:eastAsia="en-US"/>
        </w:rPr>
      </w:pPr>
      <w:r w:rsidRPr="00F53D77">
        <w:rPr>
          <w:rFonts w:eastAsiaTheme="minorEastAsia"/>
          <w:sz w:val="22"/>
          <w:szCs w:val="22"/>
          <w:lang w:val="en-GB" w:eastAsia="en-US"/>
        </w:rPr>
        <w:t>Case 1 requires further confirmation from RAN1. Case 2 can be discussed in RAN2. For instance, if the uplink capacity of the pTAG becomes insufficient, the network may need to restore uplink transmission on this SCell. If the PUCCH resource has not been released, the network would not need to reconfigure the UE.</w:t>
      </w:r>
    </w:p>
    <w:p w:rsidR="00F53D77" w:rsidRPr="00F53D77" w:rsidRDefault="00F53D77" w:rsidP="00F53D77">
      <w:pPr>
        <w:pStyle w:val="ds-markdown-paragraph"/>
        <w:shd w:val="clear" w:color="auto" w:fill="FFFFFF"/>
        <w:spacing w:before="240" w:beforeAutospacing="0" w:after="240" w:afterAutospacing="0"/>
        <w:jc w:val="both"/>
        <w:rPr>
          <w:rFonts w:eastAsiaTheme="minorEastAsia"/>
          <w:sz w:val="22"/>
          <w:szCs w:val="22"/>
          <w:lang w:val="en-GB" w:eastAsia="en-US"/>
        </w:rPr>
      </w:pPr>
      <w:r w:rsidRPr="00F53D77">
        <w:rPr>
          <w:rFonts w:eastAsiaTheme="minorEastAsia"/>
          <w:sz w:val="22"/>
          <w:szCs w:val="22"/>
          <w:lang w:val="en-GB" w:eastAsia="en-US"/>
        </w:rPr>
        <w:t xml:space="preserve">From the network's perspective, even if the UE does not release the corresponding PUCCH resource, the network is aware that this PUCCH will not be used for UE Mode B report indication transmission if Option </w:t>
      </w:r>
      <w:r w:rsidRPr="00F53D77">
        <w:rPr>
          <w:rFonts w:eastAsiaTheme="minorEastAsia"/>
          <w:sz w:val="22"/>
          <w:szCs w:val="22"/>
          <w:lang w:val="en-GB" w:eastAsia="en-US"/>
        </w:rPr>
        <w:lastRenderedPageBreak/>
        <w:t>2</w:t>
      </w:r>
      <w:r>
        <w:rPr>
          <w:rFonts w:eastAsiaTheme="minorEastAsia"/>
          <w:sz w:val="22"/>
          <w:szCs w:val="22"/>
          <w:lang w:val="en-GB" w:eastAsia="en-US"/>
        </w:rPr>
        <w:t>b</w:t>
      </w:r>
      <w:r w:rsidRPr="00F53D77">
        <w:rPr>
          <w:rFonts w:eastAsiaTheme="minorEastAsia"/>
          <w:sz w:val="22"/>
          <w:szCs w:val="22"/>
          <w:lang w:val="en-GB" w:eastAsia="en-US"/>
        </w:rPr>
        <w:t xml:space="preserve"> is selected. Whether this PUCCH resource is reallocated for other purposes or to other UEs can be entirely handled by network implementation. Therefore, Option 2b is slig</w:t>
      </w:r>
      <w:r>
        <w:rPr>
          <w:rFonts w:eastAsiaTheme="minorEastAsia"/>
          <w:sz w:val="22"/>
          <w:szCs w:val="22"/>
          <w:lang w:val="en-GB" w:eastAsia="en-US"/>
        </w:rPr>
        <w:t>htly preferred from</w:t>
      </w:r>
      <w:r w:rsidRPr="00F53D77">
        <w:rPr>
          <w:rFonts w:eastAsiaTheme="minorEastAsia"/>
          <w:sz w:val="22"/>
          <w:szCs w:val="22"/>
          <w:lang w:val="en-GB" w:eastAsia="en-US"/>
        </w:rPr>
        <w:t xml:space="preserve"> the network side as it offers greater flexibility.</w:t>
      </w:r>
    </w:p>
    <w:p w:rsidR="00F53D77" w:rsidRPr="00F53D77" w:rsidRDefault="00F53D77" w:rsidP="00F53D77">
      <w:pPr>
        <w:rPr>
          <w:b/>
          <w:sz w:val="22"/>
          <w:szCs w:val="22"/>
        </w:rPr>
      </w:pPr>
      <w:r w:rsidRPr="00F53D77">
        <w:rPr>
          <w:b/>
          <w:bCs/>
          <w:sz w:val="22"/>
          <w:szCs w:val="22"/>
        </w:rPr>
        <w:t>Proposal 1:</w:t>
      </w:r>
      <w:r w:rsidRPr="00F53D77">
        <w:rPr>
          <w:b/>
          <w:sz w:val="22"/>
          <w:szCs w:val="22"/>
        </w:rPr>
        <w:t> For Mode-B UEI reporting, if the PUSCH resource of a UEI report configuration points to a SCell whose sTAG's TAT has expired, the UE should not release the corresponding PUCCH resource and should not transmit the Report Indication on PUCCH.</w:t>
      </w:r>
    </w:p>
    <w:p w:rsidR="000B5E58" w:rsidRDefault="000B5E58" w:rsidP="000B5E58">
      <w:pPr>
        <w:spacing w:after="0"/>
        <w:rPr>
          <w:sz w:val="22"/>
          <w:szCs w:val="22"/>
        </w:rPr>
      </w:pPr>
      <w:r>
        <w:rPr>
          <w:sz w:val="22"/>
          <w:szCs w:val="22"/>
        </w:rPr>
        <w:t>On the TP part, the first thing is to clarify the companies</w:t>
      </w:r>
      <w:r w:rsidR="00F53D77">
        <w:rPr>
          <w:sz w:val="22"/>
          <w:szCs w:val="22"/>
        </w:rPr>
        <w:t>’</w:t>
      </w:r>
      <w:r>
        <w:rPr>
          <w:sz w:val="22"/>
          <w:szCs w:val="22"/>
        </w:rPr>
        <w:t xml:space="preserve"> understanding on the current spec</w:t>
      </w:r>
      <w:r w:rsidR="00953D03">
        <w:rPr>
          <w:sz w:val="22"/>
          <w:szCs w:val="22"/>
        </w:rPr>
        <w:t>.</w:t>
      </w:r>
    </w:p>
    <w:tbl>
      <w:tblPr>
        <w:tblStyle w:val="af"/>
        <w:tblW w:w="0" w:type="auto"/>
        <w:tblLook w:val="04A0" w:firstRow="1" w:lastRow="0" w:firstColumn="1" w:lastColumn="0" w:noHBand="0" w:noVBand="1"/>
      </w:tblPr>
      <w:tblGrid>
        <w:gridCol w:w="9350"/>
      </w:tblGrid>
      <w:tr w:rsidR="00953D03" w:rsidTr="00953D03">
        <w:tc>
          <w:tcPr>
            <w:tcW w:w="9350" w:type="dxa"/>
          </w:tcPr>
          <w:p w:rsidR="00953D03" w:rsidRPr="00B27271" w:rsidRDefault="00953D03" w:rsidP="00953D03">
            <w:pPr>
              <w:pStyle w:val="B2"/>
              <w:rPr>
                <w:noProof/>
              </w:rPr>
            </w:pPr>
            <w:r w:rsidRPr="00B27271">
              <w:rPr>
                <w:noProof/>
                <w:lang w:eastAsia="ko-KR"/>
              </w:rPr>
              <w:t>2&gt;</w:t>
            </w:r>
            <w:r w:rsidRPr="00B27271">
              <w:rPr>
                <w:noProof/>
              </w:rPr>
              <w:tab/>
              <w:t>else:</w:t>
            </w:r>
          </w:p>
          <w:p w:rsidR="00953D03" w:rsidRPr="00B27271" w:rsidRDefault="00953D03" w:rsidP="00953D03">
            <w:pPr>
              <w:pStyle w:val="B3"/>
            </w:pPr>
            <w:r w:rsidRPr="00B27271">
              <w:rPr>
                <w:noProof/>
              </w:rPr>
              <w:t>3&gt;</w:t>
            </w:r>
            <w:r w:rsidRPr="00B27271">
              <w:rPr>
                <w:noProof/>
              </w:rPr>
              <w:tab/>
              <w:t xml:space="preserve">if the </w:t>
            </w:r>
            <w:r w:rsidRPr="00B27271">
              <w:rPr>
                <w:i/>
                <w:noProof/>
              </w:rPr>
              <w:t>timeAlignmentTimer</w:t>
            </w:r>
            <w:r w:rsidRPr="00B27271">
              <w:t xml:space="preserve"> </w:t>
            </w:r>
            <w:r w:rsidRPr="00B27271">
              <w:rPr>
                <w:noProof/>
              </w:rPr>
              <w:t>is</w:t>
            </w:r>
            <w:r w:rsidRPr="00B27271">
              <w:t xml:space="preserve"> </w:t>
            </w:r>
            <w:r w:rsidRPr="00B27271">
              <w:rPr>
                <w:noProof/>
              </w:rPr>
              <w:t>associated with a TAG for an SCell configured with only this TAG; or</w:t>
            </w:r>
          </w:p>
          <w:p w:rsidR="00953D03" w:rsidRPr="00B27271" w:rsidRDefault="00953D03" w:rsidP="00953D03">
            <w:pPr>
              <w:pStyle w:val="B3"/>
              <w:rPr>
                <w:noProof/>
              </w:rPr>
            </w:pPr>
            <w:r w:rsidRPr="00B27271">
              <w:rPr>
                <w:noProof/>
                <w:lang w:eastAsia="ko-KR"/>
              </w:rPr>
              <w:t>3&gt;</w:t>
            </w:r>
            <w:r w:rsidRPr="00B27271">
              <w:rPr>
                <w:noProof/>
              </w:rPr>
              <w:tab/>
              <w:t xml:space="preserve">if the </w:t>
            </w:r>
            <w:r w:rsidRPr="00B27271">
              <w:rPr>
                <w:i/>
                <w:noProof/>
              </w:rPr>
              <w:t>timeAlignmentTimer</w:t>
            </w:r>
            <w:r w:rsidRPr="00B27271">
              <w:rPr>
                <w:noProof/>
              </w:rPr>
              <w:t xml:space="preserve"> is associated with a TAG for an SCell, and if the SCell is configured with two TAGs and </w:t>
            </w:r>
            <w:r w:rsidRPr="00B27271">
              <w:rPr>
                <w:i/>
                <w:noProof/>
              </w:rPr>
              <w:t>the timeAlignmentTimer</w:t>
            </w:r>
            <w:r w:rsidRPr="00B27271">
              <w:rPr>
                <w:noProof/>
              </w:rPr>
              <w:t xml:space="preserve"> </w:t>
            </w:r>
            <w:r w:rsidRPr="00B27271">
              <w:t>associated with the other TAG</w:t>
            </w:r>
            <w:r w:rsidRPr="00B27271">
              <w:rPr>
                <w:noProof/>
              </w:rPr>
              <w:t xml:space="preserve"> is not running</w:t>
            </w:r>
            <w:r w:rsidRPr="00B27271">
              <w:t>:</w:t>
            </w:r>
          </w:p>
          <w:p w:rsidR="00953D03" w:rsidRPr="00B27271" w:rsidRDefault="00953D03" w:rsidP="00953D03">
            <w:pPr>
              <w:pStyle w:val="B4"/>
              <w:rPr>
                <w:noProof/>
              </w:rPr>
            </w:pPr>
            <w:r w:rsidRPr="00B27271">
              <w:rPr>
                <w:noProof/>
                <w:lang w:eastAsia="ko-KR"/>
              </w:rPr>
              <w:t>4&gt;</w:t>
            </w:r>
            <w:r w:rsidRPr="00B27271">
              <w:rPr>
                <w:noProof/>
              </w:rPr>
              <w:tab/>
              <w:t>flush all HARQ buffers for all such SCells;</w:t>
            </w:r>
          </w:p>
          <w:p w:rsidR="00953D03" w:rsidRPr="00B27271" w:rsidRDefault="00953D03" w:rsidP="00953D03">
            <w:pPr>
              <w:pStyle w:val="B4"/>
              <w:rPr>
                <w:noProof/>
                <w:lang w:eastAsia="ko-KR"/>
              </w:rPr>
            </w:pPr>
            <w:r w:rsidRPr="00B27271">
              <w:rPr>
                <w:noProof/>
                <w:lang w:eastAsia="ko-KR"/>
              </w:rPr>
              <w:t>4&gt;</w:t>
            </w:r>
            <w:r w:rsidRPr="00B27271">
              <w:rPr>
                <w:noProof/>
              </w:rPr>
              <w:tab/>
              <w:t>notify RRC to release PUCCH, if configured</w:t>
            </w:r>
            <w:r w:rsidRPr="00953D03">
              <w:rPr>
                <w:noProof/>
                <w:color w:val="FF0000"/>
              </w:rPr>
              <w:t xml:space="preserve"> for </w:t>
            </w:r>
            <w:r w:rsidRPr="00B27271">
              <w:rPr>
                <w:noProof/>
              </w:rPr>
              <w:t>all such SCells</w:t>
            </w:r>
            <w:r w:rsidRPr="00B27271">
              <w:rPr>
                <w:noProof/>
                <w:lang w:eastAsia="ko-KR"/>
              </w:rPr>
              <w:t>;</w:t>
            </w:r>
          </w:p>
          <w:p w:rsidR="00953D03" w:rsidRDefault="00953D03" w:rsidP="000B5E58">
            <w:pPr>
              <w:spacing w:after="0"/>
              <w:rPr>
                <w:sz w:val="22"/>
                <w:szCs w:val="22"/>
              </w:rPr>
            </w:pPr>
          </w:p>
        </w:tc>
      </w:tr>
    </w:tbl>
    <w:p w:rsidR="00F53D77" w:rsidRPr="00F53D77" w:rsidRDefault="00F53D77" w:rsidP="00F53D77">
      <w:pPr>
        <w:spacing w:after="0"/>
        <w:rPr>
          <w:sz w:val="22"/>
          <w:szCs w:val="22"/>
        </w:rPr>
      </w:pPr>
      <w:r>
        <w:rPr>
          <w:sz w:val="22"/>
          <w:szCs w:val="22"/>
        </w:rPr>
        <w:t>In the current spec, the wording “for” is used instead of the “on”, thus b</w:t>
      </w:r>
      <w:r w:rsidRPr="00F53D77">
        <w:rPr>
          <w:sz w:val="22"/>
          <w:szCs w:val="22"/>
        </w:rPr>
        <w:t>efore any specification modification, RAN2 should first confirm whether such a cross-carrier case is already covered.</w:t>
      </w:r>
    </w:p>
    <w:p w:rsidR="00F53D77" w:rsidRPr="00F53D77" w:rsidRDefault="00F53D77" w:rsidP="00F53D77">
      <w:pPr>
        <w:pStyle w:val="ds-markdown-paragraph"/>
        <w:shd w:val="clear" w:color="auto" w:fill="FFFFFF"/>
        <w:spacing w:before="240" w:beforeAutospacing="0"/>
        <w:rPr>
          <w:rFonts w:eastAsia="Malgun Gothic"/>
          <w:b/>
          <w:bCs/>
          <w:sz w:val="22"/>
          <w:szCs w:val="22"/>
          <w:lang w:val="en-GB" w:eastAsia="en-US"/>
        </w:rPr>
      </w:pPr>
      <w:r w:rsidRPr="00F53D77">
        <w:rPr>
          <w:rFonts w:eastAsia="Malgun Gothic"/>
          <w:b/>
          <w:sz w:val="22"/>
          <w:szCs w:val="22"/>
          <w:lang w:val="en-GB" w:eastAsia="en-US"/>
        </w:rPr>
        <w:t>Proposal 1a:</w:t>
      </w:r>
      <w:r w:rsidRPr="00F53D77">
        <w:rPr>
          <w:rFonts w:eastAsia="Malgun Gothic"/>
          <w:b/>
          <w:bCs/>
          <w:sz w:val="22"/>
          <w:szCs w:val="22"/>
          <w:lang w:val="en-GB" w:eastAsia="en-US"/>
        </w:rPr>
        <w:t>  RAN2 should first confirm whether the current specification includes such a cross-carrier case.</w:t>
      </w:r>
    </w:p>
    <w:p w:rsidR="00FD05F1" w:rsidRDefault="00C35D8A" w:rsidP="007B03C9">
      <w:pPr>
        <w:pStyle w:val="2"/>
        <w:rPr>
          <w:sz w:val="28"/>
          <w:szCs w:val="28"/>
          <w:lang w:eastAsia="zh-CN"/>
        </w:rPr>
      </w:pPr>
      <w:r w:rsidRPr="00FD05F1">
        <w:rPr>
          <w:sz w:val="28"/>
          <w:szCs w:val="28"/>
          <w:lang w:eastAsia="zh-CN"/>
        </w:rPr>
        <w:t>2.</w:t>
      </w:r>
      <w:r w:rsidR="007E3916" w:rsidRPr="00FD05F1">
        <w:rPr>
          <w:sz w:val="28"/>
          <w:szCs w:val="28"/>
          <w:lang w:eastAsia="zh-CN"/>
        </w:rPr>
        <w:t>2</w:t>
      </w:r>
      <w:r w:rsidRPr="00FD05F1">
        <w:rPr>
          <w:sz w:val="28"/>
          <w:szCs w:val="28"/>
          <w:lang w:eastAsia="zh-CN"/>
        </w:rPr>
        <w:t xml:space="preserve"> </w:t>
      </w:r>
      <w:r w:rsidR="00953D03">
        <w:rPr>
          <w:sz w:val="28"/>
          <w:szCs w:val="28"/>
          <w:lang w:eastAsia="zh-CN"/>
        </w:rPr>
        <w:t>Deactivated BWP</w:t>
      </w:r>
    </w:p>
    <w:p w:rsidR="00F53D77" w:rsidRPr="00F53D77" w:rsidRDefault="00F53D77" w:rsidP="00F53D77">
      <w:pPr>
        <w:rPr>
          <w:rFonts w:eastAsiaTheme="minorEastAsia"/>
          <w:sz w:val="22"/>
          <w:szCs w:val="22"/>
        </w:rPr>
      </w:pPr>
      <w:r w:rsidRPr="00F53D77">
        <w:rPr>
          <w:rFonts w:eastAsiaTheme="minorEastAsia"/>
          <w:sz w:val="22"/>
          <w:szCs w:val="22"/>
        </w:rPr>
        <w:t>In the post-meeting email discussion, another remaining issue concerns the transmission of the UEI Report Indication for the deactivated BWP case. Contributions are expected based on the following proposal:</w:t>
      </w:r>
    </w:p>
    <w:tbl>
      <w:tblPr>
        <w:tblStyle w:val="af"/>
        <w:tblW w:w="0" w:type="auto"/>
        <w:tblLook w:val="04A0" w:firstRow="1" w:lastRow="0" w:firstColumn="1" w:lastColumn="0" w:noHBand="0" w:noVBand="1"/>
      </w:tblPr>
      <w:tblGrid>
        <w:gridCol w:w="9350"/>
      </w:tblGrid>
      <w:tr w:rsidR="005D01C1" w:rsidTr="00C3277C">
        <w:tc>
          <w:tcPr>
            <w:tcW w:w="9350" w:type="dxa"/>
          </w:tcPr>
          <w:p w:rsidR="005D01C1" w:rsidRPr="005D01C1" w:rsidRDefault="005D01C1" w:rsidP="005D01C1">
            <w:pPr>
              <w:rPr>
                <w:rFonts w:eastAsiaTheme="minorEastAsia"/>
                <w:sz w:val="22"/>
                <w:szCs w:val="22"/>
              </w:rPr>
            </w:pPr>
            <w:r w:rsidRPr="005D01C1">
              <w:rPr>
                <w:sz w:val="22"/>
                <w:szCs w:val="22"/>
                <w:lang w:eastAsia="zh-TW"/>
              </w:rPr>
              <w:t xml:space="preserve">Proposal 2: Discuss whether to transmit UEI Report Indication on PUCCH if the BWP for the associated mode-B CG PUSCH is deactivated. </w:t>
            </w:r>
          </w:p>
        </w:tc>
      </w:tr>
    </w:tbl>
    <w:p w:rsidR="00F53D77" w:rsidRPr="00F53D77" w:rsidRDefault="00F53D77" w:rsidP="00F53D77">
      <w:pPr>
        <w:pStyle w:val="ds-markdown-paragraph"/>
        <w:shd w:val="clear" w:color="auto" w:fill="FFFFFF"/>
        <w:spacing w:before="240" w:beforeAutospacing="0" w:after="240" w:afterAutospacing="0"/>
        <w:jc w:val="both"/>
        <w:rPr>
          <w:rFonts w:eastAsiaTheme="minorEastAsia"/>
          <w:sz w:val="22"/>
          <w:szCs w:val="22"/>
          <w:lang w:val="en-GB" w:eastAsia="en-US"/>
        </w:rPr>
      </w:pPr>
      <w:r w:rsidRPr="00F53D77">
        <w:rPr>
          <w:rFonts w:eastAsiaTheme="minorEastAsia"/>
          <w:sz w:val="22"/>
          <w:szCs w:val="22"/>
          <w:lang w:val="en-GB" w:eastAsia="en-US"/>
        </w:rPr>
        <w:t>If the BWP carrying the Mode-B CG PUSCH is deactivated, the initial PUCCH-based Report Indication need not be transmitted. The key question for RAN2 is to determine whether this scenario can be managed entirely through network implementation. For instance, the network could avoid configuring a Mode-B CG PUSCH on a SCell BWP that it might deactivate later.</w:t>
      </w:r>
    </w:p>
    <w:p w:rsidR="00F53D77" w:rsidRPr="00F53D77" w:rsidRDefault="00F53D77" w:rsidP="00F53D77">
      <w:pPr>
        <w:pStyle w:val="ds-markdown-paragraph"/>
        <w:shd w:val="clear" w:color="auto" w:fill="FFFFFF"/>
        <w:spacing w:before="240" w:beforeAutospacing="0"/>
        <w:jc w:val="both"/>
        <w:rPr>
          <w:rFonts w:eastAsiaTheme="minorEastAsia"/>
          <w:b/>
          <w:sz w:val="22"/>
          <w:szCs w:val="22"/>
          <w:lang w:val="en-GB" w:eastAsia="en-US"/>
        </w:rPr>
      </w:pPr>
      <w:r>
        <w:rPr>
          <w:rFonts w:eastAsiaTheme="minorEastAsia"/>
          <w:b/>
          <w:bCs/>
          <w:sz w:val="22"/>
          <w:szCs w:val="22"/>
          <w:lang w:val="en-GB" w:eastAsia="en-US"/>
        </w:rPr>
        <w:t>Proposal 2</w:t>
      </w:r>
      <w:r w:rsidRPr="00F53D77">
        <w:rPr>
          <w:rFonts w:eastAsiaTheme="minorEastAsia"/>
          <w:b/>
          <w:bCs/>
          <w:sz w:val="22"/>
          <w:szCs w:val="22"/>
          <w:lang w:val="en-GB" w:eastAsia="en-US"/>
        </w:rPr>
        <w:t>:</w:t>
      </w:r>
      <w:r w:rsidRPr="00F53D77">
        <w:rPr>
          <w:rFonts w:eastAsiaTheme="minorEastAsia"/>
          <w:b/>
          <w:sz w:val="22"/>
          <w:szCs w:val="22"/>
          <w:lang w:val="en-GB" w:eastAsia="en-US"/>
        </w:rPr>
        <w:t> If the BWP carrying the Mode-B CG PUSCH is deactivated, the UE shall not transmit the UEI Report Indication on PUCCH. RAN2 is to confirm whether this should be specified as a defined behavior or left to network implementation to avoid.</w:t>
      </w:r>
    </w:p>
    <w:p w:rsidR="00C35D8A" w:rsidRDefault="00C35D8A" w:rsidP="00C35D8A">
      <w:pPr>
        <w:pStyle w:val="2"/>
        <w:rPr>
          <w:sz w:val="28"/>
          <w:szCs w:val="28"/>
          <w:lang w:eastAsia="zh-CN"/>
        </w:rPr>
      </w:pPr>
      <w:r w:rsidRPr="00EB63F1">
        <w:rPr>
          <w:sz w:val="28"/>
          <w:szCs w:val="28"/>
          <w:lang w:eastAsia="zh-CN"/>
        </w:rPr>
        <w:t>2.</w:t>
      </w:r>
      <w:r>
        <w:rPr>
          <w:sz w:val="28"/>
          <w:szCs w:val="28"/>
          <w:lang w:eastAsia="zh-CN"/>
        </w:rPr>
        <w:t>3</w:t>
      </w:r>
      <w:r w:rsidRPr="00EB63F1">
        <w:rPr>
          <w:sz w:val="28"/>
          <w:szCs w:val="28"/>
          <w:lang w:eastAsia="zh-CN"/>
        </w:rPr>
        <w:t xml:space="preserve"> </w:t>
      </w:r>
      <w:r w:rsidRPr="00C35D8A">
        <w:rPr>
          <w:sz w:val="28"/>
          <w:szCs w:val="28"/>
          <w:lang w:eastAsia="zh-CN"/>
        </w:rPr>
        <w:t xml:space="preserve">UEIBR for the </w:t>
      </w:r>
      <w:r w:rsidR="004C1E71">
        <w:rPr>
          <w:sz w:val="28"/>
          <w:szCs w:val="28"/>
          <w:lang w:eastAsia="zh-CN"/>
        </w:rPr>
        <w:t>D</w:t>
      </w:r>
      <w:r w:rsidRPr="00C35D8A">
        <w:rPr>
          <w:sz w:val="28"/>
          <w:szCs w:val="28"/>
          <w:lang w:eastAsia="zh-CN"/>
        </w:rPr>
        <w:t>ormant BWP</w:t>
      </w:r>
    </w:p>
    <w:p w:rsidR="004C1E71" w:rsidRPr="007E3916" w:rsidRDefault="004C1E71" w:rsidP="004C1E71">
      <w:pPr>
        <w:rPr>
          <w:rFonts w:eastAsiaTheme="minorEastAsia"/>
          <w:sz w:val="22"/>
          <w:szCs w:val="22"/>
        </w:rPr>
      </w:pPr>
      <w:r>
        <w:rPr>
          <w:rFonts w:eastAsiaTheme="minorEastAsia"/>
          <w:sz w:val="22"/>
          <w:szCs w:val="22"/>
        </w:rPr>
        <w:t>For the dormant BWP</w:t>
      </w:r>
      <w:r w:rsidRPr="007E3916">
        <w:rPr>
          <w:rFonts w:eastAsiaTheme="minorEastAsia"/>
          <w:sz w:val="22"/>
          <w:szCs w:val="22"/>
        </w:rPr>
        <w:t xml:space="preserve">, in the </w:t>
      </w:r>
      <w:r>
        <w:rPr>
          <w:rFonts w:eastAsiaTheme="minorEastAsia"/>
          <w:sz w:val="22"/>
          <w:szCs w:val="22"/>
        </w:rPr>
        <w:t>previous</w:t>
      </w:r>
      <w:r w:rsidRPr="007E3916">
        <w:rPr>
          <w:rFonts w:eastAsiaTheme="minorEastAsia"/>
          <w:sz w:val="22"/>
          <w:szCs w:val="22"/>
        </w:rPr>
        <w:t xml:space="preserve"> meeting</w:t>
      </w:r>
      <w:r>
        <w:rPr>
          <w:rFonts w:eastAsiaTheme="minorEastAsia"/>
          <w:sz w:val="22"/>
          <w:szCs w:val="22"/>
        </w:rPr>
        <w:t>s</w:t>
      </w:r>
      <w:r w:rsidRPr="007E3916">
        <w:rPr>
          <w:rFonts w:eastAsiaTheme="minorEastAsia"/>
          <w:sz w:val="22"/>
          <w:szCs w:val="22"/>
        </w:rPr>
        <w:t xml:space="preserve">, it has been agreed that </w:t>
      </w:r>
    </w:p>
    <w:tbl>
      <w:tblPr>
        <w:tblStyle w:val="af"/>
        <w:tblW w:w="0" w:type="auto"/>
        <w:tblLook w:val="04A0" w:firstRow="1" w:lastRow="0" w:firstColumn="1" w:lastColumn="0" w:noHBand="0" w:noVBand="1"/>
      </w:tblPr>
      <w:tblGrid>
        <w:gridCol w:w="9350"/>
      </w:tblGrid>
      <w:tr w:rsidR="004C1E71" w:rsidRPr="007E3916" w:rsidTr="00D57C6D">
        <w:tc>
          <w:tcPr>
            <w:tcW w:w="9350" w:type="dxa"/>
          </w:tcPr>
          <w:p w:rsidR="004C1E71" w:rsidRPr="007E3916" w:rsidRDefault="004C1E71" w:rsidP="00D57C6D">
            <w:pPr>
              <w:rPr>
                <w:rFonts w:eastAsiaTheme="minorEastAsia"/>
                <w:sz w:val="22"/>
                <w:szCs w:val="22"/>
              </w:rPr>
            </w:pPr>
            <w:r w:rsidRPr="007E3916">
              <w:rPr>
                <w:sz w:val="22"/>
                <w:szCs w:val="22"/>
                <w:lang w:eastAsia="zh-CN"/>
              </w:rPr>
              <w:t xml:space="preserve">If the BWP in an SCell is a dormant BWP, the UE should not report mode-A beam measurement results. The UE cannot perform mode-B beam reporting </w:t>
            </w:r>
            <w:r w:rsidRPr="007E3916">
              <w:rPr>
                <w:sz w:val="22"/>
                <w:szCs w:val="22"/>
                <w:highlight w:val="cyan"/>
                <w:lang w:eastAsia="zh-CN"/>
              </w:rPr>
              <w:t>on this</w:t>
            </w:r>
            <w:r w:rsidRPr="007E3916">
              <w:rPr>
                <w:sz w:val="22"/>
                <w:szCs w:val="22"/>
                <w:lang w:eastAsia="zh-CN"/>
              </w:rPr>
              <w:t xml:space="preserve"> BWP.</w:t>
            </w:r>
          </w:p>
        </w:tc>
      </w:tr>
    </w:tbl>
    <w:p w:rsidR="004C1E71" w:rsidRDefault="004C1E71" w:rsidP="004C1E71">
      <w:pPr>
        <w:pStyle w:val="a6"/>
        <w:rPr>
          <w:rFonts w:eastAsiaTheme="minorEastAsia"/>
          <w:sz w:val="22"/>
          <w:szCs w:val="22"/>
          <w:lang w:eastAsia="en-US"/>
        </w:rPr>
      </w:pPr>
    </w:p>
    <w:p w:rsidR="004C1E71" w:rsidRPr="007E3916" w:rsidRDefault="004C1E71" w:rsidP="004C1E71">
      <w:pPr>
        <w:pStyle w:val="a6"/>
        <w:rPr>
          <w:rFonts w:eastAsiaTheme="minorEastAsia"/>
          <w:sz w:val="22"/>
          <w:szCs w:val="22"/>
          <w:lang w:eastAsia="en-US"/>
        </w:rPr>
      </w:pPr>
      <w:r w:rsidRPr="007E3916">
        <w:rPr>
          <w:rFonts w:eastAsiaTheme="minorEastAsia"/>
          <w:sz w:val="22"/>
          <w:szCs w:val="22"/>
          <w:lang w:eastAsia="en-US"/>
        </w:rPr>
        <w:lastRenderedPageBreak/>
        <w:t xml:space="preserve">However it’s not clear on whether it’s allowed the UE to perform mode-B beam reporting </w:t>
      </w:r>
      <w:r w:rsidRPr="007E3916">
        <w:rPr>
          <w:rFonts w:eastAsiaTheme="minorEastAsia"/>
          <w:sz w:val="22"/>
          <w:szCs w:val="22"/>
          <w:highlight w:val="cyan"/>
          <w:lang w:eastAsia="en-US"/>
        </w:rPr>
        <w:t>for this</w:t>
      </w:r>
      <w:r w:rsidRPr="007E3916">
        <w:rPr>
          <w:rFonts w:eastAsiaTheme="minorEastAsia"/>
          <w:sz w:val="22"/>
          <w:szCs w:val="22"/>
          <w:lang w:eastAsia="en-US"/>
        </w:rPr>
        <w:t xml:space="preserve"> BWP. </w:t>
      </w:r>
      <w:r>
        <w:rPr>
          <w:rFonts w:eastAsiaTheme="minorEastAsia"/>
          <w:sz w:val="22"/>
          <w:szCs w:val="22"/>
          <w:lang w:eastAsia="en-US"/>
        </w:rPr>
        <w:t>T</w:t>
      </w:r>
      <w:r w:rsidRPr="007E3916">
        <w:rPr>
          <w:rFonts w:eastAsiaTheme="minorEastAsia"/>
          <w:sz w:val="22"/>
          <w:szCs w:val="22"/>
          <w:lang w:eastAsia="en-US"/>
        </w:rPr>
        <w:t>here are 2 different understandings:</w:t>
      </w:r>
    </w:p>
    <w:p w:rsidR="004C1E71" w:rsidRPr="007E3916" w:rsidRDefault="004C1E71" w:rsidP="004C1E71">
      <w:pPr>
        <w:pStyle w:val="a6"/>
        <w:numPr>
          <w:ilvl w:val="0"/>
          <w:numId w:val="10"/>
        </w:numPr>
        <w:rPr>
          <w:sz w:val="22"/>
          <w:szCs w:val="22"/>
          <w:lang w:eastAsia="zh-CN"/>
        </w:rPr>
      </w:pPr>
      <w:r w:rsidRPr="007E3916">
        <w:rPr>
          <w:sz w:val="22"/>
          <w:szCs w:val="22"/>
          <w:lang w:eastAsia="zh-CN"/>
        </w:rPr>
        <w:t xml:space="preserve">Understanding 1: The UE </w:t>
      </w:r>
      <w:r w:rsidRPr="007E3916">
        <w:rPr>
          <w:sz w:val="22"/>
          <w:szCs w:val="22"/>
          <w:highlight w:val="cyan"/>
          <w:lang w:eastAsia="zh-CN"/>
        </w:rPr>
        <w:t>can</w:t>
      </w:r>
      <w:r w:rsidRPr="007E3916">
        <w:rPr>
          <w:sz w:val="22"/>
          <w:szCs w:val="22"/>
          <w:lang w:eastAsia="zh-CN"/>
        </w:rPr>
        <w:t xml:space="preserve"> perform mode-B beam reporting </w:t>
      </w:r>
      <w:r w:rsidRPr="007E3916">
        <w:rPr>
          <w:sz w:val="22"/>
          <w:szCs w:val="22"/>
          <w:highlight w:val="cyan"/>
          <w:lang w:eastAsia="zh-CN"/>
        </w:rPr>
        <w:t>for this</w:t>
      </w:r>
      <w:r w:rsidRPr="007E3916">
        <w:rPr>
          <w:sz w:val="22"/>
          <w:szCs w:val="22"/>
          <w:lang w:eastAsia="zh-CN"/>
        </w:rPr>
        <w:t xml:space="preserve"> BWP.</w:t>
      </w:r>
    </w:p>
    <w:p w:rsidR="004C1E71" w:rsidRPr="007E3916" w:rsidRDefault="004C1E71" w:rsidP="004C1E71">
      <w:pPr>
        <w:pStyle w:val="a6"/>
        <w:numPr>
          <w:ilvl w:val="0"/>
          <w:numId w:val="10"/>
        </w:numPr>
        <w:rPr>
          <w:sz w:val="22"/>
          <w:szCs w:val="22"/>
          <w:lang w:eastAsia="zh-CN"/>
        </w:rPr>
      </w:pPr>
      <w:r w:rsidRPr="007E3916">
        <w:rPr>
          <w:sz w:val="22"/>
          <w:szCs w:val="22"/>
          <w:lang w:eastAsia="zh-CN"/>
        </w:rPr>
        <w:t xml:space="preserve">Understanding 2: The UE </w:t>
      </w:r>
      <w:r w:rsidRPr="007E3916">
        <w:rPr>
          <w:sz w:val="22"/>
          <w:szCs w:val="22"/>
          <w:highlight w:val="cyan"/>
          <w:lang w:eastAsia="zh-CN"/>
        </w:rPr>
        <w:t>can’t</w:t>
      </w:r>
      <w:r w:rsidRPr="007E3916">
        <w:rPr>
          <w:sz w:val="22"/>
          <w:szCs w:val="22"/>
          <w:lang w:eastAsia="zh-CN"/>
        </w:rPr>
        <w:t xml:space="preserve"> perform mode-B beam reporting </w:t>
      </w:r>
      <w:r w:rsidRPr="007E3916">
        <w:rPr>
          <w:sz w:val="22"/>
          <w:szCs w:val="22"/>
          <w:highlight w:val="cyan"/>
          <w:lang w:eastAsia="zh-CN"/>
        </w:rPr>
        <w:t>for this</w:t>
      </w:r>
      <w:r w:rsidRPr="007E3916">
        <w:rPr>
          <w:sz w:val="22"/>
          <w:szCs w:val="22"/>
          <w:lang w:eastAsia="zh-CN"/>
        </w:rPr>
        <w:t xml:space="preserve"> BWP.</w:t>
      </w:r>
    </w:p>
    <w:tbl>
      <w:tblPr>
        <w:tblStyle w:val="af"/>
        <w:tblW w:w="0" w:type="auto"/>
        <w:tblLook w:val="04A0" w:firstRow="1" w:lastRow="0" w:firstColumn="1" w:lastColumn="0" w:noHBand="0" w:noVBand="1"/>
      </w:tblPr>
      <w:tblGrid>
        <w:gridCol w:w="9350"/>
      </w:tblGrid>
      <w:tr w:rsidR="00847B98" w:rsidRPr="00847B98" w:rsidTr="00607CE4">
        <w:tc>
          <w:tcPr>
            <w:tcW w:w="9350" w:type="dxa"/>
          </w:tcPr>
          <w:p w:rsidR="00847B98" w:rsidRPr="00847B98" w:rsidRDefault="00847B98" w:rsidP="00607CE4">
            <w:pPr>
              <w:pStyle w:val="2"/>
              <w:outlineLvl w:val="1"/>
              <w:rPr>
                <w:rFonts w:ascii="Times New Roman" w:eastAsiaTheme="minorEastAsia" w:hAnsi="Times New Roman"/>
                <w:sz w:val="16"/>
                <w:szCs w:val="16"/>
                <w:lang w:eastAsia="ko-KR"/>
              </w:rPr>
            </w:pPr>
            <w:r w:rsidRPr="00847B98">
              <w:rPr>
                <w:rFonts w:ascii="Times New Roman" w:hAnsi="Times New Roman"/>
                <w:sz w:val="16"/>
                <w:szCs w:val="16"/>
                <w:lang w:eastAsia="ko-KR"/>
              </w:rPr>
              <w:t>5.15.1</w:t>
            </w:r>
            <w:r w:rsidRPr="00847B98">
              <w:rPr>
                <w:rFonts w:ascii="Times New Roman" w:hAnsi="Times New Roman"/>
                <w:sz w:val="16"/>
                <w:szCs w:val="16"/>
                <w:lang w:eastAsia="ko-KR"/>
              </w:rPr>
              <w:tab/>
              <w:t>Downlink and Uplink</w:t>
            </w:r>
          </w:p>
          <w:p w:rsidR="00847B98" w:rsidRPr="00847B98" w:rsidRDefault="00847B98" w:rsidP="00607CE4">
            <w:pPr>
              <w:pStyle w:val="B1"/>
              <w:rPr>
                <w:sz w:val="16"/>
                <w:szCs w:val="16"/>
                <w:lang w:eastAsia="ko-KR"/>
              </w:rPr>
            </w:pPr>
            <w:r w:rsidRPr="00847B98">
              <w:rPr>
                <w:sz w:val="16"/>
                <w:szCs w:val="16"/>
                <w:lang w:eastAsia="ko-KR"/>
              </w:rPr>
              <w:t>1&gt;</w:t>
            </w:r>
            <w:r w:rsidRPr="00847B98">
              <w:rPr>
                <w:sz w:val="16"/>
                <w:szCs w:val="16"/>
                <w:lang w:eastAsia="ko-KR"/>
              </w:rPr>
              <w:tab/>
              <w:t xml:space="preserve">if a BWP is activated and </w:t>
            </w:r>
            <w:r w:rsidRPr="00847B98">
              <w:rPr>
                <w:noProof/>
                <w:sz w:val="16"/>
                <w:szCs w:val="16"/>
                <w:lang w:eastAsia="zh-CN"/>
              </w:rPr>
              <w:t>the active DL BWP for the Serving Cell</w:t>
            </w:r>
            <w:r w:rsidRPr="00847B98">
              <w:rPr>
                <w:noProof/>
                <w:sz w:val="16"/>
                <w:szCs w:val="16"/>
                <w:lang w:eastAsia="ko-KR"/>
              </w:rPr>
              <w:t xml:space="preserve"> </w:t>
            </w:r>
            <w:r w:rsidRPr="00847B98">
              <w:rPr>
                <w:sz w:val="16"/>
                <w:szCs w:val="16"/>
                <w:lang w:eastAsia="ko-KR"/>
              </w:rPr>
              <w:t>is dormant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 xml:space="preserve">stop the </w:t>
            </w:r>
            <w:r w:rsidRPr="00847B98">
              <w:rPr>
                <w:i/>
                <w:sz w:val="16"/>
                <w:szCs w:val="16"/>
                <w:lang w:eastAsia="ko-KR"/>
              </w:rPr>
              <w:t>bwp-InactivityTimer</w:t>
            </w:r>
            <w:r w:rsidRPr="00847B98">
              <w:rPr>
                <w:sz w:val="16"/>
                <w:szCs w:val="16"/>
                <w:lang w:eastAsia="ko-KR"/>
              </w:rPr>
              <w:t xml:space="preserve"> of this Serving Cell, if running.</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monitor the PDCCH on the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monitor the PDCCH for the BWP;</w:t>
            </w:r>
          </w:p>
          <w:p w:rsidR="00847B98" w:rsidRPr="00847B98" w:rsidRDefault="00847B98" w:rsidP="00607CE4">
            <w:pPr>
              <w:pStyle w:val="B2"/>
              <w:rPr>
                <w:sz w:val="16"/>
                <w:szCs w:val="16"/>
                <w:lang w:eastAsia="ko-KR"/>
              </w:rPr>
            </w:pPr>
            <w:r w:rsidRPr="00847B98">
              <w:rPr>
                <w:sz w:val="16"/>
                <w:szCs w:val="16"/>
                <w:lang w:eastAsia="ko-KR"/>
              </w:rPr>
              <w:t>2&gt;</w:t>
            </w:r>
            <w:r w:rsidRPr="00847B98">
              <w:rPr>
                <w:sz w:val="16"/>
                <w:szCs w:val="16"/>
                <w:lang w:eastAsia="ko-KR"/>
              </w:rPr>
              <w:tab/>
              <w:t>not receive DL-SCH on the BWP;</w:t>
            </w:r>
          </w:p>
          <w:p w:rsidR="00847B98" w:rsidRPr="00847B98" w:rsidRDefault="00847B98" w:rsidP="00607CE4">
            <w:pPr>
              <w:pStyle w:val="B2"/>
              <w:rPr>
                <w:rFonts w:eastAsia="Batang"/>
                <w:sz w:val="16"/>
                <w:szCs w:val="16"/>
                <w:lang w:eastAsia="x-none"/>
              </w:rPr>
            </w:pPr>
            <w:r w:rsidRPr="00847B98">
              <w:rPr>
                <w:sz w:val="16"/>
                <w:szCs w:val="16"/>
                <w:lang w:eastAsia="ko-KR"/>
              </w:rPr>
              <w:t>2&gt;</w:t>
            </w:r>
            <w:r w:rsidRPr="00847B98">
              <w:rPr>
                <w:sz w:val="16"/>
                <w:szCs w:val="16"/>
                <w:lang w:eastAsia="ko-KR"/>
              </w:rPr>
              <w:tab/>
              <w:t xml:space="preserve">not report CSI on the BWP, report CSI except </w:t>
            </w:r>
            <w:r w:rsidRPr="00847B98">
              <w:rPr>
                <w:sz w:val="16"/>
                <w:szCs w:val="16"/>
                <w:highlight w:val="yellow"/>
                <w:lang w:eastAsia="ko-KR"/>
              </w:rPr>
              <w:t>aperiodic CSI</w:t>
            </w:r>
            <w:r w:rsidRPr="00847B98">
              <w:rPr>
                <w:sz w:val="16"/>
                <w:szCs w:val="16"/>
                <w:lang w:eastAsia="ko-KR"/>
              </w:rPr>
              <w:t xml:space="preserve"> for the BWP</w:t>
            </w:r>
            <w:r w:rsidRPr="00847B98">
              <w:rPr>
                <w:sz w:val="16"/>
                <w:szCs w:val="16"/>
              </w:rPr>
              <w:t>;</w:t>
            </w:r>
          </w:p>
        </w:tc>
      </w:tr>
    </w:tbl>
    <w:p w:rsidR="004C1E71" w:rsidRDefault="004C1E71" w:rsidP="006F6F0F">
      <w:pPr>
        <w:pStyle w:val="a6"/>
        <w:jc w:val="both"/>
        <w:rPr>
          <w:rFonts w:eastAsiaTheme="minorEastAsia"/>
          <w:sz w:val="22"/>
          <w:szCs w:val="22"/>
          <w:lang w:eastAsia="en-US"/>
        </w:rPr>
      </w:pPr>
    </w:p>
    <w:p w:rsidR="00227C61" w:rsidRPr="007E3916" w:rsidRDefault="00227C61" w:rsidP="006F6F0F">
      <w:pPr>
        <w:pStyle w:val="a6"/>
        <w:jc w:val="both"/>
        <w:rPr>
          <w:rFonts w:eastAsiaTheme="minorEastAsia"/>
          <w:sz w:val="22"/>
          <w:szCs w:val="22"/>
          <w:lang w:eastAsia="en-US"/>
        </w:rPr>
      </w:pPr>
      <w:r w:rsidRPr="007E3916">
        <w:rPr>
          <w:rFonts w:eastAsiaTheme="minorEastAsia"/>
          <w:sz w:val="22"/>
          <w:szCs w:val="22"/>
          <w:lang w:eastAsia="en-US"/>
        </w:rPr>
        <w:t>If we take the legacy semi-persistent CSI report behaviour, it means the UE can report it for this dormant BWP, e.g. report it on the SpCell. However, for the UEI mode B CSI</w:t>
      </w:r>
      <w:r w:rsidR="008031A6" w:rsidRPr="007E3916">
        <w:rPr>
          <w:rFonts w:eastAsiaTheme="minorEastAsia"/>
          <w:sz w:val="22"/>
          <w:szCs w:val="22"/>
          <w:lang w:eastAsia="en-US"/>
        </w:rPr>
        <w:t xml:space="preserve"> report</w:t>
      </w:r>
      <w:r w:rsidR="006F6F0F" w:rsidRPr="007E3916">
        <w:rPr>
          <w:rFonts w:eastAsiaTheme="minorEastAsia"/>
          <w:sz w:val="22"/>
          <w:szCs w:val="22"/>
          <w:lang w:eastAsia="en-US"/>
        </w:rPr>
        <w:t xml:space="preserve"> for the</w:t>
      </w:r>
      <w:r w:rsidR="008031A6" w:rsidRPr="007E3916">
        <w:rPr>
          <w:rFonts w:eastAsiaTheme="minorEastAsia"/>
          <w:sz w:val="22"/>
          <w:szCs w:val="22"/>
          <w:lang w:eastAsia="en-US"/>
        </w:rPr>
        <w:t xml:space="preserve"> dormant BWP, the question is how to determine the current beam. Even in the last</w:t>
      </w:r>
      <w:r w:rsidR="006F6F0F" w:rsidRPr="007E3916">
        <w:rPr>
          <w:rFonts w:eastAsiaTheme="minorEastAsia"/>
          <w:sz w:val="22"/>
          <w:szCs w:val="22"/>
          <w:lang w:eastAsia="en-US"/>
        </w:rPr>
        <w:t xml:space="preserve"> RAN1</w:t>
      </w:r>
      <w:r w:rsidR="008031A6" w:rsidRPr="007E3916">
        <w:rPr>
          <w:rFonts w:eastAsiaTheme="minorEastAsia"/>
          <w:sz w:val="22"/>
          <w:szCs w:val="22"/>
          <w:lang w:eastAsia="en-US"/>
        </w:rPr>
        <w:t xml:space="preserve"> meeting a new parameter was introduced for some special cases</w:t>
      </w:r>
      <w:r w:rsidR="006F6F0F" w:rsidRPr="007E3916">
        <w:rPr>
          <w:rFonts w:eastAsiaTheme="minorEastAsia"/>
          <w:sz w:val="22"/>
          <w:szCs w:val="22"/>
          <w:lang w:eastAsia="en-US"/>
        </w:rPr>
        <w:t xml:space="preserve">, </w:t>
      </w:r>
      <w:r w:rsidR="008031A6" w:rsidRPr="007E3916">
        <w:rPr>
          <w:rFonts w:eastAsiaTheme="minorEastAsia"/>
          <w:sz w:val="22"/>
          <w:szCs w:val="22"/>
          <w:lang w:eastAsia="en-US"/>
        </w:rPr>
        <w:t xml:space="preserve">it’s </w:t>
      </w:r>
      <w:r w:rsidR="006F6F0F" w:rsidRPr="007E3916">
        <w:rPr>
          <w:rFonts w:eastAsiaTheme="minorEastAsia"/>
          <w:sz w:val="22"/>
          <w:szCs w:val="22"/>
          <w:lang w:eastAsia="en-US"/>
        </w:rPr>
        <w:t xml:space="preserve">still </w:t>
      </w:r>
      <w:r w:rsidR="008031A6" w:rsidRPr="007E3916">
        <w:rPr>
          <w:rFonts w:eastAsiaTheme="minorEastAsia"/>
          <w:sz w:val="22"/>
          <w:szCs w:val="22"/>
          <w:lang w:eastAsia="en-US"/>
        </w:rPr>
        <w:t>hard to determine the c</w:t>
      </w:r>
      <w:r w:rsidR="006F6F0F" w:rsidRPr="007E3916">
        <w:rPr>
          <w:rFonts w:eastAsiaTheme="minorEastAsia"/>
          <w:sz w:val="22"/>
          <w:szCs w:val="22"/>
          <w:lang w:eastAsia="en-US"/>
        </w:rPr>
        <w:t>urrent beam for the dormant BWP when this new parameter is absent.</w:t>
      </w:r>
    </w:p>
    <w:tbl>
      <w:tblPr>
        <w:tblW w:w="9634" w:type="dxa"/>
        <w:tblLayout w:type="fixed"/>
        <w:tblLook w:val="04A0" w:firstRow="1" w:lastRow="0" w:firstColumn="1" w:lastColumn="0" w:noHBand="0" w:noVBand="1"/>
      </w:tblPr>
      <w:tblGrid>
        <w:gridCol w:w="1129"/>
        <w:gridCol w:w="851"/>
        <w:gridCol w:w="6379"/>
        <w:gridCol w:w="1275"/>
      </w:tblGrid>
      <w:tr w:rsidR="004C1E71" w:rsidRPr="004C1E71" w:rsidTr="00607CE4">
        <w:trPr>
          <w:trHeight w:val="72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CCofIndicatedTCI-r19</w:t>
            </w:r>
          </w:p>
        </w:tc>
        <w:tc>
          <w:tcPr>
            <w:tcW w:w="851" w:type="dxa"/>
            <w:tcBorders>
              <w:top w:val="nil"/>
              <w:left w:val="nil"/>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New</w:t>
            </w:r>
          </w:p>
        </w:tc>
        <w:tc>
          <w:tcPr>
            <w:tcW w:w="6379" w:type="dxa"/>
            <w:tcBorders>
              <w:top w:val="nil"/>
              <w:left w:val="nil"/>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This parameter is used to indicate a CC index of the serving cell on which the indicated TCI state used to determine the current beam RS is applied</w:t>
            </w:r>
          </w:p>
        </w:tc>
        <w:tc>
          <w:tcPr>
            <w:tcW w:w="1275" w:type="dxa"/>
            <w:tcBorders>
              <w:top w:val="nil"/>
              <w:left w:val="nil"/>
              <w:bottom w:val="single" w:sz="4" w:space="0" w:color="auto"/>
              <w:right w:val="single" w:sz="4" w:space="0" w:color="auto"/>
            </w:tcBorders>
            <w:shd w:val="clear" w:color="auto" w:fill="auto"/>
            <w:vAlign w:val="center"/>
            <w:hideMark/>
          </w:tcPr>
          <w:p w:rsidR="008031A6" w:rsidRPr="004C1E71" w:rsidRDefault="008031A6" w:rsidP="00607CE4">
            <w:pPr>
              <w:spacing w:after="0" w:line="240" w:lineRule="auto"/>
              <w:jc w:val="left"/>
              <w:rPr>
                <w:rFonts w:eastAsia="Times New Roman"/>
                <w:sz w:val="22"/>
                <w:szCs w:val="22"/>
                <w:lang w:val="en-US" w:eastAsia="zh-CN"/>
              </w:rPr>
            </w:pPr>
            <w:r w:rsidRPr="004C1E71">
              <w:rPr>
                <w:rFonts w:eastAsia="Times New Roman"/>
                <w:sz w:val="22"/>
                <w:szCs w:val="22"/>
                <w:lang w:val="en-US" w:eastAsia="zh-CN"/>
              </w:rPr>
              <w:t>ServCellIndex</w:t>
            </w:r>
          </w:p>
        </w:tc>
      </w:tr>
    </w:tbl>
    <w:p w:rsidR="008031A6" w:rsidRPr="007E3916" w:rsidRDefault="008031A6" w:rsidP="00227C61">
      <w:pPr>
        <w:pStyle w:val="a6"/>
        <w:rPr>
          <w:rFonts w:eastAsiaTheme="minorEastAsia"/>
          <w:sz w:val="22"/>
          <w:szCs w:val="22"/>
          <w:lang w:eastAsia="en-US"/>
        </w:rPr>
      </w:pPr>
      <w:r w:rsidRPr="007E3916">
        <w:rPr>
          <w:rFonts w:eastAsiaTheme="minorEastAsia"/>
          <w:sz w:val="22"/>
          <w:szCs w:val="22"/>
          <w:lang w:eastAsia="en-US"/>
        </w:rPr>
        <w:t>Based on the above analysis, the understanding 2 is preferred for the UEI mode B CSI report.</w:t>
      </w:r>
    </w:p>
    <w:p w:rsidR="00C12341" w:rsidRPr="007E3916" w:rsidRDefault="00C12341" w:rsidP="00C12341">
      <w:pPr>
        <w:pStyle w:val="a6"/>
        <w:rPr>
          <w:rFonts w:eastAsiaTheme="minorEastAsia"/>
          <w:b/>
          <w:sz w:val="22"/>
          <w:szCs w:val="22"/>
          <w:lang w:eastAsia="en-US"/>
        </w:rPr>
      </w:pPr>
      <w:r w:rsidRPr="007E3916">
        <w:rPr>
          <w:rFonts w:eastAsiaTheme="minorEastAsia"/>
          <w:b/>
          <w:sz w:val="22"/>
          <w:szCs w:val="22"/>
          <w:lang w:eastAsia="en-US"/>
        </w:rPr>
        <w:t xml:space="preserve">Proposal </w:t>
      </w:r>
      <w:r w:rsidR="004C1E71">
        <w:rPr>
          <w:rFonts w:eastAsiaTheme="minorEastAsia"/>
          <w:b/>
          <w:sz w:val="22"/>
          <w:szCs w:val="22"/>
          <w:lang w:eastAsia="en-US"/>
        </w:rPr>
        <w:t>3</w:t>
      </w:r>
      <w:r w:rsidRPr="007E3916">
        <w:rPr>
          <w:rFonts w:eastAsiaTheme="minorEastAsia"/>
          <w:b/>
          <w:sz w:val="22"/>
          <w:szCs w:val="22"/>
          <w:lang w:eastAsia="en-US"/>
        </w:rPr>
        <w:t xml:space="preserve">: </w:t>
      </w:r>
      <w:r w:rsidR="000C792D">
        <w:rPr>
          <w:rFonts w:eastAsiaTheme="minorEastAsia"/>
          <w:b/>
          <w:sz w:val="22"/>
          <w:szCs w:val="22"/>
          <w:lang w:eastAsia="en-US"/>
        </w:rPr>
        <w:t>When</w:t>
      </w:r>
      <w:r w:rsidRPr="007E3916">
        <w:rPr>
          <w:rFonts w:eastAsiaTheme="minorEastAsia"/>
          <w:b/>
          <w:sz w:val="22"/>
          <w:szCs w:val="22"/>
          <w:lang w:eastAsia="en-US"/>
        </w:rPr>
        <w:t xml:space="preserve"> the BWP in a SCell is a do</w:t>
      </w:r>
      <w:r w:rsidR="004C1E71">
        <w:rPr>
          <w:rFonts w:eastAsiaTheme="minorEastAsia"/>
          <w:b/>
          <w:sz w:val="22"/>
          <w:szCs w:val="22"/>
          <w:lang w:eastAsia="en-US"/>
        </w:rPr>
        <w:t xml:space="preserve">rmant BWP, the UE should not </w:t>
      </w:r>
      <w:r w:rsidRPr="007E3916">
        <w:rPr>
          <w:rFonts w:eastAsiaTheme="minorEastAsia"/>
          <w:b/>
          <w:sz w:val="22"/>
          <w:szCs w:val="22"/>
          <w:lang w:eastAsia="en-US"/>
        </w:rPr>
        <w:t xml:space="preserve">perform UEI mode B CSI report for </w:t>
      </w:r>
      <w:r w:rsidR="000C792D">
        <w:rPr>
          <w:rFonts w:eastAsiaTheme="minorEastAsia"/>
          <w:b/>
          <w:sz w:val="22"/>
          <w:szCs w:val="22"/>
          <w:lang w:eastAsia="en-US"/>
        </w:rPr>
        <w:t>that</w:t>
      </w:r>
      <w:r w:rsidRPr="007E3916">
        <w:rPr>
          <w:rFonts w:eastAsiaTheme="minorEastAsia"/>
          <w:b/>
          <w:sz w:val="22"/>
          <w:szCs w:val="22"/>
          <w:lang w:eastAsia="en-US"/>
        </w:rPr>
        <w:t xml:space="preserve"> BWP.</w:t>
      </w:r>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2"/>
          <w:szCs w:val="22"/>
        </w:rPr>
      </w:pPr>
      <w:r w:rsidRPr="007E3916">
        <w:rPr>
          <w:rFonts w:hint="eastAsia"/>
          <w:sz w:val="22"/>
          <w:szCs w:val="22"/>
        </w:rPr>
        <w:t xml:space="preserve">With the above analysis, we have the following </w:t>
      </w:r>
      <w:r w:rsidRPr="007E3916">
        <w:rPr>
          <w:sz w:val="22"/>
          <w:szCs w:val="22"/>
        </w:rPr>
        <w:t>proposals</w:t>
      </w:r>
      <w:r w:rsidRPr="007E3916">
        <w:rPr>
          <w:rFonts w:hint="eastAsia"/>
          <w:sz w:val="22"/>
          <w:szCs w:val="22"/>
        </w:rPr>
        <w:t>:</w:t>
      </w:r>
    </w:p>
    <w:p w:rsidR="00F53D77" w:rsidRPr="00F53D77" w:rsidRDefault="00F53D77" w:rsidP="007B03C9">
      <w:pPr>
        <w:rPr>
          <w:b/>
          <w:sz w:val="22"/>
          <w:szCs w:val="22"/>
        </w:rPr>
      </w:pPr>
      <w:r w:rsidRPr="00F53D77">
        <w:rPr>
          <w:b/>
          <w:bCs/>
          <w:sz w:val="22"/>
          <w:szCs w:val="22"/>
        </w:rPr>
        <w:t>Proposal 1:</w:t>
      </w:r>
      <w:r w:rsidRPr="00F53D77">
        <w:rPr>
          <w:b/>
          <w:sz w:val="22"/>
          <w:szCs w:val="22"/>
        </w:rPr>
        <w:t> For Mode-B UEI reporting, if the PUSCH resource of a UEI report configuration points to a SCell whose sTAG's TAT has expired, the UE should not release the corresponding PUCCH resource and should not transmit the Report Indication on PUCCH.</w:t>
      </w:r>
    </w:p>
    <w:p w:rsidR="00F53D77" w:rsidRPr="00F53D77" w:rsidRDefault="00F53D77" w:rsidP="007B03C9">
      <w:pPr>
        <w:pStyle w:val="ds-markdown-paragraph"/>
        <w:shd w:val="clear" w:color="auto" w:fill="FFFFFF"/>
        <w:spacing w:before="240" w:beforeAutospacing="0"/>
        <w:jc w:val="both"/>
        <w:rPr>
          <w:rFonts w:eastAsia="Malgun Gothic"/>
          <w:b/>
          <w:bCs/>
          <w:sz w:val="22"/>
          <w:szCs w:val="22"/>
          <w:lang w:val="en-GB" w:eastAsia="en-US"/>
        </w:rPr>
      </w:pPr>
      <w:r w:rsidRPr="00F53D77">
        <w:rPr>
          <w:rFonts w:eastAsia="Malgun Gothic"/>
          <w:b/>
          <w:sz w:val="22"/>
          <w:szCs w:val="22"/>
          <w:lang w:val="en-GB" w:eastAsia="en-US"/>
        </w:rPr>
        <w:t>Proposal 1a:</w:t>
      </w:r>
      <w:r w:rsidRPr="00F53D77">
        <w:rPr>
          <w:rFonts w:eastAsia="Malgun Gothic"/>
          <w:b/>
          <w:bCs/>
          <w:sz w:val="22"/>
          <w:szCs w:val="22"/>
          <w:lang w:val="en-GB" w:eastAsia="en-US"/>
        </w:rPr>
        <w:t>  RAN2 should first confirm whether the current specification includes such a cross-carrier case.</w:t>
      </w:r>
    </w:p>
    <w:p w:rsidR="00EC1DB2" w:rsidRPr="00F53D77" w:rsidRDefault="00EC1DB2" w:rsidP="007B03C9">
      <w:pPr>
        <w:pStyle w:val="ds-markdown-paragraph"/>
        <w:shd w:val="clear" w:color="auto" w:fill="FFFFFF"/>
        <w:spacing w:before="240" w:beforeAutospacing="0"/>
        <w:jc w:val="both"/>
        <w:rPr>
          <w:rFonts w:eastAsiaTheme="minorEastAsia"/>
          <w:b/>
          <w:sz w:val="22"/>
          <w:szCs w:val="22"/>
          <w:lang w:val="en-GB" w:eastAsia="en-US"/>
        </w:rPr>
      </w:pPr>
      <w:r>
        <w:rPr>
          <w:rFonts w:eastAsiaTheme="minorEastAsia"/>
          <w:b/>
          <w:bCs/>
          <w:sz w:val="22"/>
          <w:szCs w:val="22"/>
          <w:lang w:val="en-GB" w:eastAsia="en-US"/>
        </w:rPr>
        <w:t>Proposal 2</w:t>
      </w:r>
      <w:r w:rsidRPr="00F53D77">
        <w:rPr>
          <w:rFonts w:eastAsiaTheme="minorEastAsia"/>
          <w:b/>
          <w:bCs/>
          <w:sz w:val="22"/>
          <w:szCs w:val="22"/>
          <w:lang w:val="en-GB" w:eastAsia="en-US"/>
        </w:rPr>
        <w:t>:</w:t>
      </w:r>
      <w:r w:rsidRPr="00F53D77">
        <w:rPr>
          <w:rFonts w:eastAsiaTheme="minorEastAsia"/>
          <w:b/>
          <w:sz w:val="22"/>
          <w:szCs w:val="22"/>
          <w:lang w:val="en-GB" w:eastAsia="en-US"/>
        </w:rPr>
        <w:t> If the BWP carrying the Mode-B CG PUSCH is deactivated, the UE shall not transmit the UEI Report Indication on PUCCH. RAN2 is to confirm whether this should be specified as a defined behavior or left to network implementation to avoid.</w:t>
      </w:r>
      <w:r>
        <w:rPr>
          <w:rFonts w:eastAsiaTheme="minorEastAsia"/>
          <w:b/>
          <w:sz w:val="22"/>
          <w:szCs w:val="22"/>
          <w:lang w:val="en-GB" w:eastAsia="en-US"/>
        </w:rPr>
        <w:t xml:space="preserve"> </w:t>
      </w:r>
    </w:p>
    <w:p w:rsidR="00F53D77" w:rsidRPr="007E3916" w:rsidRDefault="00EC1DB2" w:rsidP="007B03C9">
      <w:pPr>
        <w:pStyle w:val="a6"/>
        <w:jc w:val="both"/>
        <w:rPr>
          <w:sz w:val="22"/>
          <w:szCs w:val="22"/>
        </w:rPr>
      </w:pPr>
      <w:r w:rsidRPr="007E3916">
        <w:rPr>
          <w:rFonts w:eastAsiaTheme="minorEastAsia"/>
          <w:b/>
          <w:sz w:val="22"/>
          <w:szCs w:val="22"/>
          <w:lang w:eastAsia="en-US"/>
        </w:rPr>
        <w:t xml:space="preserve">Proposal </w:t>
      </w:r>
      <w:r>
        <w:rPr>
          <w:rFonts w:eastAsiaTheme="minorEastAsia"/>
          <w:b/>
          <w:sz w:val="22"/>
          <w:szCs w:val="22"/>
          <w:lang w:eastAsia="en-US"/>
        </w:rPr>
        <w:t>3</w:t>
      </w:r>
      <w:r w:rsidRPr="007E3916">
        <w:rPr>
          <w:rFonts w:eastAsiaTheme="minorEastAsia"/>
          <w:b/>
          <w:sz w:val="22"/>
          <w:szCs w:val="22"/>
          <w:lang w:eastAsia="en-US"/>
        </w:rPr>
        <w:t xml:space="preserve">: </w:t>
      </w:r>
      <w:r>
        <w:rPr>
          <w:rFonts w:eastAsiaTheme="minorEastAsia"/>
          <w:b/>
          <w:sz w:val="22"/>
          <w:szCs w:val="22"/>
          <w:lang w:eastAsia="en-US"/>
        </w:rPr>
        <w:t>When</w:t>
      </w:r>
      <w:r w:rsidRPr="007E3916">
        <w:rPr>
          <w:rFonts w:eastAsiaTheme="minorEastAsia"/>
          <w:b/>
          <w:sz w:val="22"/>
          <w:szCs w:val="22"/>
          <w:lang w:eastAsia="en-US"/>
        </w:rPr>
        <w:t xml:space="preserve"> the BWP in a SCell is a do</w:t>
      </w:r>
      <w:r>
        <w:rPr>
          <w:rFonts w:eastAsiaTheme="minorEastAsia"/>
          <w:b/>
          <w:sz w:val="22"/>
          <w:szCs w:val="22"/>
          <w:lang w:eastAsia="en-US"/>
        </w:rPr>
        <w:t xml:space="preserve">rmant BWP, the UE should not </w:t>
      </w:r>
      <w:r w:rsidRPr="007E3916">
        <w:rPr>
          <w:rFonts w:eastAsiaTheme="minorEastAsia"/>
          <w:b/>
          <w:sz w:val="22"/>
          <w:szCs w:val="22"/>
          <w:lang w:eastAsia="en-US"/>
        </w:rPr>
        <w:t xml:space="preserve">perform UEI mode B CSI report for </w:t>
      </w:r>
      <w:r>
        <w:rPr>
          <w:rFonts w:eastAsiaTheme="minorEastAsia"/>
          <w:b/>
          <w:sz w:val="22"/>
          <w:szCs w:val="22"/>
          <w:lang w:eastAsia="en-US"/>
        </w:rPr>
        <w:t>that</w:t>
      </w:r>
      <w:r w:rsidRPr="007E3916">
        <w:rPr>
          <w:rFonts w:eastAsiaTheme="minorEastAsia"/>
          <w:b/>
          <w:sz w:val="22"/>
          <w:szCs w:val="22"/>
          <w:lang w:eastAsia="en-US"/>
        </w:rPr>
        <w:t xml:space="preserve"> BWP.</w:t>
      </w:r>
      <w:bookmarkStart w:id="5" w:name="_GoBack"/>
      <w:bookmarkEnd w:id="5"/>
    </w:p>
    <w:sectPr w:rsidR="00F53D77" w:rsidRPr="007E3916"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2A6" w:rsidRDefault="00E072A6">
      <w:pPr>
        <w:spacing w:line="240" w:lineRule="auto"/>
      </w:pPr>
      <w:r>
        <w:separator/>
      </w:r>
    </w:p>
  </w:endnote>
  <w:endnote w:type="continuationSeparator" w:id="0">
    <w:p w:rsidR="00E072A6" w:rsidRDefault="00E07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2A6" w:rsidRDefault="00E072A6">
      <w:pPr>
        <w:spacing w:after="0"/>
      </w:pPr>
      <w:r>
        <w:separator/>
      </w:r>
    </w:p>
  </w:footnote>
  <w:footnote w:type="continuationSeparator" w:id="0">
    <w:p w:rsidR="00E072A6" w:rsidRDefault="00E072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66401"/>
    <w:multiLevelType w:val="hybridMultilevel"/>
    <w:tmpl w:val="87D0A23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4485BD4"/>
    <w:multiLevelType w:val="hybridMultilevel"/>
    <w:tmpl w:val="24C049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660AA9"/>
    <w:multiLevelType w:val="multilevel"/>
    <w:tmpl w:val="5A1A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93D27"/>
    <w:multiLevelType w:val="hybridMultilevel"/>
    <w:tmpl w:val="7B04D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3B148A"/>
    <w:multiLevelType w:val="hybridMultilevel"/>
    <w:tmpl w:val="6BEA5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C3C46"/>
    <w:multiLevelType w:val="hybridMultilevel"/>
    <w:tmpl w:val="1F1C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37F81"/>
    <w:multiLevelType w:val="hybridMultilevel"/>
    <w:tmpl w:val="743A4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106D7"/>
    <w:multiLevelType w:val="hybridMultilevel"/>
    <w:tmpl w:val="44BE8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929A0"/>
    <w:multiLevelType w:val="hybridMultilevel"/>
    <w:tmpl w:val="0F30F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670B94"/>
    <w:multiLevelType w:val="hybridMultilevel"/>
    <w:tmpl w:val="C27A64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B3B15"/>
    <w:multiLevelType w:val="hybridMultilevel"/>
    <w:tmpl w:val="A8FC3590"/>
    <w:lvl w:ilvl="0" w:tplc="417294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2A7A4E"/>
    <w:multiLevelType w:val="hybridMultilevel"/>
    <w:tmpl w:val="8C04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10A87"/>
    <w:multiLevelType w:val="hybridMultilevel"/>
    <w:tmpl w:val="1A7C779A"/>
    <w:lvl w:ilvl="0" w:tplc="E330462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A3497A"/>
    <w:multiLevelType w:val="hybridMultilevel"/>
    <w:tmpl w:val="4210D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E2611B"/>
    <w:multiLevelType w:val="hybridMultilevel"/>
    <w:tmpl w:val="48787C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17"/>
  </w:num>
  <w:num w:numId="4">
    <w:abstractNumId w:val="9"/>
  </w:num>
  <w:num w:numId="5">
    <w:abstractNumId w:val="13"/>
  </w:num>
  <w:num w:numId="6">
    <w:abstractNumId w:val="10"/>
  </w:num>
  <w:num w:numId="7">
    <w:abstractNumId w:val="16"/>
  </w:num>
  <w:num w:numId="8">
    <w:abstractNumId w:val="5"/>
  </w:num>
  <w:num w:numId="9">
    <w:abstractNumId w:val="12"/>
  </w:num>
  <w:num w:numId="10">
    <w:abstractNumId w:val="4"/>
  </w:num>
  <w:num w:numId="11">
    <w:abstractNumId w:val="7"/>
  </w:num>
  <w:num w:numId="12">
    <w:abstractNumId w:val="0"/>
  </w:num>
  <w:num w:numId="13">
    <w:abstractNumId w:val="8"/>
  </w:num>
  <w:num w:numId="14">
    <w:abstractNumId w:val="19"/>
  </w:num>
  <w:num w:numId="15">
    <w:abstractNumId w:val="1"/>
  </w:num>
  <w:num w:numId="16">
    <w:abstractNumId w:val="15"/>
  </w:num>
  <w:num w:numId="17">
    <w:abstractNumId w:val="14"/>
  </w:num>
  <w:num w:numId="18">
    <w:abstractNumId w:val="11"/>
  </w:num>
  <w:num w:numId="19">
    <w:abstractNumId w:val="6"/>
  </w:num>
  <w:num w:numId="20">
    <w:abstractNumId w:val="20"/>
  </w:num>
  <w:num w:numId="2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26DF5"/>
    <w:rsid w:val="000313A0"/>
    <w:rsid w:val="0003387D"/>
    <w:rsid w:val="0003405C"/>
    <w:rsid w:val="00034E0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36ED"/>
    <w:rsid w:val="000550B5"/>
    <w:rsid w:val="000553C9"/>
    <w:rsid w:val="00057CE6"/>
    <w:rsid w:val="00057D22"/>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4A46"/>
    <w:rsid w:val="000968E3"/>
    <w:rsid w:val="0009692F"/>
    <w:rsid w:val="00097CC6"/>
    <w:rsid w:val="000A0685"/>
    <w:rsid w:val="000A161E"/>
    <w:rsid w:val="000A29C6"/>
    <w:rsid w:val="000A34F3"/>
    <w:rsid w:val="000A3FBB"/>
    <w:rsid w:val="000A7566"/>
    <w:rsid w:val="000A79E7"/>
    <w:rsid w:val="000B0032"/>
    <w:rsid w:val="000B1E3F"/>
    <w:rsid w:val="000B3CF0"/>
    <w:rsid w:val="000B4301"/>
    <w:rsid w:val="000B5E58"/>
    <w:rsid w:val="000B60B3"/>
    <w:rsid w:val="000B7010"/>
    <w:rsid w:val="000C0062"/>
    <w:rsid w:val="000C0B82"/>
    <w:rsid w:val="000C1554"/>
    <w:rsid w:val="000C1596"/>
    <w:rsid w:val="000C404E"/>
    <w:rsid w:val="000C68C0"/>
    <w:rsid w:val="000C71DD"/>
    <w:rsid w:val="000C7435"/>
    <w:rsid w:val="000C7499"/>
    <w:rsid w:val="000C792D"/>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5906"/>
    <w:rsid w:val="00137B78"/>
    <w:rsid w:val="00141800"/>
    <w:rsid w:val="0014368D"/>
    <w:rsid w:val="0014495F"/>
    <w:rsid w:val="00146CC5"/>
    <w:rsid w:val="00147293"/>
    <w:rsid w:val="0015037D"/>
    <w:rsid w:val="00151AEA"/>
    <w:rsid w:val="00152D22"/>
    <w:rsid w:val="001531ED"/>
    <w:rsid w:val="0015338D"/>
    <w:rsid w:val="00153E10"/>
    <w:rsid w:val="00154011"/>
    <w:rsid w:val="001555F7"/>
    <w:rsid w:val="001578A6"/>
    <w:rsid w:val="00161F7D"/>
    <w:rsid w:val="00162FA3"/>
    <w:rsid w:val="00166BC5"/>
    <w:rsid w:val="00167A4E"/>
    <w:rsid w:val="0017009D"/>
    <w:rsid w:val="00170F78"/>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1512"/>
    <w:rsid w:val="00221781"/>
    <w:rsid w:val="002224AB"/>
    <w:rsid w:val="00223A40"/>
    <w:rsid w:val="00225789"/>
    <w:rsid w:val="0022651C"/>
    <w:rsid w:val="0022703E"/>
    <w:rsid w:val="00227C61"/>
    <w:rsid w:val="0023230A"/>
    <w:rsid w:val="002333B0"/>
    <w:rsid w:val="0023616A"/>
    <w:rsid w:val="002376E3"/>
    <w:rsid w:val="0024022B"/>
    <w:rsid w:val="00240285"/>
    <w:rsid w:val="00244E1A"/>
    <w:rsid w:val="00245EA9"/>
    <w:rsid w:val="00251221"/>
    <w:rsid w:val="00252615"/>
    <w:rsid w:val="00252E0E"/>
    <w:rsid w:val="00253375"/>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774CA"/>
    <w:rsid w:val="00283BC0"/>
    <w:rsid w:val="00292A71"/>
    <w:rsid w:val="00292D0C"/>
    <w:rsid w:val="00292F72"/>
    <w:rsid w:val="00297928"/>
    <w:rsid w:val="0029795E"/>
    <w:rsid w:val="002A06E8"/>
    <w:rsid w:val="002A08BD"/>
    <w:rsid w:val="002A15E5"/>
    <w:rsid w:val="002A2316"/>
    <w:rsid w:val="002A2835"/>
    <w:rsid w:val="002A4A26"/>
    <w:rsid w:val="002A524D"/>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E2FA5"/>
    <w:rsid w:val="002F232E"/>
    <w:rsid w:val="002F2AA1"/>
    <w:rsid w:val="0030086D"/>
    <w:rsid w:val="00302EFF"/>
    <w:rsid w:val="003051E4"/>
    <w:rsid w:val="00307116"/>
    <w:rsid w:val="0030771C"/>
    <w:rsid w:val="00310B76"/>
    <w:rsid w:val="00311077"/>
    <w:rsid w:val="003110A0"/>
    <w:rsid w:val="00312CAE"/>
    <w:rsid w:val="00312EE9"/>
    <w:rsid w:val="00315F89"/>
    <w:rsid w:val="00317B24"/>
    <w:rsid w:val="003222C5"/>
    <w:rsid w:val="003224BE"/>
    <w:rsid w:val="00323491"/>
    <w:rsid w:val="00326354"/>
    <w:rsid w:val="00330055"/>
    <w:rsid w:val="00330074"/>
    <w:rsid w:val="003307E3"/>
    <w:rsid w:val="00331F95"/>
    <w:rsid w:val="00334917"/>
    <w:rsid w:val="00334C68"/>
    <w:rsid w:val="003358DC"/>
    <w:rsid w:val="00336ECB"/>
    <w:rsid w:val="00336ED1"/>
    <w:rsid w:val="00336FD2"/>
    <w:rsid w:val="003370B2"/>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2D48"/>
    <w:rsid w:val="003A30E7"/>
    <w:rsid w:val="003A5916"/>
    <w:rsid w:val="003A6263"/>
    <w:rsid w:val="003A7910"/>
    <w:rsid w:val="003A7CDB"/>
    <w:rsid w:val="003A7D67"/>
    <w:rsid w:val="003B17A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05A8"/>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B68B0"/>
    <w:rsid w:val="004C0281"/>
    <w:rsid w:val="004C1E7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6260"/>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3CC"/>
    <w:rsid w:val="0051768E"/>
    <w:rsid w:val="005176D2"/>
    <w:rsid w:val="00517C80"/>
    <w:rsid w:val="005209B6"/>
    <w:rsid w:val="00520FCE"/>
    <w:rsid w:val="005218C4"/>
    <w:rsid w:val="00521C86"/>
    <w:rsid w:val="00522067"/>
    <w:rsid w:val="00523E3A"/>
    <w:rsid w:val="0052489B"/>
    <w:rsid w:val="005248D7"/>
    <w:rsid w:val="00524C9F"/>
    <w:rsid w:val="005274B6"/>
    <w:rsid w:val="00532CE2"/>
    <w:rsid w:val="00533461"/>
    <w:rsid w:val="00533F51"/>
    <w:rsid w:val="00535313"/>
    <w:rsid w:val="0053611E"/>
    <w:rsid w:val="005374D2"/>
    <w:rsid w:val="00540505"/>
    <w:rsid w:val="005428A3"/>
    <w:rsid w:val="0054341D"/>
    <w:rsid w:val="0054391F"/>
    <w:rsid w:val="005461C3"/>
    <w:rsid w:val="00547719"/>
    <w:rsid w:val="005521A7"/>
    <w:rsid w:val="005538A9"/>
    <w:rsid w:val="00556CF4"/>
    <w:rsid w:val="00557FF9"/>
    <w:rsid w:val="005601BB"/>
    <w:rsid w:val="00562C10"/>
    <w:rsid w:val="00562D0A"/>
    <w:rsid w:val="00562F1E"/>
    <w:rsid w:val="00563174"/>
    <w:rsid w:val="00563E18"/>
    <w:rsid w:val="005643A0"/>
    <w:rsid w:val="005645AC"/>
    <w:rsid w:val="00565BDC"/>
    <w:rsid w:val="00571D03"/>
    <w:rsid w:val="00573228"/>
    <w:rsid w:val="0057347F"/>
    <w:rsid w:val="00574EA9"/>
    <w:rsid w:val="0057580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5FE2"/>
    <w:rsid w:val="005B7ED3"/>
    <w:rsid w:val="005C0913"/>
    <w:rsid w:val="005C3028"/>
    <w:rsid w:val="005C4FA6"/>
    <w:rsid w:val="005C605A"/>
    <w:rsid w:val="005C6D6F"/>
    <w:rsid w:val="005C7C41"/>
    <w:rsid w:val="005D01C1"/>
    <w:rsid w:val="005D0239"/>
    <w:rsid w:val="005D13D2"/>
    <w:rsid w:val="005D1712"/>
    <w:rsid w:val="005D1D98"/>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07C"/>
    <w:rsid w:val="00611675"/>
    <w:rsid w:val="00611AE2"/>
    <w:rsid w:val="00612ADB"/>
    <w:rsid w:val="00613A33"/>
    <w:rsid w:val="00617058"/>
    <w:rsid w:val="0061717D"/>
    <w:rsid w:val="0062032C"/>
    <w:rsid w:val="0062050B"/>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148"/>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9564A"/>
    <w:rsid w:val="006A1366"/>
    <w:rsid w:val="006A1439"/>
    <w:rsid w:val="006A1F0B"/>
    <w:rsid w:val="006A384C"/>
    <w:rsid w:val="006A3A81"/>
    <w:rsid w:val="006A5E2D"/>
    <w:rsid w:val="006B02A6"/>
    <w:rsid w:val="006B0A40"/>
    <w:rsid w:val="006B0E7D"/>
    <w:rsid w:val="006B0F7B"/>
    <w:rsid w:val="006B1CF9"/>
    <w:rsid w:val="006B2DC0"/>
    <w:rsid w:val="006B427D"/>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6F0F"/>
    <w:rsid w:val="006F7DA9"/>
    <w:rsid w:val="007009AC"/>
    <w:rsid w:val="0070133A"/>
    <w:rsid w:val="00702BE7"/>
    <w:rsid w:val="00704012"/>
    <w:rsid w:val="0070648E"/>
    <w:rsid w:val="00707712"/>
    <w:rsid w:val="007101B5"/>
    <w:rsid w:val="00710BD0"/>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330B"/>
    <w:rsid w:val="00764485"/>
    <w:rsid w:val="00764DAF"/>
    <w:rsid w:val="0076616B"/>
    <w:rsid w:val="00766633"/>
    <w:rsid w:val="00766851"/>
    <w:rsid w:val="00766989"/>
    <w:rsid w:val="00766B0E"/>
    <w:rsid w:val="0076724D"/>
    <w:rsid w:val="007673EF"/>
    <w:rsid w:val="00770048"/>
    <w:rsid w:val="0077411F"/>
    <w:rsid w:val="0077647C"/>
    <w:rsid w:val="00776CC1"/>
    <w:rsid w:val="007801DD"/>
    <w:rsid w:val="007837E0"/>
    <w:rsid w:val="00786FBC"/>
    <w:rsid w:val="00787672"/>
    <w:rsid w:val="00787767"/>
    <w:rsid w:val="007909A0"/>
    <w:rsid w:val="00793D99"/>
    <w:rsid w:val="00794F0A"/>
    <w:rsid w:val="00796941"/>
    <w:rsid w:val="00797525"/>
    <w:rsid w:val="0079768B"/>
    <w:rsid w:val="00797D63"/>
    <w:rsid w:val="007A3A84"/>
    <w:rsid w:val="007A3CBC"/>
    <w:rsid w:val="007A5A5F"/>
    <w:rsid w:val="007A5A66"/>
    <w:rsid w:val="007B03C9"/>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E3916"/>
    <w:rsid w:val="007F27EF"/>
    <w:rsid w:val="007F2FF4"/>
    <w:rsid w:val="007F44AE"/>
    <w:rsid w:val="007F458B"/>
    <w:rsid w:val="007F4A70"/>
    <w:rsid w:val="007F4E68"/>
    <w:rsid w:val="007F600B"/>
    <w:rsid w:val="007F74B6"/>
    <w:rsid w:val="00800AFF"/>
    <w:rsid w:val="00801863"/>
    <w:rsid w:val="008031A6"/>
    <w:rsid w:val="008039DD"/>
    <w:rsid w:val="00804C70"/>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B98"/>
    <w:rsid w:val="0085077E"/>
    <w:rsid w:val="00850876"/>
    <w:rsid w:val="00851DE6"/>
    <w:rsid w:val="00852E35"/>
    <w:rsid w:val="00857EC3"/>
    <w:rsid w:val="00860A07"/>
    <w:rsid w:val="00860C54"/>
    <w:rsid w:val="0086169A"/>
    <w:rsid w:val="0086197E"/>
    <w:rsid w:val="00861C36"/>
    <w:rsid w:val="00864F95"/>
    <w:rsid w:val="008650E2"/>
    <w:rsid w:val="00865937"/>
    <w:rsid w:val="00866625"/>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4F6E"/>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2F2"/>
    <w:rsid w:val="008F3A63"/>
    <w:rsid w:val="008F5A23"/>
    <w:rsid w:val="008F7EFC"/>
    <w:rsid w:val="009017D4"/>
    <w:rsid w:val="0090280A"/>
    <w:rsid w:val="00902BB4"/>
    <w:rsid w:val="00903DA7"/>
    <w:rsid w:val="00904955"/>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12DE"/>
    <w:rsid w:val="009448CF"/>
    <w:rsid w:val="00946FCE"/>
    <w:rsid w:val="00951389"/>
    <w:rsid w:val="00952C3A"/>
    <w:rsid w:val="00953D03"/>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B74B9"/>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49F1"/>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15F7"/>
    <w:rsid w:val="00AA3FCF"/>
    <w:rsid w:val="00AA53D2"/>
    <w:rsid w:val="00AA7517"/>
    <w:rsid w:val="00AA7599"/>
    <w:rsid w:val="00AB0644"/>
    <w:rsid w:val="00AB0BA7"/>
    <w:rsid w:val="00AB0C7A"/>
    <w:rsid w:val="00AB1A5A"/>
    <w:rsid w:val="00AB34A2"/>
    <w:rsid w:val="00AB3AB4"/>
    <w:rsid w:val="00AC13C5"/>
    <w:rsid w:val="00AC1B5F"/>
    <w:rsid w:val="00AC21B1"/>
    <w:rsid w:val="00AC2758"/>
    <w:rsid w:val="00AC67F5"/>
    <w:rsid w:val="00AC6E9A"/>
    <w:rsid w:val="00AD00EC"/>
    <w:rsid w:val="00AD0D4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E4955"/>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0B3"/>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1E12"/>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1C8"/>
    <w:rsid w:val="00BD445A"/>
    <w:rsid w:val="00BD4E03"/>
    <w:rsid w:val="00BD54CF"/>
    <w:rsid w:val="00BD573A"/>
    <w:rsid w:val="00BD7547"/>
    <w:rsid w:val="00BE3953"/>
    <w:rsid w:val="00BE675E"/>
    <w:rsid w:val="00BE6D3E"/>
    <w:rsid w:val="00BF1A9B"/>
    <w:rsid w:val="00BF308C"/>
    <w:rsid w:val="00BF336E"/>
    <w:rsid w:val="00BF4C28"/>
    <w:rsid w:val="00BF54C4"/>
    <w:rsid w:val="00BF635F"/>
    <w:rsid w:val="00BF6807"/>
    <w:rsid w:val="00C00FD1"/>
    <w:rsid w:val="00C00FD5"/>
    <w:rsid w:val="00C01B10"/>
    <w:rsid w:val="00C0501C"/>
    <w:rsid w:val="00C056CA"/>
    <w:rsid w:val="00C075ED"/>
    <w:rsid w:val="00C116AD"/>
    <w:rsid w:val="00C12341"/>
    <w:rsid w:val="00C1775B"/>
    <w:rsid w:val="00C20744"/>
    <w:rsid w:val="00C20A61"/>
    <w:rsid w:val="00C230A7"/>
    <w:rsid w:val="00C2361C"/>
    <w:rsid w:val="00C24BBE"/>
    <w:rsid w:val="00C27B91"/>
    <w:rsid w:val="00C30DBE"/>
    <w:rsid w:val="00C34672"/>
    <w:rsid w:val="00C35D8A"/>
    <w:rsid w:val="00C44B38"/>
    <w:rsid w:val="00C46F42"/>
    <w:rsid w:val="00C4708E"/>
    <w:rsid w:val="00C5392A"/>
    <w:rsid w:val="00C54D71"/>
    <w:rsid w:val="00C576A3"/>
    <w:rsid w:val="00C60810"/>
    <w:rsid w:val="00C60B00"/>
    <w:rsid w:val="00C62358"/>
    <w:rsid w:val="00C65845"/>
    <w:rsid w:val="00C6684D"/>
    <w:rsid w:val="00C71AAB"/>
    <w:rsid w:val="00C724F7"/>
    <w:rsid w:val="00C72533"/>
    <w:rsid w:val="00C75132"/>
    <w:rsid w:val="00C75BF5"/>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3E8C"/>
    <w:rsid w:val="00C967EA"/>
    <w:rsid w:val="00C978AA"/>
    <w:rsid w:val="00C9793C"/>
    <w:rsid w:val="00C97E22"/>
    <w:rsid w:val="00CA03D5"/>
    <w:rsid w:val="00CA23B3"/>
    <w:rsid w:val="00CA283A"/>
    <w:rsid w:val="00CA2BAF"/>
    <w:rsid w:val="00CA3FA7"/>
    <w:rsid w:val="00CA504E"/>
    <w:rsid w:val="00CA5359"/>
    <w:rsid w:val="00CA667C"/>
    <w:rsid w:val="00CB35E3"/>
    <w:rsid w:val="00CB3ADF"/>
    <w:rsid w:val="00CB3EFF"/>
    <w:rsid w:val="00CB444E"/>
    <w:rsid w:val="00CB5EF4"/>
    <w:rsid w:val="00CB6950"/>
    <w:rsid w:val="00CB6A2E"/>
    <w:rsid w:val="00CB7049"/>
    <w:rsid w:val="00CB75F0"/>
    <w:rsid w:val="00CC0212"/>
    <w:rsid w:val="00CC0E3A"/>
    <w:rsid w:val="00CC1A66"/>
    <w:rsid w:val="00CC1D2A"/>
    <w:rsid w:val="00CC2C20"/>
    <w:rsid w:val="00CC5641"/>
    <w:rsid w:val="00CC5FA0"/>
    <w:rsid w:val="00CC739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1902"/>
    <w:rsid w:val="00CF25A3"/>
    <w:rsid w:val="00CF3E5F"/>
    <w:rsid w:val="00CF5618"/>
    <w:rsid w:val="00CF6CD6"/>
    <w:rsid w:val="00D00A36"/>
    <w:rsid w:val="00D00E77"/>
    <w:rsid w:val="00D0240A"/>
    <w:rsid w:val="00D02610"/>
    <w:rsid w:val="00D026C4"/>
    <w:rsid w:val="00D05083"/>
    <w:rsid w:val="00D06640"/>
    <w:rsid w:val="00D11332"/>
    <w:rsid w:val="00D12EE2"/>
    <w:rsid w:val="00D13851"/>
    <w:rsid w:val="00D139FB"/>
    <w:rsid w:val="00D14D7F"/>
    <w:rsid w:val="00D15140"/>
    <w:rsid w:val="00D16E63"/>
    <w:rsid w:val="00D17BA6"/>
    <w:rsid w:val="00D21035"/>
    <w:rsid w:val="00D2106B"/>
    <w:rsid w:val="00D2157E"/>
    <w:rsid w:val="00D23753"/>
    <w:rsid w:val="00D23B40"/>
    <w:rsid w:val="00D2420B"/>
    <w:rsid w:val="00D25E85"/>
    <w:rsid w:val="00D2623B"/>
    <w:rsid w:val="00D26EC0"/>
    <w:rsid w:val="00D335DE"/>
    <w:rsid w:val="00D37579"/>
    <w:rsid w:val="00D40791"/>
    <w:rsid w:val="00D42178"/>
    <w:rsid w:val="00D42EFA"/>
    <w:rsid w:val="00D444FC"/>
    <w:rsid w:val="00D46348"/>
    <w:rsid w:val="00D46353"/>
    <w:rsid w:val="00D47133"/>
    <w:rsid w:val="00D4714E"/>
    <w:rsid w:val="00D475E0"/>
    <w:rsid w:val="00D51520"/>
    <w:rsid w:val="00D51879"/>
    <w:rsid w:val="00D542E5"/>
    <w:rsid w:val="00D5731C"/>
    <w:rsid w:val="00D57621"/>
    <w:rsid w:val="00D61351"/>
    <w:rsid w:val="00D61B74"/>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9E2"/>
    <w:rsid w:val="00DC5FEA"/>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072A6"/>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146"/>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67D5E"/>
    <w:rsid w:val="00E71B6A"/>
    <w:rsid w:val="00E71C50"/>
    <w:rsid w:val="00E722C7"/>
    <w:rsid w:val="00E734CC"/>
    <w:rsid w:val="00E74E04"/>
    <w:rsid w:val="00E74F42"/>
    <w:rsid w:val="00E77E7E"/>
    <w:rsid w:val="00E81AD2"/>
    <w:rsid w:val="00E824A6"/>
    <w:rsid w:val="00E828F4"/>
    <w:rsid w:val="00E82B48"/>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3F1"/>
    <w:rsid w:val="00EB6CEA"/>
    <w:rsid w:val="00EB7889"/>
    <w:rsid w:val="00EC1DB2"/>
    <w:rsid w:val="00EC2A53"/>
    <w:rsid w:val="00EC3710"/>
    <w:rsid w:val="00EC680B"/>
    <w:rsid w:val="00EC70D0"/>
    <w:rsid w:val="00EC744C"/>
    <w:rsid w:val="00ED16CC"/>
    <w:rsid w:val="00ED183B"/>
    <w:rsid w:val="00ED3829"/>
    <w:rsid w:val="00ED3FA0"/>
    <w:rsid w:val="00ED43FE"/>
    <w:rsid w:val="00ED4CE7"/>
    <w:rsid w:val="00ED5499"/>
    <w:rsid w:val="00ED5A64"/>
    <w:rsid w:val="00ED5FD9"/>
    <w:rsid w:val="00ED7A04"/>
    <w:rsid w:val="00ED7DD4"/>
    <w:rsid w:val="00EE209F"/>
    <w:rsid w:val="00EE24D0"/>
    <w:rsid w:val="00EE2640"/>
    <w:rsid w:val="00EE3B66"/>
    <w:rsid w:val="00EE3C72"/>
    <w:rsid w:val="00EE5229"/>
    <w:rsid w:val="00EE5C13"/>
    <w:rsid w:val="00EF0239"/>
    <w:rsid w:val="00EF17EA"/>
    <w:rsid w:val="00EF1C96"/>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3D77"/>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19C"/>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1FDD"/>
    <w:rsid w:val="00FC265B"/>
    <w:rsid w:val="00FC3B25"/>
    <w:rsid w:val="00FC5D75"/>
    <w:rsid w:val="00FC685B"/>
    <w:rsid w:val="00FC6FE7"/>
    <w:rsid w:val="00FD05F1"/>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E7B4E-653A-48FC-9384-A34F5D39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 w:val="24"/>
      <w:szCs w:val="22"/>
      <w:lang w:val="en-US"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line="240" w:lineRule="auto"/>
    </w:pPr>
    <w:rPr>
      <w:rFonts w:eastAsia="Times New Roman"/>
      <w:b/>
      <w:i/>
      <w:kern w:val="2"/>
      <w:lang w:val="en-US" w:eastAsia="zh-CN"/>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paragraph" w:customStyle="1" w:styleId="Proposal">
    <w:name w:val="Proposal"/>
    <w:basedOn w:val="a7"/>
    <w:qFormat/>
    <w:rsid w:val="0077411F"/>
    <w:pPr>
      <w:numPr>
        <w:numId w:val="6"/>
      </w:numPr>
      <w:tabs>
        <w:tab w:val="clear" w:pos="6549"/>
        <w:tab w:val="num" w:pos="1304"/>
        <w:tab w:val="left" w:pos="1701"/>
      </w:tabs>
      <w:ind w:left="1304"/>
      <w:jc w:val="both"/>
    </w:pPr>
    <w:rPr>
      <w:rFonts w:ascii="Arial" w:eastAsia="宋体" w:hAnsi="Arial"/>
      <w:b/>
      <w:bCs/>
      <w:lang w:eastAsia="zh-CN"/>
    </w:rPr>
  </w:style>
  <w:style w:type="table" w:customStyle="1" w:styleId="53">
    <w:name w:val="网格型5"/>
    <w:basedOn w:val="a1"/>
    <w:next w:val="af"/>
    <w:uiPriority w:val="39"/>
    <w:qFormat/>
    <w:rsid w:val="007741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F53D77"/>
    <w:pPr>
      <w:spacing w:before="100" w:beforeAutospacing="1" w:after="100" w:afterAutospacing="1" w:line="240" w:lineRule="auto"/>
      <w:jc w:val="left"/>
    </w:pPr>
    <w:rPr>
      <w:rFonts w:eastAsia="Times New Roman"/>
      <w:sz w:val="24"/>
      <w:szCs w:val="24"/>
      <w:lang w:val="en-US" w:eastAsia="zh-CN"/>
    </w:rPr>
  </w:style>
  <w:style w:type="character" w:styleId="af8">
    <w:name w:val="Strong"/>
    <w:basedOn w:val="a0"/>
    <w:uiPriority w:val="22"/>
    <w:qFormat/>
    <w:rsid w:val="00F53D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140386805">
      <w:bodyDiv w:val="1"/>
      <w:marLeft w:val="0"/>
      <w:marRight w:val="0"/>
      <w:marTop w:val="0"/>
      <w:marBottom w:val="0"/>
      <w:divBdr>
        <w:top w:val="none" w:sz="0" w:space="0" w:color="auto"/>
        <w:left w:val="none" w:sz="0" w:space="0" w:color="auto"/>
        <w:bottom w:val="none" w:sz="0" w:space="0" w:color="auto"/>
        <w:right w:val="none" w:sz="0" w:space="0" w:color="auto"/>
      </w:divBdr>
    </w:div>
    <w:div w:id="166597554">
      <w:bodyDiv w:val="1"/>
      <w:marLeft w:val="0"/>
      <w:marRight w:val="0"/>
      <w:marTop w:val="0"/>
      <w:marBottom w:val="0"/>
      <w:divBdr>
        <w:top w:val="none" w:sz="0" w:space="0" w:color="auto"/>
        <w:left w:val="none" w:sz="0" w:space="0" w:color="auto"/>
        <w:bottom w:val="none" w:sz="0" w:space="0" w:color="auto"/>
        <w:right w:val="none" w:sz="0" w:space="0" w:color="auto"/>
      </w:divBdr>
    </w:div>
    <w:div w:id="348337209">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006008766">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67023213">
      <w:bodyDiv w:val="1"/>
      <w:marLeft w:val="0"/>
      <w:marRight w:val="0"/>
      <w:marTop w:val="0"/>
      <w:marBottom w:val="0"/>
      <w:divBdr>
        <w:top w:val="none" w:sz="0" w:space="0" w:color="auto"/>
        <w:left w:val="none" w:sz="0" w:space="0" w:color="auto"/>
        <w:bottom w:val="none" w:sz="0" w:space="0" w:color="auto"/>
        <w:right w:val="none" w:sz="0" w:space="0" w:color="auto"/>
      </w:divBdr>
      <w:divsChild>
        <w:div w:id="987130199">
          <w:marLeft w:val="0"/>
          <w:marRight w:val="0"/>
          <w:marTop w:val="0"/>
          <w:marBottom w:val="0"/>
          <w:divBdr>
            <w:top w:val="none" w:sz="0" w:space="0" w:color="auto"/>
            <w:left w:val="none" w:sz="0" w:space="0" w:color="auto"/>
            <w:bottom w:val="none" w:sz="0" w:space="0" w:color="auto"/>
            <w:right w:val="none" w:sz="0" w:space="0" w:color="auto"/>
          </w:divBdr>
        </w:div>
        <w:div w:id="1385565293">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AE7B02-8912-4E70-9150-AEA04FE3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1034</Words>
  <Characters>5899</Characters>
  <Application>Microsoft Office Word</Application>
  <DocSecurity>0</DocSecurity>
  <Lines>49</Lines>
  <Paragraphs>13</Paragraphs>
  <ScaleCrop>false</ScaleCrop>
  <Company>ZTE</Company>
  <LinksUpToDate>false</LinksUpToDate>
  <CharactersWithSpaces>6920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8</cp:revision>
  <dcterms:created xsi:type="dcterms:W3CDTF">2025-09-30T06:37:00Z</dcterms:created>
  <dcterms:modified xsi:type="dcterms:W3CDTF">2025-10-03T07:43:00Z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