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25E9" w14:textId="08DE2527" w:rsidR="00133ED4" w:rsidRDefault="00FB11EF">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#1</w:t>
      </w:r>
      <w:r w:rsidR="00FA4A9F">
        <w:rPr>
          <w:b/>
          <w:sz w:val="24"/>
        </w:rPr>
        <w:t>23</w:t>
      </w:r>
      <w:r>
        <w:rPr>
          <w:b/>
          <w:sz w:val="24"/>
        </w:rPr>
        <w:t xml:space="preserve">                                                                     R1-</w:t>
      </w:r>
      <w:r>
        <w:rPr>
          <w:rFonts w:ascii="Helvetica Neue" w:eastAsia="Times New Roman" w:hAnsi="Helvetica Neue"/>
          <w:b/>
          <w:bCs/>
          <w:color w:val="000000"/>
          <w:sz w:val="18"/>
          <w:szCs w:val="18"/>
          <w:lang w:val="en-US" w:eastAsia="zh-CN"/>
        </w:rPr>
        <w:t xml:space="preserve"> </w:t>
      </w:r>
      <w:r w:rsidR="003D21DA" w:rsidRPr="003D21DA">
        <w:rPr>
          <w:b/>
          <w:bCs/>
          <w:sz w:val="24"/>
          <w:lang w:val="en-US"/>
        </w:rPr>
        <w:t>2</w:t>
      </w:r>
      <w:r w:rsidR="00FA4A9F">
        <w:rPr>
          <w:b/>
          <w:bCs/>
          <w:sz w:val="24"/>
          <w:lang w:val="en-US"/>
        </w:rPr>
        <w:t>50xxxx</w:t>
      </w:r>
      <w:r>
        <w:rPr>
          <w:b/>
          <w:i/>
          <w:sz w:val="28"/>
        </w:rPr>
        <w:tab/>
      </w:r>
    </w:p>
    <w:p w14:paraId="519815DD" w14:textId="5A0621AA" w:rsidR="00133ED4" w:rsidRDefault="00FA4A9F">
      <w:pPr>
        <w:tabs>
          <w:tab w:val="center" w:pos="4536"/>
          <w:tab w:val="right" w:pos="9072"/>
        </w:tabs>
        <w:rPr>
          <w:rFonts w:ascii="Arial" w:eastAsia="MS Mincho" w:hAnsi="Arial" w:cs="Arial"/>
          <w:b/>
          <w:bCs/>
          <w:szCs w:val="22"/>
          <w:lang w:val="en-GB"/>
        </w:rPr>
      </w:pPr>
      <w:r>
        <w:rPr>
          <w:rFonts w:ascii="Arial" w:eastAsia="MS Mincho" w:hAnsi="Arial" w:cs="Arial"/>
          <w:b/>
          <w:bCs/>
          <w:szCs w:val="22"/>
          <w:lang w:val="en-GB"/>
        </w:rPr>
        <w:t>Dallas</w:t>
      </w:r>
      <w:r w:rsidR="00FB11EF">
        <w:rPr>
          <w:rFonts w:ascii="Arial" w:eastAsia="MS Mincho" w:hAnsi="Arial" w:cs="Arial"/>
          <w:b/>
          <w:bCs/>
          <w:szCs w:val="22"/>
          <w:lang w:val="en-GB"/>
        </w:rPr>
        <w:t xml:space="preserve">, </w:t>
      </w:r>
      <w:r>
        <w:rPr>
          <w:rFonts w:ascii="Arial" w:eastAsia="MS Mincho" w:hAnsi="Arial" w:cs="Arial"/>
          <w:b/>
          <w:bCs/>
          <w:szCs w:val="22"/>
          <w:lang w:val="en-GB"/>
        </w:rPr>
        <w:t>USA</w:t>
      </w:r>
      <w:r w:rsidR="00FB11EF">
        <w:rPr>
          <w:rFonts w:ascii="Arial" w:eastAsia="MS Mincho" w:hAnsi="Arial" w:cs="Arial"/>
          <w:b/>
          <w:bCs/>
          <w:szCs w:val="22"/>
          <w:lang w:val="en-GB"/>
        </w:rPr>
        <w:t xml:space="preserve">, </w:t>
      </w:r>
      <w:r>
        <w:rPr>
          <w:rFonts w:ascii="Arial" w:eastAsia="MS Mincho" w:hAnsi="Arial" w:cs="Arial"/>
          <w:b/>
          <w:bCs/>
          <w:szCs w:val="22"/>
          <w:lang w:val="en-GB"/>
        </w:rPr>
        <w:t>November</w:t>
      </w:r>
      <w:r w:rsidR="00FB11EF">
        <w:rPr>
          <w:rFonts w:ascii="Arial" w:eastAsia="MS Mincho" w:hAnsi="Arial" w:cs="Arial"/>
          <w:b/>
          <w:bCs/>
          <w:szCs w:val="22"/>
          <w:lang w:val="en-GB"/>
        </w:rPr>
        <w:t xml:space="preserve"> 1</w:t>
      </w:r>
      <w:r>
        <w:rPr>
          <w:rFonts w:ascii="Arial" w:eastAsia="MS Mincho" w:hAnsi="Arial" w:cs="Arial"/>
          <w:b/>
          <w:bCs/>
          <w:szCs w:val="22"/>
          <w:lang w:val="en-GB"/>
        </w:rPr>
        <w:t>7</w:t>
      </w:r>
      <w:r w:rsidR="00FB11EF">
        <w:rPr>
          <w:rFonts w:ascii="Arial" w:eastAsia="MS Mincho" w:hAnsi="Arial" w:cs="Arial"/>
          <w:b/>
          <w:bCs/>
          <w:szCs w:val="22"/>
          <w:vertAlign w:val="superscript"/>
          <w:lang w:val="en-GB"/>
        </w:rPr>
        <w:t>th</w:t>
      </w:r>
      <w:r w:rsidR="00FB11EF">
        <w:rPr>
          <w:rFonts w:ascii="Arial" w:eastAsia="MS Mincho" w:hAnsi="Arial" w:cs="Arial"/>
          <w:b/>
          <w:bCs/>
          <w:szCs w:val="22"/>
          <w:lang w:val="en-GB"/>
        </w:rPr>
        <w:t xml:space="preserve"> – 2</w:t>
      </w:r>
      <w:r>
        <w:rPr>
          <w:rFonts w:ascii="Arial" w:eastAsia="MS Mincho" w:hAnsi="Arial" w:cs="Arial"/>
          <w:b/>
          <w:bCs/>
          <w:szCs w:val="22"/>
          <w:lang w:val="en-GB"/>
        </w:rPr>
        <w:t>1</w:t>
      </w:r>
      <w:r w:rsidRPr="00FA4A9F">
        <w:rPr>
          <w:rFonts w:ascii="Arial" w:eastAsia="MS Mincho" w:hAnsi="Arial" w:cs="Arial"/>
          <w:b/>
          <w:bCs/>
          <w:szCs w:val="22"/>
          <w:vertAlign w:val="superscript"/>
          <w:lang w:val="en-GB"/>
        </w:rPr>
        <w:t>st</w:t>
      </w:r>
      <w:r w:rsidR="00FB11EF">
        <w:rPr>
          <w:rFonts w:ascii="Arial" w:eastAsia="MS Mincho" w:hAnsi="Arial" w:cs="Arial"/>
          <w:b/>
          <w:bCs/>
          <w:szCs w:val="22"/>
          <w:lang w:val="en-GB"/>
        </w:rPr>
        <w:t>, 202</w:t>
      </w:r>
      <w:r>
        <w:rPr>
          <w:rFonts w:ascii="Arial" w:eastAsia="MS Mincho" w:hAnsi="Arial" w:cs="Arial"/>
          <w:b/>
          <w:bCs/>
          <w:szCs w:val="22"/>
          <w:lang w:val="en-GB"/>
        </w:rPr>
        <w:t>5</w:t>
      </w:r>
    </w:p>
    <w:p w14:paraId="528B9E4B" w14:textId="77777777" w:rsidR="00133ED4" w:rsidRDefault="00133ED4">
      <w:pPr>
        <w:tabs>
          <w:tab w:val="center" w:pos="4536"/>
          <w:tab w:val="right" w:pos="9072"/>
        </w:tabs>
        <w:rPr>
          <w:rFonts w:ascii="Arial" w:eastAsia="MS Mincho" w:hAnsi="Arial" w:cs="Arial"/>
          <w:b/>
          <w:bCs/>
          <w:lang w:eastAsia="ja-JP"/>
        </w:rPr>
      </w:pPr>
    </w:p>
    <w:p w14:paraId="5144895F" w14:textId="77777777" w:rsidR="00133ED4" w:rsidRDefault="00FB11EF">
      <w:pPr>
        <w:pStyle w:val="3GPPHeader"/>
        <w:rPr>
          <w:sz w:val="22"/>
          <w:szCs w:val="22"/>
        </w:rPr>
      </w:pPr>
      <w:r>
        <w:rPr>
          <w:sz w:val="22"/>
          <w:szCs w:val="22"/>
        </w:rPr>
        <w:t>Agenda Item:</w:t>
      </w:r>
      <w:r>
        <w:rPr>
          <w:sz w:val="22"/>
          <w:szCs w:val="22"/>
        </w:rPr>
        <w:tab/>
        <w:t>7</w:t>
      </w:r>
    </w:p>
    <w:p w14:paraId="4D56F174" w14:textId="77777777" w:rsidR="00133ED4" w:rsidRDefault="00FB11EF">
      <w:pPr>
        <w:pStyle w:val="3GPPHeader"/>
        <w:rPr>
          <w:sz w:val="22"/>
          <w:szCs w:val="22"/>
        </w:rPr>
      </w:pPr>
      <w:r>
        <w:rPr>
          <w:sz w:val="22"/>
          <w:szCs w:val="22"/>
        </w:rPr>
        <w:t>Source:</w:t>
      </w:r>
      <w:r>
        <w:rPr>
          <w:sz w:val="22"/>
          <w:szCs w:val="22"/>
        </w:rPr>
        <w:tab/>
        <w:t>Moderator (Apple Inc.)</w:t>
      </w:r>
    </w:p>
    <w:p w14:paraId="1B79D738" w14:textId="684CB0F2" w:rsidR="00133ED4" w:rsidRDefault="00FB11EF">
      <w:pPr>
        <w:pStyle w:val="3GPPHeader"/>
        <w:rPr>
          <w:sz w:val="22"/>
          <w:szCs w:val="22"/>
        </w:rPr>
      </w:pPr>
      <w:r>
        <w:rPr>
          <w:sz w:val="22"/>
          <w:szCs w:val="22"/>
        </w:rPr>
        <w:t>Title:</w:t>
      </w:r>
      <w:r>
        <w:rPr>
          <w:sz w:val="22"/>
          <w:szCs w:val="22"/>
        </w:rPr>
        <w:tab/>
      </w:r>
      <w:r w:rsidR="00FA4A9F" w:rsidRPr="00FA4A9F">
        <w:rPr>
          <w:sz w:val="22"/>
          <w:szCs w:val="22"/>
        </w:rPr>
        <w:t xml:space="preserve">Summary on CR for </w:t>
      </w:r>
      <w:r w:rsidR="00FA4A9F">
        <w:rPr>
          <w:sz w:val="22"/>
          <w:szCs w:val="22"/>
        </w:rPr>
        <w:t xml:space="preserve">uplink </w:t>
      </w:r>
      <w:r w:rsidR="00FA4A9F" w:rsidRPr="00FA4A9F">
        <w:rPr>
          <w:sz w:val="22"/>
          <w:szCs w:val="22"/>
        </w:rPr>
        <w:t xml:space="preserve">Tx switching with </w:t>
      </w:r>
      <w:proofErr w:type="spellStart"/>
      <w:r w:rsidR="00FA4A9F" w:rsidRPr="00FA4A9F">
        <w:rPr>
          <w:sz w:val="22"/>
          <w:szCs w:val="22"/>
        </w:rPr>
        <w:t>dualUL</w:t>
      </w:r>
      <w:proofErr w:type="spellEnd"/>
    </w:p>
    <w:p w14:paraId="2C423E49" w14:textId="77777777" w:rsidR="00133ED4" w:rsidRDefault="00FB11EF">
      <w:pPr>
        <w:pStyle w:val="3GPPHeader"/>
        <w:rPr>
          <w:sz w:val="22"/>
          <w:szCs w:val="22"/>
        </w:rPr>
      </w:pPr>
      <w:r>
        <w:rPr>
          <w:sz w:val="22"/>
          <w:szCs w:val="22"/>
        </w:rPr>
        <w:t>Document for:</w:t>
      </w:r>
      <w:r>
        <w:rPr>
          <w:sz w:val="22"/>
          <w:szCs w:val="22"/>
        </w:rPr>
        <w:tab/>
        <w:t>Discussion/Decision</w:t>
      </w:r>
    </w:p>
    <w:p w14:paraId="045C402E" w14:textId="77777777" w:rsidR="00133ED4" w:rsidRDefault="00FB11EF">
      <w:pPr>
        <w:pStyle w:val="1"/>
      </w:pPr>
      <w:r>
        <w:t>Introduction</w:t>
      </w:r>
    </w:p>
    <w:p w14:paraId="6216C707" w14:textId="047ABA33" w:rsidR="00133ED4" w:rsidRDefault="00FB11EF">
      <w:pPr>
        <w:jc w:val="both"/>
        <w:rPr>
          <w:sz w:val="20"/>
          <w:szCs w:val="20"/>
          <w:lang w:val="en-GB"/>
        </w:rPr>
      </w:pPr>
      <w:r>
        <w:rPr>
          <w:sz w:val="20"/>
          <w:szCs w:val="20"/>
          <w:lang w:val="en-GB"/>
        </w:rPr>
        <w:t>In R1-</w:t>
      </w:r>
      <w:r w:rsidR="00A11D0A" w:rsidRPr="00A11D0A">
        <w:rPr>
          <w:sz w:val="20"/>
          <w:szCs w:val="20"/>
          <w:lang w:val="en-GB"/>
        </w:rPr>
        <w:t>2509080</w:t>
      </w:r>
      <w:r>
        <w:rPr>
          <w:sz w:val="20"/>
          <w:szCs w:val="20"/>
          <w:lang w:val="en-GB"/>
        </w:rPr>
        <w:t xml:space="preserve">, an issue regarding timeline to </w:t>
      </w:r>
      <w:r w:rsidR="00A11D0A">
        <w:rPr>
          <w:sz w:val="20"/>
          <w:szCs w:val="20"/>
          <w:lang w:val="en-GB"/>
        </w:rPr>
        <w:t>fully utilize both available Tx chains at UE, before DCI triggering uplink Tx switching is detected, is discussed</w:t>
      </w:r>
      <w:r>
        <w:rPr>
          <w:sz w:val="20"/>
          <w:szCs w:val="20"/>
          <w:lang w:val="en-GB"/>
        </w:rPr>
        <w:t xml:space="preserve">. In current specification, </w:t>
      </w:r>
      <w:r w:rsidR="00A11D0A">
        <w:rPr>
          <w:sz w:val="20"/>
          <w:szCs w:val="20"/>
          <w:lang w:val="en-GB"/>
        </w:rPr>
        <w:t>the timeline between triggering DCI and 1-port uplink transmission on a carrier for which uplink switching is not triggered, is not specified</w:t>
      </w:r>
      <w:r>
        <w:rPr>
          <w:sz w:val="20"/>
          <w:szCs w:val="20"/>
          <w:lang w:val="en-GB"/>
        </w:rPr>
        <w:t xml:space="preserve">. </w:t>
      </w:r>
      <w:r w:rsidR="00A11D0A">
        <w:rPr>
          <w:sz w:val="20"/>
          <w:szCs w:val="20"/>
          <w:lang w:val="en-GB"/>
        </w:rPr>
        <w:t>When current switching state allows both Tx chains available on that carrier (e.g. 0T+2T), UE should be able to utilize all Tx chains for 1-port transmission.</w:t>
      </w:r>
      <w:r>
        <w:rPr>
          <w:sz w:val="20"/>
          <w:szCs w:val="20"/>
          <w:lang w:val="en-GB"/>
        </w:rPr>
        <w:t xml:space="preserve"> </w:t>
      </w:r>
    </w:p>
    <w:p w14:paraId="1EDE38BA" w14:textId="77777777" w:rsidR="00133ED4" w:rsidRDefault="00133ED4">
      <w:pPr>
        <w:jc w:val="both"/>
        <w:rPr>
          <w:sz w:val="20"/>
          <w:szCs w:val="20"/>
        </w:rPr>
      </w:pPr>
    </w:p>
    <w:p w14:paraId="4E330199" w14:textId="77777777" w:rsidR="00133ED4" w:rsidRDefault="00FB11EF">
      <w:pPr>
        <w:pStyle w:val="1"/>
      </w:pPr>
      <w:r>
        <w:t xml:space="preserve">Problem statement  </w:t>
      </w:r>
    </w:p>
    <w:p w14:paraId="148DA402" w14:textId="77777777" w:rsidR="00A11D0A" w:rsidRDefault="00A11D0A" w:rsidP="00A11D0A">
      <w:pPr>
        <w:jc w:val="both"/>
        <w:rPr>
          <w:sz w:val="20"/>
          <w:szCs w:val="20"/>
        </w:rPr>
      </w:pPr>
      <w:r>
        <w:rPr>
          <w:sz w:val="20"/>
          <w:szCs w:val="20"/>
          <w:lang w:val="en-GB"/>
        </w:rPr>
        <w:t xml:space="preserve">In current specification, </w:t>
      </w:r>
      <w:r>
        <w:rPr>
          <w:sz w:val="20"/>
          <w:szCs w:val="20"/>
        </w:rPr>
        <w:t>i</w:t>
      </w:r>
      <w:r w:rsidRPr="006E0ECB">
        <w:rPr>
          <w:sz w:val="20"/>
          <w:szCs w:val="20"/>
        </w:rPr>
        <w:t xml:space="preserve">f an uplink switching is triggered for an uplink transmission starting at </w:t>
      </w:r>
      <w:r w:rsidRPr="006E0ECB">
        <w:rPr>
          <w:i/>
          <w:iCs/>
          <w:sz w:val="20"/>
          <w:szCs w:val="20"/>
        </w:rPr>
        <w:t>T</w:t>
      </w:r>
      <w:r w:rsidRPr="006E0ECB">
        <w:rPr>
          <w:i/>
          <w:iCs/>
          <w:sz w:val="20"/>
          <w:szCs w:val="20"/>
          <w:vertAlign w:val="subscript"/>
        </w:rPr>
        <w:t>0</w:t>
      </w:r>
      <w:r>
        <w:rPr>
          <w:sz w:val="20"/>
          <w:szCs w:val="20"/>
        </w:rPr>
        <w:t xml:space="preserve">, </w:t>
      </w:r>
      <w:r w:rsidRPr="006E0ECB">
        <w:rPr>
          <w:sz w:val="20"/>
          <w:szCs w:val="20"/>
        </w:rPr>
        <w:t>the UE is not expected to cancel the uplink switching</w:t>
      </w:r>
      <w:r>
        <w:rPr>
          <w:sz w:val="20"/>
          <w:szCs w:val="20"/>
        </w:rPr>
        <w:t xml:space="preserve"> </w:t>
      </w:r>
      <w:r w:rsidRPr="006E0ECB">
        <w:rPr>
          <w:sz w:val="20"/>
          <w:szCs w:val="20"/>
        </w:rPr>
        <w:t>after</w:t>
      </w:r>
      <w:r>
        <w:rPr>
          <w:sz w:val="20"/>
          <w:szCs w:val="20"/>
        </w:rPr>
        <w:t xml:space="preserve"> </w:t>
      </w:r>
      <w:r w:rsidRPr="006E0ECB">
        <w:rPr>
          <w:i/>
          <w:iCs/>
          <w:sz w:val="20"/>
          <w:szCs w:val="20"/>
        </w:rPr>
        <w:t>T</w:t>
      </w:r>
      <w:r w:rsidRPr="006E0ECB">
        <w:rPr>
          <w:i/>
          <w:iCs/>
          <w:sz w:val="20"/>
          <w:szCs w:val="20"/>
          <w:vertAlign w:val="subscript"/>
        </w:rPr>
        <w:t>0</w:t>
      </w:r>
      <w:r>
        <w:rPr>
          <w:sz w:val="20"/>
          <w:szCs w:val="20"/>
        </w:rPr>
        <w:t>-</w:t>
      </w:r>
      <w:r w:rsidRPr="006E0ECB">
        <w:rPr>
          <w:i/>
          <w:iCs/>
          <w:sz w:val="20"/>
          <w:szCs w:val="20"/>
        </w:rPr>
        <w:t>T</w:t>
      </w:r>
      <w:r w:rsidRPr="006E0ECB">
        <w:rPr>
          <w:i/>
          <w:iCs/>
          <w:sz w:val="20"/>
          <w:szCs w:val="20"/>
          <w:vertAlign w:val="subscript"/>
        </w:rPr>
        <w:t>offset</w:t>
      </w:r>
      <w:r>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w:t>
      </w:r>
      <w:r>
        <w:rPr>
          <w:sz w:val="20"/>
          <w:szCs w:val="20"/>
        </w:rPr>
        <w:t>. More precisely, the following text is captured in 38.214, 6.1.6.</w:t>
      </w:r>
    </w:p>
    <w:p w14:paraId="18D9934E" w14:textId="77777777" w:rsidR="00A11D0A" w:rsidRDefault="00A11D0A" w:rsidP="00A11D0A">
      <w:pPr>
        <w:jc w:val="both"/>
        <w:rPr>
          <w:sz w:val="20"/>
          <w:szCs w:val="20"/>
        </w:rPr>
      </w:pPr>
    </w:p>
    <w:tbl>
      <w:tblPr>
        <w:tblStyle w:val="ac"/>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2073A029" w14:textId="77777777" w:rsidTr="00B80752">
        <w:tc>
          <w:tcPr>
            <w:tcW w:w="9288" w:type="dxa"/>
          </w:tcPr>
          <w:p w14:paraId="6DF4E21D" w14:textId="77777777" w:rsidR="00A11D0A" w:rsidRPr="00BC36B8" w:rsidRDefault="00A11D0A" w:rsidP="00B80752">
            <w:pPr>
              <w:keepNext/>
              <w:spacing w:before="120"/>
              <w:outlineLvl w:val="3"/>
              <w:rPr>
                <w:rFonts w:ascii="Arial" w:eastAsia="Arial" w:hAnsi="Arial"/>
                <w:color w:val="000000"/>
                <w:sz w:val="20"/>
                <w:szCs w:val="20"/>
              </w:rPr>
            </w:pPr>
            <w:bookmarkStart w:id="0" w:name="_Toc29673222"/>
            <w:bookmarkStart w:id="1" w:name="_Toc29673363"/>
            <w:bookmarkStart w:id="2" w:name="_Toc27299948"/>
            <w:bookmarkStart w:id="3" w:name="_Toc45810635"/>
            <w:bookmarkStart w:id="4" w:name="_Toc29674356"/>
            <w:bookmarkStart w:id="5" w:name="_Toc11352160"/>
            <w:bookmarkStart w:id="6" w:name="_Toc36645586"/>
            <w:bookmarkStart w:id="7" w:name="_Toc20318050"/>
            <w:r w:rsidRPr="00BC36B8">
              <w:rPr>
                <w:rFonts w:ascii="Arial" w:eastAsia="Arial" w:hAnsi="Arial"/>
                <w:color w:val="000000"/>
                <w:sz w:val="20"/>
                <w:szCs w:val="20"/>
              </w:rPr>
              <w:t>6.1.</w:t>
            </w:r>
            <w:r>
              <w:rPr>
                <w:rFonts w:ascii="Arial" w:eastAsia="Arial" w:hAnsi="Arial"/>
                <w:color w:val="000000"/>
                <w:sz w:val="20"/>
                <w:szCs w:val="20"/>
              </w:rPr>
              <w:t>6</w:t>
            </w:r>
            <w:r w:rsidRPr="00BC36B8">
              <w:rPr>
                <w:rFonts w:ascii="Arial" w:eastAsia="Arial" w:hAnsi="Arial"/>
                <w:color w:val="000000"/>
                <w:sz w:val="20"/>
                <w:szCs w:val="20"/>
              </w:rPr>
              <w:tab/>
            </w:r>
            <w:bookmarkEnd w:id="0"/>
            <w:bookmarkEnd w:id="1"/>
            <w:bookmarkEnd w:id="2"/>
            <w:bookmarkEnd w:id="3"/>
            <w:bookmarkEnd w:id="4"/>
            <w:bookmarkEnd w:id="5"/>
            <w:bookmarkEnd w:id="6"/>
            <w:bookmarkEnd w:id="7"/>
            <w:r>
              <w:rPr>
                <w:rFonts w:ascii="Arial" w:eastAsia="Arial" w:hAnsi="Arial"/>
                <w:color w:val="000000"/>
                <w:sz w:val="20"/>
                <w:szCs w:val="20"/>
              </w:rPr>
              <w:t>Uplink switching</w:t>
            </w:r>
          </w:p>
          <w:p w14:paraId="66935703" w14:textId="77777777" w:rsidR="00A11D0A" w:rsidRPr="00BC36B8" w:rsidRDefault="00A11D0A" w:rsidP="00B80752">
            <w:pPr>
              <w:jc w:val="both"/>
              <w:rPr>
                <w:rFonts w:eastAsia="宋体"/>
                <w:sz w:val="20"/>
                <w:szCs w:val="20"/>
              </w:rPr>
            </w:pPr>
            <w:r w:rsidRPr="00BC36B8">
              <w:rPr>
                <w:rFonts w:eastAsia="宋体"/>
                <w:sz w:val="20"/>
                <w:szCs w:val="20"/>
              </w:rPr>
              <w:t>…</w:t>
            </w:r>
            <w:r w:rsidRPr="00BC36B8">
              <w:rPr>
                <w:rFonts w:eastAsia="宋体" w:hint="eastAsia"/>
                <w:sz w:val="20"/>
                <w:szCs w:val="20"/>
              </w:rPr>
              <w:t>.</w:t>
            </w:r>
          </w:p>
          <w:p w14:paraId="3D7DFE42" w14:textId="77777777" w:rsidR="00A11D0A" w:rsidRPr="006E0ECB" w:rsidRDefault="00A11D0A" w:rsidP="00B80752">
            <w:pPr>
              <w:rPr>
                <w:sz w:val="20"/>
                <w:szCs w:val="20"/>
              </w:rPr>
            </w:pPr>
            <w:r w:rsidRPr="006E0ECB">
              <w:rPr>
                <w:sz w:val="20"/>
                <w:szCs w:val="20"/>
              </w:rPr>
              <w:t xml:space="preserve">If an </w:t>
            </w:r>
            <w:r w:rsidRPr="007265CB">
              <w:rPr>
                <w:color w:val="EE0000"/>
                <w:sz w:val="20"/>
                <w:szCs w:val="20"/>
              </w:rPr>
              <w:t xml:space="preserve">uplink switching is triggered for an uplink transmission starting at </w:t>
            </w:r>
            <w:r w:rsidRPr="007265CB">
              <w:rPr>
                <w:i/>
                <w:color w:val="EE0000"/>
                <w:sz w:val="20"/>
                <w:szCs w:val="20"/>
              </w:rPr>
              <w:t>T</w:t>
            </w:r>
            <w:r w:rsidRPr="007265CB">
              <w:rPr>
                <w:i/>
                <w:color w:val="EE0000"/>
                <w:sz w:val="20"/>
                <w:szCs w:val="20"/>
                <w:vertAlign w:val="subscript"/>
              </w:rPr>
              <w:t>0</w:t>
            </w:r>
            <w:r w:rsidRPr="007265CB">
              <w:rPr>
                <w:color w:val="EE0000"/>
                <w:sz w:val="20"/>
                <w:szCs w:val="20"/>
              </w:rPr>
              <w:t>,</w:t>
            </w:r>
            <w:r w:rsidRPr="006E0ECB">
              <w:rPr>
                <w:sz w:val="20"/>
                <w:szCs w:val="20"/>
              </w:rPr>
              <w:t xml:space="preserve">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the UE is not expected to cancel the uplink switching, or to trigger any other new uplink switching occurring before </w:t>
            </w:r>
            <w:r w:rsidRPr="006E0ECB">
              <w:rPr>
                <w:i/>
                <w:sz w:val="20"/>
                <w:szCs w:val="20"/>
              </w:rPr>
              <w:t>T</w:t>
            </w:r>
            <w:r w:rsidRPr="006E0ECB">
              <w:rPr>
                <w:i/>
                <w:sz w:val="20"/>
                <w:szCs w:val="20"/>
                <w:vertAlign w:val="subscript"/>
              </w:rPr>
              <w:t>0</w:t>
            </w:r>
            <w:r w:rsidRPr="006E0ECB">
              <w:rPr>
                <w:sz w:val="20"/>
                <w:szCs w:val="20"/>
              </w:rPr>
              <w:t xml:space="preserve"> for any other uplink transmission that is scheduled after </w:t>
            </w:r>
            <w:r w:rsidRPr="006E0ECB">
              <w:rPr>
                <w:i/>
                <w:sz w:val="20"/>
                <w:szCs w:val="20"/>
              </w:rPr>
              <w:t>T</w:t>
            </w:r>
            <w:r w:rsidRPr="006E0ECB">
              <w:rPr>
                <w:i/>
                <w:sz w:val="20"/>
                <w:szCs w:val="20"/>
                <w:vertAlign w:val="subscript"/>
              </w:rPr>
              <w:t>0</w:t>
            </w:r>
            <w:r w:rsidRPr="006E0ECB">
              <w:rPr>
                <w:i/>
                <w:sz w:val="20"/>
                <w:szCs w:val="20"/>
              </w:rPr>
              <w:t>-T</w:t>
            </w:r>
            <w:r w:rsidRPr="006E0ECB">
              <w:rPr>
                <w:i/>
                <w:sz w:val="20"/>
                <w:szCs w:val="20"/>
                <w:vertAlign w:val="subscript"/>
              </w:rPr>
              <w:t>offset</w:t>
            </w:r>
            <w:r w:rsidRPr="006E0ECB">
              <w:rPr>
                <w:sz w:val="20"/>
                <w:szCs w:val="20"/>
              </w:rPr>
              <w:t xml:space="preserve">, where </w:t>
            </w:r>
            <w:proofErr w:type="spellStart"/>
            <w:r w:rsidRPr="006E0ECB">
              <w:rPr>
                <w:i/>
                <w:sz w:val="20"/>
                <w:szCs w:val="20"/>
              </w:rPr>
              <w:t>T</w:t>
            </w:r>
            <w:r w:rsidRPr="006E0ECB">
              <w:rPr>
                <w:i/>
                <w:sz w:val="20"/>
                <w:szCs w:val="20"/>
                <w:vertAlign w:val="subscript"/>
              </w:rPr>
              <w:t>offset</w:t>
            </w:r>
            <w:proofErr w:type="spellEnd"/>
            <w:r w:rsidRPr="006E0ECB">
              <w:rPr>
                <w:sz w:val="20"/>
                <w:szCs w:val="20"/>
              </w:rPr>
              <w:t xml:space="preserve"> is the UE processing procedure time defined </w:t>
            </w:r>
            <w:r w:rsidRPr="007265CB">
              <w:rPr>
                <w:color w:val="EE0000"/>
                <w:sz w:val="20"/>
                <w:szCs w:val="20"/>
              </w:rPr>
              <w:t xml:space="preserve">for the uplink transmission triggering the switch </w:t>
            </w:r>
            <w:r w:rsidRPr="006E0ECB">
              <w:rPr>
                <w:sz w:val="20"/>
                <w:szCs w:val="20"/>
              </w:rPr>
              <w:t>given in clause 5.3, clause 5.4, clause 6.2.1, clause 6.4 and in clause 9 of [6, TS 38.213].</w:t>
            </w:r>
          </w:p>
          <w:p w14:paraId="25900098" w14:textId="77777777" w:rsidR="00A11D0A" w:rsidRDefault="00A11D0A" w:rsidP="00B80752">
            <w:pPr>
              <w:jc w:val="both"/>
              <w:rPr>
                <w:rFonts w:eastAsiaTheme="minorEastAsia"/>
              </w:rPr>
            </w:pPr>
            <w:r>
              <w:rPr>
                <w:rFonts w:eastAsia="宋体"/>
              </w:rPr>
              <w:t>…</w:t>
            </w:r>
            <w:r>
              <w:rPr>
                <w:rFonts w:eastAsia="宋体" w:hint="eastAsia"/>
              </w:rPr>
              <w:t>.</w:t>
            </w:r>
          </w:p>
        </w:tc>
      </w:tr>
    </w:tbl>
    <w:p w14:paraId="0ED40FAD" w14:textId="77777777" w:rsidR="00A11D0A" w:rsidRDefault="00A11D0A" w:rsidP="00A11D0A">
      <w:pPr>
        <w:jc w:val="both"/>
        <w:rPr>
          <w:sz w:val="20"/>
          <w:szCs w:val="20"/>
        </w:rPr>
      </w:pPr>
      <w:r>
        <w:rPr>
          <w:sz w:val="20"/>
          <w:szCs w:val="20"/>
        </w:rPr>
        <w:t xml:space="preserve"> </w:t>
      </w:r>
    </w:p>
    <w:p w14:paraId="786A1DF6" w14:textId="4B266131" w:rsidR="00A11D0A" w:rsidRDefault="00A11D0A" w:rsidP="00A11D0A">
      <w:pPr>
        <w:jc w:val="both"/>
        <w:rPr>
          <w:sz w:val="20"/>
          <w:szCs w:val="20"/>
          <w:lang w:val="en-GB"/>
        </w:rPr>
      </w:pPr>
      <w:r>
        <w:rPr>
          <w:sz w:val="20"/>
          <w:szCs w:val="20"/>
        </w:rPr>
        <w:t>As it is shown above, the specification is concerned about the timeline between DCI triggering an uplink switching and “the uplink transmission triggering the switch”. Indeed, for most NR scenarios, it is sufficient to specify only this timeline (to make sure UE and NW are aligned on switching requirements).</w:t>
      </w:r>
      <w:r>
        <w:rPr>
          <w:sz w:val="20"/>
          <w:szCs w:val="20"/>
          <w:lang w:val="en-GB"/>
        </w:rPr>
        <w:t xml:space="preserve"> </w:t>
      </w:r>
    </w:p>
    <w:p w14:paraId="1A0C5676" w14:textId="77777777" w:rsidR="00A11D0A" w:rsidRDefault="00A11D0A" w:rsidP="00A11D0A">
      <w:pPr>
        <w:jc w:val="both"/>
        <w:rPr>
          <w:sz w:val="20"/>
          <w:szCs w:val="20"/>
          <w:lang w:val="en-GB"/>
        </w:rPr>
      </w:pPr>
    </w:p>
    <w:p w14:paraId="665DBC84" w14:textId="4F529752" w:rsidR="00A11D0A" w:rsidRDefault="00A11D0A" w:rsidP="00A11D0A">
      <w:pPr>
        <w:jc w:val="both"/>
        <w:rPr>
          <w:sz w:val="20"/>
          <w:szCs w:val="20"/>
          <w:lang w:val="en-GB"/>
        </w:rPr>
      </w:pPr>
      <w:r>
        <w:rPr>
          <w:sz w:val="20"/>
          <w:szCs w:val="20"/>
        </w:rPr>
        <w:t xml:space="preserve">For the case that </w:t>
      </w:r>
      <w:r w:rsidRPr="00717E26">
        <w:rPr>
          <w:sz w:val="20"/>
          <w:szCs w:val="20"/>
        </w:rPr>
        <w:t>the UE</w:t>
      </w:r>
      <w:r>
        <w:rPr>
          <w:sz w:val="20"/>
          <w:szCs w:val="20"/>
        </w:rPr>
        <w:t xml:space="preserve"> is</w:t>
      </w:r>
      <w:r w:rsidRPr="00717E26">
        <w:rPr>
          <w:sz w:val="20"/>
          <w:szCs w:val="20"/>
        </w:rPr>
        <w:t xml:space="preserve"> configured with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when current state is 0T+2T, and as long as UE has not detected an indication for 1-port transmission on carrier1, the UE remains on 0T+2T and</w:t>
      </w:r>
      <w:r w:rsidRPr="007E70FA">
        <w:rPr>
          <w:sz w:val="20"/>
          <w:szCs w:val="20"/>
          <w:lang w:val="en-GB"/>
        </w:rPr>
        <w:t xml:space="preserve"> </w:t>
      </w:r>
      <w:r w:rsidRPr="004F3741">
        <w:rPr>
          <w:sz w:val="20"/>
          <w:szCs w:val="20"/>
          <w:highlight w:val="yellow"/>
          <w:lang w:val="en-GB"/>
        </w:rPr>
        <w:t>in theory it should be able to utilize both Tx chains for 1-port transmission on carrier2 (e.g. for antenna virtualization, best antenna selection, etc)</w:t>
      </w:r>
      <w:r>
        <w:rPr>
          <w:sz w:val="20"/>
          <w:szCs w:val="20"/>
          <w:lang w:val="en-GB"/>
        </w:rPr>
        <w:t xml:space="preserve">. When UE detects a DCI scheduling for 1-port transmission on carrier1, UE is supposed to switch from 0T+2T to 1T+1T. With that triggering DCI, UE cannot utilize both Tx chains for 1-port transmission on carrier2 anymore. </w:t>
      </w:r>
      <w:r w:rsidRPr="004F3741">
        <w:rPr>
          <w:sz w:val="20"/>
          <w:szCs w:val="20"/>
          <w:highlight w:val="yellow"/>
          <w:lang w:val="en-GB"/>
        </w:rPr>
        <w:t>Now the problem is, the timeline between DCI triggering uplink switching and 1-port transmission on carrier2 is not specified.</w:t>
      </w:r>
      <w:r>
        <w:rPr>
          <w:sz w:val="20"/>
          <w:szCs w:val="20"/>
          <w:lang w:val="en-GB"/>
        </w:rPr>
        <w:t xml:space="preserve"> Without this specification </w:t>
      </w:r>
      <w:r>
        <w:rPr>
          <w:sz w:val="20"/>
          <w:szCs w:val="20"/>
        </w:rPr>
        <w:t>when</w:t>
      </w:r>
      <w:r w:rsidRPr="00717E26">
        <w:rPr>
          <w:sz w:val="20"/>
          <w:szCs w:val="20"/>
        </w:rPr>
        <w:t xml:space="preserve"> </w:t>
      </w:r>
      <w:proofErr w:type="spellStart"/>
      <w:r w:rsidRPr="00717E26">
        <w:rPr>
          <w:i/>
          <w:iCs/>
          <w:sz w:val="20"/>
          <w:szCs w:val="20"/>
        </w:rPr>
        <w:t>uplinkTxSwitchingOption</w:t>
      </w:r>
      <w:proofErr w:type="spellEnd"/>
      <w:r w:rsidRPr="00717E26">
        <w:rPr>
          <w:sz w:val="20"/>
          <w:szCs w:val="20"/>
        </w:rPr>
        <w:t xml:space="preserve"> set to '</w:t>
      </w:r>
      <w:proofErr w:type="spellStart"/>
      <w:r w:rsidRPr="00717E26">
        <w:rPr>
          <w:sz w:val="20"/>
          <w:szCs w:val="20"/>
        </w:rPr>
        <w:t>dualUL</w:t>
      </w:r>
      <w:proofErr w:type="spellEnd"/>
      <w:r w:rsidRPr="00717E26">
        <w:rPr>
          <w:sz w:val="20"/>
          <w:szCs w:val="20"/>
        </w:rPr>
        <w:t>'</w:t>
      </w:r>
      <w:r>
        <w:rPr>
          <w:sz w:val="20"/>
          <w:szCs w:val="20"/>
          <w:lang w:val="en-GB"/>
        </w:rPr>
        <w:t>, there can be the following outcomes, none is desired</w:t>
      </w:r>
    </w:p>
    <w:p w14:paraId="3515F104" w14:textId="77777777" w:rsidR="00A11D0A" w:rsidRDefault="00A11D0A" w:rsidP="00A11D0A">
      <w:pPr>
        <w:pStyle w:val="af0"/>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 xml:space="preserve">At 0T+2T, UE </w:t>
      </w:r>
      <w:r>
        <w:rPr>
          <w:rFonts w:ascii="Times New Roman" w:eastAsia="Times New Roman" w:hAnsi="Times New Roman"/>
          <w:szCs w:val="20"/>
        </w:rPr>
        <w:t>does not</w:t>
      </w:r>
      <w:r w:rsidRPr="00F729B2">
        <w:rPr>
          <w:rFonts w:ascii="Times New Roman" w:eastAsia="Times New Roman" w:hAnsi="Times New Roman"/>
          <w:szCs w:val="20"/>
        </w:rPr>
        <w:t xml:space="preserve"> utilize both Tx chains for 1-port transmission on carrier2, </w:t>
      </w:r>
      <w:r>
        <w:rPr>
          <w:rFonts w:ascii="Times New Roman" w:eastAsia="Times New Roman" w:hAnsi="Times New Roman"/>
          <w:szCs w:val="20"/>
        </w:rPr>
        <w:t>since</w:t>
      </w:r>
      <w:r w:rsidRPr="00F729B2">
        <w:rPr>
          <w:rFonts w:ascii="Times New Roman" w:eastAsia="Times New Roman" w:hAnsi="Times New Roman"/>
          <w:szCs w:val="20"/>
        </w:rPr>
        <w:t xml:space="preserve"> later a DCI </w:t>
      </w:r>
      <w:r>
        <w:rPr>
          <w:rFonts w:ascii="Times New Roman" w:eastAsia="Times New Roman" w:hAnsi="Times New Roman"/>
          <w:szCs w:val="20"/>
        </w:rPr>
        <w:t>“</w:t>
      </w:r>
      <w:r w:rsidRPr="00F729B2">
        <w:rPr>
          <w:rFonts w:ascii="Times New Roman" w:eastAsia="Times New Roman" w:hAnsi="Times New Roman"/>
          <w:szCs w:val="20"/>
        </w:rPr>
        <w:t>may</w:t>
      </w:r>
      <w:r>
        <w:rPr>
          <w:rFonts w:ascii="Times New Roman" w:eastAsia="Times New Roman" w:hAnsi="Times New Roman"/>
          <w:szCs w:val="20"/>
        </w:rPr>
        <w:t>”</w:t>
      </w:r>
      <w:r w:rsidRPr="00F729B2">
        <w:rPr>
          <w:rFonts w:ascii="Times New Roman" w:eastAsia="Times New Roman" w:hAnsi="Times New Roman"/>
          <w:szCs w:val="20"/>
        </w:rPr>
        <w:t xml:space="preserve"> be detected to </w:t>
      </w:r>
      <w:r>
        <w:rPr>
          <w:rFonts w:ascii="Times New Roman" w:eastAsia="Times New Roman" w:hAnsi="Times New Roman"/>
          <w:szCs w:val="20"/>
        </w:rPr>
        <w:t xml:space="preserve">indicate </w:t>
      </w:r>
      <w:r w:rsidRPr="00F729B2">
        <w:rPr>
          <w:rFonts w:ascii="Times New Roman" w:eastAsia="Times New Roman" w:hAnsi="Times New Roman"/>
          <w:szCs w:val="20"/>
        </w:rPr>
        <w:t>switch</w:t>
      </w:r>
      <w:r>
        <w:rPr>
          <w:rFonts w:ascii="Times New Roman" w:eastAsia="Times New Roman" w:hAnsi="Times New Roman"/>
          <w:szCs w:val="20"/>
        </w:rPr>
        <w:t>ing</w:t>
      </w:r>
      <w:r w:rsidRPr="00F729B2">
        <w:rPr>
          <w:rFonts w:ascii="Times New Roman" w:eastAsia="Times New Roman" w:hAnsi="Times New Roman"/>
          <w:szCs w:val="20"/>
        </w:rPr>
        <w:t xml:space="preserve"> to 1T+1T, </w:t>
      </w:r>
      <w:r>
        <w:rPr>
          <w:rFonts w:ascii="Times New Roman" w:eastAsia="Times New Roman" w:hAnsi="Times New Roman"/>
          <w:szCs w:val="20"/>
        </w:rPr>
        <w:t xml:space="preserve">and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carrier1 </w:t>
      </w:r>
      <w:r>
        <w:rPr>
          <w:rFonts w:ascii="Times New Roman" w:eastAsia="Times New Roman" w:hAnsi="Times New Roman"/>
          <w:szCs w:val="20"/>
        </w:rPr>
        <w:t>overlapping with</w:t>
      </w:r>
      <w:r w:rsidRPr="00F729B2">
        <w:rPr>
          <w:rFonts w:ascii="Times New Roman" w:eastAsia="Times New Roman" w:hAnsi="Times New Roman"/>
          <w:szCs w:val="20"/>
        </w:rPr>
        <w:t xml:space="preserve"> </w:t>
      </w:r>
      <w:r>
        <w:rPr>
          <w:rFonts w:ascii="Times New Roman" w:eastAsia="Times New Roman" w:hAnsi="Times New Roman"/>
          <w:szCs w:val="20"/>
        </w:rPr>
        <w:t xml:space="preserve">1-port transmission on </w:t>
      </w:r>
      <w:r w:rsidRPr="00F729B2">
        <w:rPr>
          <w:rFonts w:ascii="Times New Roman" w:eastAsia="Times New Roman" w:hAnsi="Times New Roman"/>
          <w:szCs w:val="20"/>
        </w:rPr>
        <w:t>carrier</w:t>
      </w:r>
      <w:r>
        <w:rPr>
          <w:rFonts w:ascii="Times New Roman" w:eastAsia="Times New Roman" w:hAnsi="Times New Roman"/>
          <w:szCs w:val="20"/>
        </w:rPr>
        <w:t xml:space="preserve">2. </w:t>
      </w:r>
      <w:r w:rsidRPr="00F729B2">
        <w:rPr>
          <w:rFonts w:ascii="Times New Roman" w:eastAsia="Times New Roman" w:hAnsi="Times New Roman"/>
          <w:szCs w:val="20"/>
        </w:rPr>
        <w:t xml:space="preserve"> </w:t>
      </w:r>
    </w:p>
    <w:p w14:paraId="25CBF0DC" w14:textId="77777777" w:rsidR="00A11D0A" w:rsidRDefault="00A11D0A" w:rsidP="00A11D0A">
      <w:pPr>
        <w:pStyle w:val="af0"/>
        <w:numPr>
          <w:ilvl w:val="0"/>
          <w:numId w:val="3"/>
        </w:numPr>
        <w:ind w:leftChars="0"/>
        <w:jc w:val="both"/>
        <w:rPr>
          <w:rFonts w:ascii="Times New Roman" w:eastAsia="Times New Roman" w:hAnsi="Times New Roman"/>
          <w:szCs w:val="20"/>
        </w:rPr>
      </w:pPr>
      <w:r w:rsidRPr="00F729B2">
        <w:rPr>
          <w:rFonts w:ascii="Times New Roman" w:eastAsia="Times New Roman" w:hAnsi="Times New Roman"/>
          <w:szCs w:val="20"/>
        </w:rPr>
        <w:t>At 0T+2T, UE utilize</w:t>
      </w:r>
      <w:r>
        <w:rPr>
          <w:rFonts w:ascii="Times New Roman" w:eastAsia="Times New Roman" w:hAnsi="Times New Roman"/>
          <w:szCs w:val="20"/>
        </w:rPr>
        <w:t>s</w:t>
      </w:r>
      <w:r w:rsidRPr="00F729B2">
        <w:rPr>
          <w:rFonts w:ascii="Times New Roman" w:eastAsia="Times New Roman" w:hAnsi="Times New Roman"/>
          <w:szCs w:val="20"/>
        </w:rPr>
        <w:t xml:space="preserve"> both Tx chains for 1-port transmission on carrier2</w:t>
      </w:r>
      <w:r>
        <w:rPr>
          <w:rFonts w:ascii="Times New Roman" w:eastAsia="Times New Roman" w:hAnsi="Times New Roman"/>
          <w:szCs w:val="20"/>
        </w:rPr>
        <w:t xml:space="preserve">, but at the time that UE detects DCI triggering uplink switching, UE has already utilized switchable Tx chain for </w:t>
      </w:r>
      <w:r w:rsidRPr="00F729B2">
        <w:rPr>
          <w:rFonts w:ascii="Times New Roman" w:eastAsia="Times New Roman" w:hAnsi="Times New Roman"/>
          <w:szCs w:val="20"/>
        </w:rPr>
        <w:t>1</w:t>
      </w:r>
      <w:r>
        <w:rPr>
          <w:rFonts w:ascii="Times New Roman" w:eastAsia="Times New Roman" w:hAnsi="Times New Roman"/>
          <w:szCs w:val="20"/>
        </w:rPr>
        <w:t>-port transmission</w:t>
      </w:r>
      <w:r w:rsidRPr="00F729B2">
        <w:rPr>
          <w:rFonts w:ascii="Times New Roman" w:eastAsia="Times New Roman" w:hAnsi="Times New Roman"/>
          <w:szCs w:val="20"/>
        </w:rPr>
        <w:t xml:space="preserve"> on carrier</w:t>
      </w:r>
      <w:r>
        <w:rPr>
          <w:rFonts w:ascii="Times New Roman" w:eastAsia="Times New Roman" w:hAnsi="Times New Roman"/>
          <w:szCs w:val="20"/>
        </w:rPr>
        <w:t>2, and UE cannot revert that decision.</w:t>
      </w:r>
      <w:r w:rsidRPr="00F729B2">
        <w:rPr>
          <w:rFonts w:ascii="Times New Roman" w:eastAsia="Times New Roman" w:hAnsi="Times New Roman"/>
          <w:szCs w:val="20"/>
        </w:rPr>
        <w:t xml:space="preserve">  </w:t>
      </w:r>
    </w:p>
    <w:p w14:paraId="1BE3E990" w14:textId="77777777" w:rsidR="00A11D0A" w:rsidRDefault="00A11D0A" w:rsidP="00A11D0A">
      <w:pPr>
        <w:jc w:val="both"/>
        <w:rPr>
          <w:sz w:val="20"/>
          <w:szCs w:val="20"/>
          <w:lang w:val="en-GB"/>
        </w:rPr>
      </w:pPr>
    </w:p>
    <w:p w14:paraId="1183F149" w14:textId="77777777" w:rsidR="00A11D0A" w:rsidRDefault="00A11D0A" w:rsidP="00A11D0A">
      <w:pPr>
        <w:jc w:val="both"/>
        <w:rPr>
          <w:sz w:val="20"/>
          <w:szCs w:val="20"/>
          <w:lang w:val="en-GB"/>
        </w:rPr>
      </w:pPr>
    </w:p>
    <w:p w14:paraId="0DCC4B4C" w14:textId="77777777" w:rsidR="00A11D0A" w:rsidRDefault="00A11D0A" w:rsidP="00A11D0A">
      <w:pPr>
        <w:jc w:val="center"/>
        <w:rPr>
          <w:sz w:val="20"/>
          <w:szCs w:val="20"/>
          <w:lang w:val="en-GB"/>
        </w:rPr>
      </w:pPr>
      <w:r w:rsidRPr="00AF2636">
        <w:rPr>
          <w:noProof/>
          <w:sz w:val="20"/>
          <w:szCs w:val="20"/>
          <w:lang w:val="en-GB"/>
        </w:rPr>
        <w:lastRenderedPageBreak/>
        <w:drawing>
          <wp:inline distT="0" distB="0" distL="0" distR="0" wp14:anchorId="4D19F4B4" wp14:editId="77CD69AA">
            <wp:extent cx="5227970" cy="1631567"/>
            <wp:effectExtent l="0" t="0" r="4445" b="0"/>
            <wp:docPr id="1536217261" name="Picture 1" descr="A black screen with red and blue squares and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7261" name="Picture 1" descr="A black screen with red and blue squares and a green arrow&#10;&#10;AI-generated content may be incorrect."/>
                    <pic:cNvPicPr/>
                  </pic:nvPicPr>
                  <pic:blipFill>
                    <a:blip r:embed="rId7"/>
                    <a:stretch>
                      <a:fillRect/>
                    </a:stretch>
                  </pic:blipFill>
                  <pic:spPr>
                    <a:xfrm>
                      <a:off x="0" y="0"/>
                      <a:ext cx="5237203" cy="1634448"/>
                    </a:xfrm>
                    <a:prstGeom prst="rect">
                      <a:avLst/>
                    </a:prstGeom>
                  </pic:spPr>
                </pic:pic>
              </a:graphicData>
            </a:graphic>
          </wp:inline>
        </w:drawing>
      </w:r>
    </w:p>
    <w:p w14:paraId="71716AEA" w14:textId="77777777" w:rsidR="00A11D0A" w:rsidRDefault="00A11D0A" w:rsidP="00A11D0A">
      <w:pPr>
        <w:jc w:val="both"/>
        <w:rPr>
          <w:sz w:val="20"/>
          <w:szCs w:val="20"/>
          <w:lang w:val="en-GB"/>
        </w:rPr>
      </w:pPr>
    </w:p>
    <w:p w14:paraId="271F77B7" w14:textId="77777777" w:rsidR="00A11D0A" w:rsidRDefault="00A11D0A" w:rsidP="00A11D0A">
      <w:pPr>
        <w:jc w:val="center"/>
        <w:rPr>
          <w:sz w:val="20"/>
          <w:szCs w:val="20"/>
          <w:lang w:val="en-GB"/>
        </w:rPr>
      </w:pPr>
      <w:r w:rsidRPr="00AF2636">
        <w:rPr>
          <w:b/>
          <w:bCs/>
          <w:sz w:val="20"/>
          <w:szCs w:val="20"/>
        </w:rPr>
        <w:t>Fig. 1: when UE detects Tx switch is triggered, UE is already using switchable Tx chain for 1P transmission on carrier2</w:t>
      </w:r>
    </w:p>
    <w:p w14:paraId="7D405FC0" w14:textId="77777777" w:rsidR="00A11D0A" w:rsidRDefault="00A11D0A" w:rsidP="00A11D0A">
      <w:pPr>
        <w:jc w:val="both"/>
        <w:rPr>
          <w:sz w:val="20"/>
          <w:szCs w:val="20"/>
          <w:lang w:val="en-GB"/>
        </w:rPr>
      </w:pPr>
    </w:p>
    <w:p w14:paraId="29A63267" w14:textId="77777777" w:rsidR="00A11D0A" w:rsidRDefault="00A11D0A" w:rsidP="00A11D0A">
      <w:pPr>
        <w:jc w:val="both"/>
        <w:rPr>
          <w:sz w:val="20"/>
          <w:szCs w:val="20"/>
          <w:lang w:val="en-GB"/>
        </w:rPr>
      </w:pPr>
      <w:r>
        <w:rPr>
          <w:sz w:val="20"/>
          <w:szCs w:val="20"/>
          <w:lang w:val="en-GB"/>
        </w:rPr>
        <w:t>Fig. 1 above depicts the above issue, where late Tx switch indication can impact ongoing 1-port transmission on carrier2.</w:t>
      </w:r>
    </w:p>
    <w:p w14:paraId="67E8513D" w14:textId="77777777" w:rsidR="00A11D0A" w:rsidRDefault="00A11D0A" w:rsidP="00A11D0A">
      <w:pPr>
        <w:jc w:val="both"/>
        <w:rPr>
          <w:sz w:val="20"/>
          <w:szCs w:val="20"/>
          <w:lang w:val="en-GB"/>
        </w:rPr>
      </w:pPr>
    </w:p>
    <w:p w14:paraId="5681775C" w14:textId="77777777" w:rsidR="00A11D0A" w:rsidRPr="009453EE" w:rsidRDefault="00A11D0A" w:rsidP="00A11D0A">
      <w:pPr>
        <w:jc w:val="both"/>
        <w:rPr>
          <w:sz w:val="20"/>
          <w:szCs w:val="20"/>
        </w:rPr>
      </w:pPr>
      <w:r>
        <w:rPr>
          <w:sz w:val="20"/>
          <w:szCs w:val="20"/>
          <w:lang w:val="en-GB"/>
        </w:rPr>
        <w:t xml:space="preserve">Another issue for simultaneous 1-port transmissions on carrier1 and carrier2 when UE switches from 0T+2T to 1T+1T, is directly related to the fact that UE is not expected to transmit on any of the carriers within the switching gap, as shown below [38.214, Sec. 6.1.6.2]. In the above example, 1-port transmission on carrier2 will be impacted within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Pr>
          <w:sz w:val="20"/>
          <w:szCs w:val="20"/>
        </w:rPr>
        <w:t>. Here again spec is not clear whether/how UE should keep transmission on carrier2 after and before symbols impacted due to uplink switching from 0T+2T to 1T+1T.</w:t>
      </w:r>
    </w:p>
    <w:p w14:paraId="3FCCFB55" w14:textId="77777777" w:rsidR="00A11D0A" w:rsidRDefault="00A11D0A" w:rsidP="00A11D0A">
      <w:pPr>
        <w:jc w:val="both"/>
        <w:rPr>
          <w:sz w:val="20"/>
          <w:szCs w:val="20"/>
          <w:lang w:val="en-GB"/>
        </w:rPr>
      </w:pPr>
    </w:p>
    <w:tbl>
      <w:tblPr>
        <w:tblStyle w:val="ac"/>
        <w:tblpPr w:leftFromText="180" w:rightFromText="180" w:vertAnchor="text" w:horzAnchor="margin" w:tblpY="128"/>
        <w:tblW w:w="9288" w:type="dxa"/>
        <w:tblLayout w:type="fixed"/>
        <w:tblLook w:val="04A0" w:firstRow="1" w:lastRow="0" w:firstColumn="1" w:lastColumn="0" w:noHBand="0" w:noVBand="1"/>
      </w:tblPr>
      <w:tblGrid>
        <w:gridCol w:w="9288"/>
      </w:tblGrid>
      <w:tr w:rsidR="00A11D0A" w14:paraId="30C654CF" w14:textId="77777777" w:rsidTr="00B80752">
        <w:tc>
          <w:tcPr>
            <w:tcW w:w="9288" w:type="dxa"/>
          </w:tcPr>
          <w:p w14:paraId="35D2CFD6" w14:textId="77777777" w:rsidR="00A11D0A" w:rsidRPr="00BC36B8" w:rsidRDefault="00A11D0A"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737C040E" w14:textId="77777777" w:rsidR="00A11D0A" w:rsidRPr="00BC36B8" w:rsidRDefault="00A11D0A" w:rsidP="00B80752">
            <w:pPr>
              <w:jc w:val="both"/>
              <w:rPr>
                <w:rFonts w:eastAsia="宋体"/>
                <w:sz w:val="20"/>
                <w:szCs w:val="20"/>
              </w:rPr>
            </w:pPr>
            <w:r w:rsidRPr="00BC36B8">
              <w:rPr>
                <w:rFonts w:eastAsia="宋体"/>
                <w:sz w:val="20"/>
                <w:szCs w:val="20"/>
              </w:rPr>
              <w:t>…</w:t>
            </w:r>
            <w:r w:rsidRPr="00BC36B8">
              <w:rPr>
                <w:rFonts w:eastAsia="宋体" w:hint="eastAsia"/>
                <w:sz w:val="20"/>
                <w:szCs w:val="20"/>
              </w:rPr>
              <w:t>.</w:t>
            </w:r>
          </w:p>
          <w:p w14:paraId="77B47994" w14:textId="77777777" w:rsidR="00A11D0A" w:rsidRDefault="00A11D0A"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proofErr w:type="spellEnd"/>
            <w:r w:rsidRPr="0037605B">
              <w:rPr>
                <w:sz w:val="20"/>
                <w:szCs w:val="20"/>
              </w:rPr>
              <w:t xml:space="preserve">n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61A92391" w14:textId="77777777" w:rsidR="00A11D0A" w:rsidRDefault="00A11D0A" w:rsidP="00B80752">
            <w:pPr>
              <w:jc w:val="both"/>
              <w:rPr>
                <w:rFonts w:eastAsiaTheme="minorEastAsia"/>
              </w:rPr>
            </w:pPr>
            <w:r>
              <w:rPr>
                <w:rFonts w:eastAsia="宋体"/>
              </w:rPr>
              <w:t>…</w:t>
            </w:r>
            <w:r>
              <w:rPr>
                <w:rFonts w:eastAsia="宋体" w:hint="eastAsia"/>
              </w:rPr>
              <w:t>.</w:t>
            </w:r>
          </w:p>
        </w:tc>
      </w:tr>
    </w:tbl>
    <w:p w14:paraId="43B04897" w14:textId="77777777" w:rsidR="00A11D0A" w:rsidRDefault="00A11D0A" w:rsidP="00A11D0A">
      <w:pPr>
        <w:jc w:val="both"/>
        <w:rPr>
          <w:sz w:val="20"/>
          <w:szCs w:val="20"/>
          <w:lang w:val="en-GB"/>
        </w:rPr>
      </w:pPr>
    </w:p>
    <w:p w14:paraId="5CDD95F5" w14:textId="77777777" w:rsidR="00A11D0A" w:rsidRDefault="00A11D0A" w:rsidP="00A11D0A">
      <w:pPr>
        <w:jc w:val="both"/>
        <w:rPr>
          <w:sz w:val="20"/>
          <w:szCs w:val="20"/>
          <w:lang w:val="en-GB"/>
        </w:rPr>
      </w:pPr>
    </w:p>
    <w:p w14:paraId="3BCEAE52" w14:textId="77777777" w:rsidR="00A11D0A" w:rsidRDefault="00A11D0A" w:rsidP="00A11D0A">
      <w:pPr>
        <w:jc w:val="both"/>
        <w:rPr>
          <w:sz w:val="20"/>
          <w:szCs w:val="20"/>
          <w:lang w:val="en-GB"/>
        </w:rPr>
      </w:pPr>
      <w:r>
        <w:rPr>
          <w:sz w:val="20"/>
          <w:szCs w:val="20"/>
          <w:lang w:val="en-GB"/>
        </w:rPr>
        <w:t xml:space="preserve">Solution to both issues is to specify the time gap between DCI triggering Tx switch and 1-port transmission on carrier2 not to be less than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2</m:t>
            </m:r>
          </m:sub>
        </m:sSub>
      </m:oMath>
      <w:r>
        <w:rPr>
          <w:sz w:val="20"/>
          <w:szCs w:val="20"/>
        </w:rPr>
        <w:t xml:space="preserve"> </w:t>
      </w:r>
      <w:r>
        <w:rPr>
          <w:sz w:val="20"/>
          <w:szCs w:val="20"/>
          <w:lang w:val="en-GB"/>
        </w:rPr>
        <w:t>symbols (this is the processing time to detect triggering DCI), as shown in Fig. 2.</w:t>
      </w:r>
    </w:p>
    <w:p w14:paraId="03026339" w14:textId="77777777" w:rsidR="00A11D0A" w:rsidRDefault="00A11D0A" w:rsidP="00A11D0A">
      <w:pPr>
        <w:jc w:val="both"/>
        <w:rPr>
          <w:sz w:val="20"/>
          <w:szCs w:val="20"/>
          <w:lang w:val="en-GB"/>
        </w:rPr>
      </w:pPr>
    </w:p>
    <w:p w14:paraId="0DA5369C" w14:textId="77777777" w:rsidR="00A11D0A" w:rsidRDefault="00A11D0A" w:rsidP="00A11D0A">
      <w:pPr>
        <w:jc w:val="center"/>
        <w:rPr>
          <w:sz w:val="20"/>
          <w:szCs w:val="20"/>
          <w:lang w:val="en-GB"/>
        </w:rPr>
      </w:pPr>
      <w:r w:rsidRPr="009453EE">
        <w:rPr>
          <w:noProof/>
          <w:sz w:val="20"/>
          <w:szCs w:val="20"/>
          <w:lang w:val="en-GB"/>
        </w:rPr>
        <w:drawing>
          <wp:inline distT="0" distB="0" distL="0" distR="0" wp14:anchorId="1E5B9B84" wp14:editId="3B69DB10">
            <wp:extent cx="5096094" cy="1531088"/>
            <wp:effectExtent l="0" t="0" r="0" b="5715"/>
            <wp:docPr id="19094118" name="Picture 1" descr="A black background with green check marks and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118" name="Picture 1" descr="A black background with green check marks and a blue rectangle&#10;&#10;AI-generated content may be incorrect."/>
                    <pic:cNvPicPr/>
                  </pic:nvPicPr>
                  <pic:blipFill>
                    <a:blip r:embed="rId8"/>
                    <a:stretch>
                      <a:fillRect/>
                    </a:stretch>
                  </pic:blipFill>
                  <pic:spPr>
                    <a:xfrm>
                      <a:off x="0" y="0"/>
                      <a:ext cx="5108796" cy="1534904"/>
                    </a:xfrm>
                    <a:prstGeom prst="rect">
                      <a:avLst/>
                    </a:prstGeom>
                  </pic:spPr>
                </pic:pic>
              </a:graphicData>
            </a:graphic>
          </wp:inline>
        </w:drawing>
      </w:r>
    </w:p>
    <w:p w14:paraId="162CBB4B" w14:textId="77777777" w:rsidR="00A11D0A" w:rsidRDefault="00A11D0A" w:rsidP="00A11D0A">
      <w:pPr>
        <w:jc w:val="center"/>
        <w:rPr>
          <w:sz w:val="20"/>
          <w:szCs w:val="20"/>
        </w:rPr>
      </w:pPr>
      <w:r w:rsidRPr="009453EE">
        <w:rPr>
          <w:b/>
          <w:bCs/>
          <w:sz w:val="20"/>
          <w:szCs w:val="20"/>
        </w:rPr>
        <w:t xml:space="preserve">Fig. 2: </w:t>
      </w:r>
      <w:r>
        <w:rPr>
          <w:b/>
          <w:bCs/>
          <w:sz w:val="20"/>
          <w:szCs w:val="20"/>
        </w:rPr>
        <w:t>Time</w:t>
      </w:r>
      <w:r w:rsidRPr="009453EE">
        <w:rPr>
          <w:b/>
          <w:bCs/>
          <w:sz w:val="20"/>
          <w:szCs w:val="20"/>
        </w:rPr>
        <w:t xml:space="preserve"> gap between triggering DCI and simultaneous 1P transmission on carrier2.</w:t>
      </w:r>
    </w:p>
    <w:p w14:paraId="33B96B63" w14:textId="77777777" w:rsidR="00133ED4" w:rsidRDefault="00133ED4">
      <w:pPr>
        <w:pStyle w:val="0Maintext"/>
        <w:spacing w:after="0" w:afterAutospacing="0" w:line="240" w:lineRule="auto"/>
        <w:ind w:firstLine="0"/>
      </w:pPr>
    </w:p>
    <w:p w14:paraId="6B598955" w14:textId="77777777" w:rsidR="00133ED4" w:rsidRDefault="00FB11EF">
      <w:pPr>
        <w:pStyle w:val="1"/>
      </w:pPr>
      <w:r>
        <w:t>Discussion</w:t>
      </w:r>
    </w:p>
    <w:p w14:paraId="64F66FF2" w14:textId="77777777" w:rsidR="00133ED4" w:rsidRDefault="00FB11EF">
      <w:pPr>
        <w:pStyle w:val="2"/>
      </w:pPr>
      <w:r>
        <w:t>1</w:t>
      </w:r>
      <w:r>
        <w:rPr>
          <w:vertAlign w:val="superscript"/>
        </w:rPr>
        <w:t xml:space="preserve">st </w:t>
      </w:r>
      <w:r>
        <w:t>Round</w:t>
      </w:r>
    </w:p>
    <w:p w14:paraId="5D3190AC" w14:textId="77777777" w:rsidR="00133ED4" w:rsidRDefault="00133ED4"/>
    <w:p w14:paraId="5187F6B1" w14:textId="59330E3A" w:rsidR="00133ED4" w:rsidRDefault="00FB11EF">
      <w:pPr>
        <w:pStyle w:val="0Maintext"/>
        <w:spacing w:after="0"/>
        <w:ind w:firstLine="0"/>
      </w:pPr>
      <w:r>
        <w:t>Based on this discussion in previous sections, the following proposal</w:t>
      </w:r>
      <w:r w:rsidR="00A832AC">
        <w:t>s</w:t>
      </w:r>
      <w:r>
        <w:t xml:space="preserve"> </w:t>
      </w:r>
      <w:r w:rsidR="00A832AC">
        <w:t>are</w:t>
      </w:r>
      <w:r>
        <w:t xml:space="preserve"> given</w:t>
      </w:r>
      <w:r w:rsidR="005A1E74">
        <w:t xml:space="preserve"> to address the above issues.</w:t>
      </w:r>
    </w:p>
    <w:p w14:paraId="54561AEA" w14:textId="539F9D26" w:rsidR="005A1E74" w:rsidRPr="005A1E74" w:rsidRDefault="00FB11EF" w:rsidP="005A1E74">
      <w:pPr>
        <w:pStyle w:val="0Maintext"/>
        <w:ind w:firstLine="0"/>
        <w:rPr>
          <w:b/>
          <w:bCs/>
        </w:rPr>
      </w:pPr>
      <w:r>
        <w:rPr>
          <w:b/>
          <w:bCs/>
        </w:rPr>
        <w:lastRenderedPageBreak/>
        <w:t>Proposal</w:t>
      </w:r>
      <w:r w:rsidR="00A832AC">
        <w:rPr>
          <w:b/>
          <w:bCs/>
        </w:rPr>
        <w:t xml:space="preserve"> 1</w:t>
      </w:r>
      <w:r>
        <w:rPr>
          <w:b/>
          <w:bCs/>
        </w:rPr>
        <w:t xml:space="preserve">: </w:t>
      </w:r>
      <w:r>
        <w:rPr>
          <w:b/>
          <w:bCs/>
          <w:lang w:val="en-US"/>
        </w:rPr>
        <w:t xml:space="preserve"> </w:t>
      </w:r>
      <w:r w:rsidR="005A1E74" w:rsidRPr="005A1E74">
        <w:t xml:space="preserve">For the UE configured with </w:t>
      </w:r>
      <w:proofErr w:type="spellStart"/>
      <w:r w:rsidR="005A1E74" w:rsidRPr="005A1E74">
        <w:rPr>
          <w:i/>
          <w:iCs/>
        </w:rPr>
        <w:t>uplinkTxSwitchingOption</w:t>
      </w:r>
      <w:proofErr w:type="spellEnd"/>
      <w:r w:rsidR="005A1E74" w:rsidRPr="005A1E74">
        <w:t xml:space="preserve"> set to ‘</w:t>
      </w:r>
      <w:proofErr w:type="spellStart"/>
      <w:r w:rsidR="005A1E74" w:rsidRPr="005A1E74">
        <w:t>dualUL</w:t>
      </w:r>
      <w:proofErr w:type="spellEnd"/>
      <w:r w:rsidR="005A1E74" w:rsidRPr="005A1E74">
        <w:t>’, when the UE is to transmit a 1-port transmission on the first uplink carrier on one band and if the preceding uplink transmission is a 1-port transmission on the second uplink carrier on another band and the UE is under the operation state in which 2-port transmission can be supported in the same band, then the  DCI triggering uplink switching on the first carrier cannot be received after</w:t>
      </w:r>
      <w:r w:rsidR="005A1E74" w:rsidRPr="005A1E74">
        <w:rPr>
          <w:i/>
        </w:rPr>
        <w:t xml:space="preserve"> </w:t>
      </w:r>
      <w:proofErr w:type="spellStart"/>
      <w:r w:rsidR="005A1E74" w:rsidRPr="005A1E74">
        <w:rPr>
          <w:i/>
        </w:rPr>
        <w:t>T</w:t>
      </w:r>
      <w:r w:rsidR="005A1E74" w:rsidRPr="005A1E74">
        <w:rPr>
          <w:i/>
          <w:vertAlign w:val="subscript"/>
        </w:rPr>
        <w:t>offset</w:t>
      </w:r>
      <w:proofErr w:type="spellEnd"/>
      <w:r w:rsidR="005A1E74" w:rsidRPr="005A1E74">
        <w:t xml:space="preserve"> symbols before the start of 1-port transmission on the second uplink carrier.</w:t>
      </w:r>
    </w:p>
    <w:p w14:paraId="680FC6D4" w14:textId="0653604C" w:rsidR="00133ED4" w:rsidRDefault="00133ED4">
      <w:pPr>
        <w:pStyle w:val="0Maintext"/>
        <w:spacing w:after="0" w:afterAutospacing="0" w:line="240" w:lineRule="auto"/>
        <w:ind w:firstLine="0"/>
        <w:rPr>
          <w:b/>
          <w:bCs/>
          <w:lang w:val="en-US"/>
        </w:rPr>
      </w:pPr>
    </w:p>
    <w:p w14:paraId="404BADC0" w14:textId="77777777" w:rsidR="00133ED4" w:rsidRDefault="00133ED4">
      <w:pPr>
        <w:pStyle w:val="0Maintext"/>
        <w:spacing w:after="0" w:afterAutospacing="0" w:line="240" w:lineRule="auto"/>
        <w:ind w:firstLine="0"/>
        <w:rPr>
          <w:b/>
          <w:bCs/>
        </w:rPr>
      </w:pPr>
    </w:p>
    <w:p w14:paraId="32556675" w14:textId="5451E904" w:rsidR="00133ED4" w:rsidRDefault="00FB11EF">
      <w:pPr>
        <w:pStyle w:val="0Maintext"/>
        <w:spacing w:after="0"/>
        <w:ind w:firstLine="0"/>
      </w:pPr>
      <w:r>
        <w:t>Please provide your feedback regarding the above Proposal</w:t>
      </w:r>
      <w:r w:rsidR="00A832AC">
        <w:t xml:space="preserve"> 1</w:t>
      </w:r>
      <w:r>
        <w:t>.</w:t>
      </w:r>
    </w:p>
    <w:tbl>
      <w:tblPr>
        <w:tblStyle w:val="ac"/>
        <w:tblW w:w="9085" w:type="dxa"/>
        <w:jc w:val="center"/>
        <w:tblLook w:val="04A0" w:firstRow="1" w:lastRow="0" w:firstColumn="1" w:lastColumn="0" w:noHBand="0" w:noVBand="1"/>
      </w:tblPr>
      <w:tblGrid>
        <w:gridCol w:w="2425"/>
        <w:gridCol w:w="6660"/>
      </w:tblGrid>
      <w:tr w:rsidR="00133ED4" w14:paraId="725FBD7A" w14:textId="77777777">
        <w:trPr>
          <w:jc w:val="center"/>
        </w:trPr>
        <w:tc>
          <w:tcPr>
            <w:tcW w:w="2425" w:type="dxa"/>
            <w:shd w:val="clear" w:color="auto" w:fill="ACB9CA" w:themeFill="text2" w:themeFillTint="66"/>
          </w:tcPr>
          <w:p w14:paraId="114869D4"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22109CE5" w14:textId="77777777" w:rsidR="00133ED4" w:rsidRDefault="00FB11EF">
            <w:pPr>
              <w:pStyle w:val="0Maintext"/>
              <w:spacing w:after="120" w:line="240" w:lineRule="auto"/>
              <w:jc w:val="center"/>
              <w:rPr>
                <w:b/>
              </w:rPr>
            </w:pPr>
            <w:r>
              <w:rPr>
                <w:b/>
              </w:rPr>
              <w:t>Comments</w:t>
            </w:r>
          </w:p>
        </w:tc>
      </w:tr>
      <w:tr w:rsidR="00133ED4" w14:paraId="64851884" w14:textId="77777777">
        <w:trPr>
          <w:jc w:val="center"/>
        </w:trPr>
        <w:tc>
          <w:tcPr>
            <w:tcW w:w="2425" w:type="dxa"/>
          </w:tcPr>
          <w:p w14:paraId="5DF4EBAD" w14:textId="3E371B28" w:rsidR="00133ED4" w:rsidRDefault="00712BD6">
            <w:pPr>
              <w:pStyle w:val="0Maintext"/>
              <w:spacing w:after="120" w:line="240" w:lineRule="auto"/>
              <w:rPr>
                <w:rFonts w:eastAsia="Yu Mincho"/>
                <w:lang w:eastAsia="ja-JP"/>
              </w:rPr>
            </w:pPr>
            <w:r>
              <w:rPr>
                <w:rFonts w:eastAsia="Yu Mincho"/>
                <w:lang w:eastAsia="ja-JP"/>
              </w:rPr>
              <w:t>MediaTek</w:t>
            </w:r>
          </w:p>
        </w:tc>
        <w:tc>
          <w:tcPr>
            <w:tcW w:w="6660" w:type="dxa"/>
          </w:tcPr>
          <w:p w14:paraId="4F1E9D4B" w14:textId="35D3D58C" w:rsidR="00133ED4" w:rsidRDefault="00712BD6">
            <w:pPr>
              <w:pStyle w:val="0Maintext"/>
              <w:spacing w:after="120" w:line="240" w:lineRule="auto"/>
              <w:ind w:firstLine="0"/>
              <w:rPr>
                <w:rFonts w:eastAsia="Yu Mincho"/>
                <w:lang w:eastAsia="ja-JP"/>
              </w:rPr>
            </w:pPr>
            <w:r>
              <w:rPr>
                <w:rFonts w:eastAsia="Yu Mincho"/>
                <w:lang w:eastAsia="ja-JP"/>
              </w:rPr>
              <w:t xml:space="preserve">This proposal is reasonable and we support it. </w:t>
            </w:r>
            <w:r w:rsidR="00FB11EF">
              <w:rPr>
                <w:rFonts w:eastAsia="Yu Mincho" w:hint="eastAsia"/>
                <w:lang w:eastAsia="ja-JP"/>
              </w:rPr>
              <w:t xml:space="preserve"> </w:t>
            </w:r>
          </w:p>
        </w:tc>
      </w:tr>
      <w:tr w:rsidR="002E734A" w14:paraId="7ADE678C" w14:textId="77777777">
        <w:trPr>
          <w:jc w:val="center"/>
        </w:trPr>
        <w:tc>
          <w:tcPr>
            <w:tcW w:w="2425" w:type="dxa"/>
          </w:tcPr>
          <w:p w14:paraId="610A6AB9" w14:textId="7E9E03A6" w:rsidR="002E734A" w:rsidRDefault="002E734A" w:rsidP="002E734A">
            <w:pPr>
              <w:pStyle w:val="0Maintext"/>
              <w:spacing w:after="120" w:line="240" w:lineRule="auto"/>
            </w:pPr>
            <w:r w:rsidRPr="008532CB">
              <w:rPr>
                <w:rFonts w:eastAsiaTheme="minorEastAsia" w:cs="Times New Roman"/>
                <w:lang w:eastAsia="zh-CN"/>
              </w:rPr>
              <w:t>Vivo</w:t>
            </w:r>
            <w:r w:rsidRPr="008532CB">
              <w:rPr>
                <w:rFonts w:eastAsia="Yu Mincho" w:cs="Times New Roman"/>
                <w:lang w:eastAsia="ja-JP"/>
              </w:rPr>
              <w:t>1</w:t>
            </w:r>
          </w:p>
        </w:tc>
        <w:tc>
          <w:tcPr>
            <w:tcW w:w="6660" w:type="dxa"/>
          </w:tcPr>
          <w:p w14:paraId="67AD3530" w14:textId="57B12B07" w:rsidR="002E734A" w:rsidRDefault="002E734A" w:rsidP="002E734A">
            <w:pPr>
              <w:pStyle w:val="0Maintext"/>
              <w:spacing w:after="120" w:line="240" w:lineRule="auto"/>
              <w:ind w:firstLine="0"/>
            </w:pPr>
            <w:r w:rsidRPr="00C66441">
              <w:rPr>
                <w:rFonts w:eastAsiaTheme="minorEastAsia" w:cs="Times New Roman"/>
                <w:lang w:eastAsia="zh-CN"/>
              </w:rPr>
              <w:t xml:space="preserve">Our understanding is that </w:t>
            </w:r>
            <w:r w:rsidR="000C44C6">
              <w:rPr>
                <w:rFonts w:eastAsiaTheme="minorEastAsia" w:cs="Times New Roman"/>
                <w:lang w:eastAsia="zh-CN"/>
              </w:rPr>
              <w:t>if</w:t>
            </w:r>
            <w:r w:rsidRPr="00C66441">
              <w:rPr>
                <w:rFonts w:eastAsiaTheme="minorEastAsia" w:cs="Times New Roman"/>
                <w:lang w:eastAsia="zh-CN"/>
              </w:rPr>
              <w:t xml:space="preserve"> the UE</w:t>
            </w:r>
            <w:r w:rsidR="00902FF6">
              <w:rPr>
                <w:rFonts w:eastAsiaTheme="minorEastAsia" w:cs="Times New Roman"/>
                <w:lang w:eastAsia="zh-CN"/>
              </w:rPr>
              <w:t xml:space="preserve"> always</w:t>
            </w:r>
            <w:r w:rsidRPr="00C66441">
              <w:rPr>
                <w:rFonts w:eastAsiaTheme="minorEastAsia" w:cs="Times New Roman"/>
                <w:lang w:eastAsia="zh-CN"/>
              </w:rPr>
              <w:t xml:space="preserve"> maps only 1TX to the 1-port transmission on the second uplink carrier in another band, the existing specification already supports this behaviour, and no change is required.</w:t>
            </w:r>
            <w:r>
              <w:rPr>
                <w:rFonts w:eastAsiaTheme="minorEastAsia" w:cs="Times New Roman"/>
                <w:lang w:eastAsia="zh-CN"/>
              </w:rPr>
              <w:t xml:space="preserve"> </w:t>
            </w:r>
            <w:r w:rsidRPr="00C66441">
              <w:rPr>
                <w:rFonts w:eastAsiaTheme="minorEastAsia" w:cs="Times New Roman"/>
                <w:lang w:eastAsia="zh-CN"/>
              </w:rPr>
              <w:t xml:space="preserve">The proposal appears to </w:t>
            </w:r>
            <w:r w:rsidR="005A14DB">
              <w:rPr>
                <w:rFonts w:eastAsiaTheme="minorEastAsia" w:cs="Times New Roman"/>
                <w:lang w:eastAsia="zh-CN"/>
              </w:rPr>
              <w:t>allow</w:t>
            </w:r>
            <w:r w:rsidRPr="00C66441">
              <w:rPr>
                <w:rFonts w:eastAsiaTheme="minorEastAsia" w:cs="Times New Roman"/>
                <w:lang w:eastAsia="zh-CN"/>
              </w:rPr>
              <w:t xml:space="preserve"> the UE to dynamically</w:t>
            </w:r>
            <w:r>
              <w:rPr>
                <w:rFonts w:eastAsiaTheme="minorEastAsia" w:cs="Times New Roman"/>
                <w:lang w:eastAsia="zh-CN"/>
              </w:rPr>
              <w:t xml:space="preserve"> determine</w:t>
            </w:r>
            <w:r w:rsidRPr="00C66441">
              <w:rPr>
                <w:rFonts w:eastAsiaTheme="minorEastAsia" w:cs="Times New Roman"/>
                <w:lang w:eastAsia="zh-CN"/>
              </w:rPr>
              <w:t xml:space="preserve"> whether to map 2TX to a 1-port transmission. From this perspective, </w:t>
            </w:r>
            <w:r w:rsidR="00902FF6">
              <w:rPr>
                <w:rFonts w:eastAsiaTheme="minorEastAsia" w:cs="Times New Roman"/>
                <w:lang w:eastAsia="zh-CN"/>
              </w:rPr>
              <w:t>this proposal</w:t>
            </w:r>
            <w:r>
              <w:rPr>
                <w:rFonts w:eastAsiaTheme="minorEastAsia" w:cs="Times New Roman"/>
                <w:lang w:eastAsia="zh-CN"/>
              </w:rPr>
              <w:t xml:space="preserve"> seems more like</w:t>
            </w:r>
            <w:r w:rsidRPr="00C66441">
              <w:rPr>
                <w:rFonts w:eastAsiaTheme="minorEastAsia" w:cs="Times New Roman"/>
                <w:lang w:eastAsia="zh-CN"/>
              </w:rPr>
              <w:t xml:space="preserve"> an optimization</w:t>
            </w:r>
            <w:r w:rsidR="00175F26">
              <w:rPr>
                <w:rFonts w:eastAsiaTheme="minorEastAsia" w:cs="Times New Roman"/>
                <w:lang w:eastAsia="zh-CN"/>
              </w:rPr>
              <w:t>.</w:t>
            </w:r>
          </w:p>
        </w:tc>
      </w:tr>
      <w:tr w:rsidR="00133ED4" w14:paraId="7E2033C1" w14:textId="77777777">
        <w:trPr>
          <w:jc w:val="center"/>
        </w:trPr>
        <w:tc>
          <w:tcPr>
            <w:tcW w:w="2425" w:type="dxa"/>
          </w:tcPr>
          <w:p w14:paraId="41376264" w14:textId="6FA5C706" w:rsidR="00133ED4" w:rsidRDefault="00EF7917">
            <w:pPr>
              <w:pStyle w:val="0Maintext"/>
              <w:spacing w:after="120" w:line="240"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6660" w:type="dxa"/>
          </w:tcPr>
          <w:p w14:paraId="4F5C435B" w14:textId="6E95117C" w:rsidR="00EF7917" w:rsidRDefault="00EF7917">
            <w:pPr>
              <w:pStyle w:val="0Maintext"/>
              <w:spacing w:after="120" w:line="240" w:lineRule="auto"/>
              <w:ind w:firstLine="0"/>
              <w:rPr>
                <w:rFonts w:eastAsiaTheme="minorEastAsia"/>
                <w:lang w:eastAsia="zh-CN"/>
              </w:rPr>
            </w:pPr>
            <w:r>
              <w:rPr>
                <w:rFonts w:eastAsiaTheme="minorEastAsia"/>
                <w:lang w:eastAsia="zh-CN"/>
              </w:rPr>
              <w:t>The proposal is covered by the following agreement when the scheduling restriction introduced in Rel-16 was clarified in Rel-18 UL Tx switching.</w:t>
            </w:r>
          </w:p>
          <w:p w14:paraId="67CCC40C" w14:textId="290E4149" w:rsidR="00EF7917" w:rsidRDefault="00EF7917">
            <w:pPr>
              <w:pStyle w:val="0Maintext"/>
              <w:spacing w:after="120" w:line="240" w:lineRule="auto"/>
              <w:ind w:firstLine="0"/>
              <w:rPr>
                <w:rFonts w:eastAsiaTheme="minorEastAsia"/>
                <w:lang w:eastAsia="zh-CN"/>
              </w:rPr>
            </w:pPr>
            <w:r>
              <w:rPr>
                <w:rFonts w:eastAsiaTheme="minorEastAsia"/>
                <w:lang w:eastAsia="zh-CN"/>
              </w:rPr>
              <w:t>It seems not necessary to make an alternative agreement but only focus on whether the conclusion made in RAN1#116 is good enough.</w:t>
            </w:r>
          </w:p>
          <w:p w14:paraId="668D7408" w14:textId="6BCC7AA9" w:rsidR="00EF7917" w:rsidRDefault="00EF7917">
            <w:pPr>
              <w:pStyle w:val="0Maintext"/>
              <w:spacing w:after="120" w:line="240" w:lineRule="auto"/>
              <w:ind w:firstLine="0"/>
              <w:rPr>
                <w:rFonts w:eastAsiaTheme="minorEastAsia"/>
                <w:lang w:eastAsia="zh-CN"/>
              </w:rPr>
            </w:pPr>
            <w:r>
              <w:rPr>
                <w:rFonts w:eastAsiaTheme="minorEastAsia"/>
                <w:lang w:eastAsia="zh-CN"/>
              </w:rPr>
              <w:t>RAN1#115</w:t>
            </w:r>
          </w:p>
          <w:p w14:paraId="6F027B18" w14:textId="77777777" w:rsidR="00EF7917" w:rsidRPr="00EF7917" w:rsidRDefault="00EF7917" w:rsidP="00EF7917">
            <w:pPr>
              <w:rPr>
                <w:rFonts w:ascii="Times" w:eastAsia="Batang" w:hAnsi="Times"/>
                <w:sz w:val="20"/>
                <w:szCs w:val="20"/>
                <w:highlight w:val="green"/>
              </w:rPr>
            </w:pPr>
            <w:bookmarkStart w:id="8" w:name="_Hlk212829138"/>
            <w:r w:rsidRPr="00EF7917">
              <w:rPr>
                <w:rFonts w:ascii="Times" w:eastAsia="Batang" w:hAnsi="Times"/>
                <w:sz w:val="20"/>
                <w:szCs w:val="20"/>
                <w:highlight w:val="green"/>
              </w:rPr>
              <w:t>Agreement</w:t>
            </w:r>
          </w:p>
          <w:p w14:paraId="4D394B24" w14:textId="77777777" w:rsidR="00EF7917" w:rsidRPr="00EF7917" w:rsidRDefault="00EF7917" w:rsidP="00EF7917">
            <w:pPr>
              <w:rPr>
                <w:rFonts w:ascii="Times" w:eastAsia="等线" w:hAnsi="Times"/>
                <w:sz w:val="20"/>
                <w:szCs w:val="20"/>
                <w:highlight w:val="yellow"/>
              </w:rPr>
            </w:pPr>
            <w:r w:rsidRPr="00EF7917">
              <w:rPr>
                <w:rFonts w:ascii="Times" w:eastAsia="Batang" w:hAnsi="Times" w:hint="eastAsia"/>
                <w:sz w:val="20"/>
                <w:szCs w:val="20"/>
                <w:highlight w:val="yellow"/>
                <w:lang w:val="en-GB"/>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2A0494FF"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宋体"/>
                <w:sz w:val="20"/>
                <w:szCs w:val="20"/>
                <w:highlight w:val="yellow"/>
                <w:lang w:val="en-GB"/>
              </w:rPr>
            </w:pPr>
            <w:r w:rsidRPr="00EF7917">
              <w:rPr>
                <w:rFonts w:eastAsia="宋体" w:hint="eastAsia"/>
                <w:sz w:val="20"/>
                <w:szCs w:val="20"/>
                <w:highlight w:val="yellow"/>
                <w:lang w:val="en-GB"/>
              </w:rPr>
              <w:t>FFS: whether any specification impact is needed considering the existing cut-off time specified in S6.1.6 of TS 38.214</w:t>
            </w:r>
            <w:r w:rsidRPr="00EF7917">
              <w:rPr>
                <w:rFonts w:eastAsia="宋体"/>
                <w:sz w:val="20"/>
                <w:szCs w:val="20"/>
                <w:highlight w:val="yellow"/>
                <w:lang w:val="en-GB"/>
              </w:rPr>
              <w:t>.</w:t>
            </w:r>
          </w:p>
          <w:p w14:paraId="0CD4CA37" w14:textId="77777777" w:rsidR="00EF7917" w:rsidRPr="00EF7917" w:rsidRDefault="00EF7917" w:rsidP="00EF7917">
            <w:pPr>
              <w:rPr>
                <w:rFonts w:ascii="Times" w:eastAsia="Batang" w:hAnsi="Times"/>
                <w:sz w:val="20"/>
                <w:szCs w:val="20"/>
                <w:lang w:val="en-GB"/>
              </w:rPr>
            </w:pPr>
            <w:r w:rsidRPr="00EF7917">
              <w:rPr>
                <w:rFonts w:ascii="Times" w:eastAsia="Batang" w:hAnsi="Times"/>
                <w:sz w:val="20"/>
                <w:szCs w:val="20"/>
                <w:lang w:val="en-GB"/>
              </w:rPr>
              <w:t>I</w:t>
            </w:r>
            <w:r w:rsidRPr="00EF7917">
              <w:rPr>
                <w:rFonts w:ascii="Times" w:eastAsia="Batang" w:hAnsi="Times" w:hint="eastAsia"/>
                <w:sz w:val="20"/>
                <w:szCs w:val="20"/>
                <w:lang w:val="en-GB"/>
              </w:rPr>
              <w:t xml:space="preserve">f the two Tx chains are triggered to switch between two different band pairs (e.g., band A + band B-&gt;band C+ band D), and when the two UL transmissions on band C and band D are at least partially overlapped in time domain, the </w:t>
            </w:r>
            <w:proofErr w:type="spellStart"/>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proofErr w:type="spellEnd"/>
            <w:r w:rsidRPr="00EF7917">
              <w:rPr>
                <w:rFonts w:ascii="Times" w:eastAsia="Batang" w:hAnsi="Times" w:hint="eastAsia"/>
                <w:sz w:val="20"/>
                <w:szCs w:val="20"/>
                <w:lang w:val="en-GB"/>
              </w:rPr>
              <w:t xml:space="preserve"> </w:t>
            </w:r>
            <w:r w:rsidRPr="00EF7917">
              <w:rPr>
                <w:rFonts w:ascii="Times" w:eastAsia="Batang" w:hAnsi="Times"/>
                <w:sz w:val="20"/>
                <w:szCs w:val="20"/>
                <w:lang w:val="en-GB"/>
              </w:rPr>
              <w:t xml:space="preserve">of </w:t>
            </w:r>
            <w:r w:rsidRPr="00EF7917">
              <w:rPr>
                <w:rFonts w:ascii="Times" w:eastAsia="Batang" w:hAnsi="Times" w:hint="eastAsia"/>
                <w:sz w:val="20"/>
                <w:szCs w:val="20"/>
                <w:lang w:val="en-GB"/>
              </w:rPr>
              <w:t xml:space="preserve">timeline </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0</w:t>
            </w:r>
            <w:r w:rsidRPr="00EF7917">
              <w:rPr>
                <w:rFonts w:ascii="Times" w:eastAsia="Batang" w:hAnsi="Times" w:hint="eastAsia"/>
                <w:i/>
                <w:iCs/>
                <w:sz w:val="20"/>
                <w:szCs w:val="20"/>
                <w:lang w:val="en-GB"/>
              </w:rPr>
              <w:t>-T</w:t>
            </w:r>
            <w:r w:rsidRPr="00EF7917">
              <w:rPr>
                <w:rFonts w:ascii="Times" w:eastAsia="Batang" w:hAnsi="Times" w:hint="eastAsia"/>
                <w:i/>
                <w:iCs/>
                <w:sz w:val="20"/>
                <w:szCs w:val="20"/>
                <w:vertAlign w:val="subscript"/>
                <w:lang w:val="en-GB"/>
              </w:rPr>
              <w:t>offset</w:t>
            </w:r>
            <w:r w:rsidRPr="00EF7917">
              <w:rPr>
                <w:rFonts w:ascii="Times" w:eastAsia="Batang" w:hAnsi="Times" w:hint="eastAsia"/>
                <w:sz w:val="20"/>
                <w:szCs w:val="20"/>
                <w:lang w:val="en-GB"/>
              </w:rPr>
              <w:t xml:space="preserve"> for switching is determined based on the switching gap defined for a single Tx switching in [8, TS 38.101-1]</w:t>
            </w:r>
            <w:r w:rsidRPr="00EF7917">
              <w:rPr>
                <w:rFonts w:ascii="Times" w:eastAsia="Batang" w:hAnsi="Times"/>
                <w:sz w:val="20"/>
                <w:szCs w:val="20"/>
                <w:lang w:val="en-GB"/>
              </w:rPr>
              <w:t>.</w:t>
            </w:r>
          </w:p>
          <w:p w14:paraId="5A5E4FB5"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宋体"/>
                <w:sz w:val="20"/>
                <w:szCs w:val="20"/>
                <w:lang w:val="en-GB"/>
              </w:rPr>
            </w:pPr>
            <w:r w:rsidRPr="00EF7917">
              <w:rPr>
                <w:rFonts w:eastAsia="宋体"/>
                <w:sz w:val="20"/>
                <w:szCs w:val="20"/>
                <w:lang w:val="en-GB"/>
              </w:rPr>
              <w:t>T0 is the starting point of the earlier transmission among the two uplink transmissions (band C + band D). This does not change the definition of T0 in current specifications.</w:t>
            </w:r>
          </w:p>
          <w:p w14:paraId="6F24C7A4" w14:textId="77777777" w:rsidR="00EF7917" w:rsidRPr="00EF7917" w:rsidRDefault="00EF7917" w:rsidP="00EF7917">
            <w:pPr>
              <w:numPr>
                <w:ilvl w:val="0"/>
                <w:numId w:val="4"/>
              </w:numPr>
              <w:overflowPunct w:val="0"/>
              <w:autoSpaceDE w:val="0"/>
              <w:autoSpaceDN w:val="0"/>
              <w:adjustRightInd w:val="0"/>
              <w:snapToGrid w:val="0"/>
              <w:spacing w:after="180" w:line="259" w:lineRule="auto"/>
              <w:contextualSpacing/>
              <w:jc w:val="both"/>
              <w:textAlignment w:val="baseline"/>
              <w:rPr>
                <w:rFonts w:eastAsia="宋体"/>
                <w:sz w:val="20"/>
                <w:szCs w:val="20"/>
                <w:lang w:val="en-GB"/>
              </w:rPr>
            </w:pPr>
            <w:r w:rsidRPr="00EF7917">
              <w:rPr>
                <w:rFonts w:eastAsia="宋体"/>
                <w:sz w:val="20"/>
                <w:szCs w:val="20"/>
                <w:lang w:val="en-GB"/>
              </w:rPr>
              <w:t>FFS: whether any specification impact is needed.</w:t>
            </w:r>
          </w:p>
          <w:bookmarkEnd w:id="8"/>
          <w:p w14:paraId="14D21321" w14:textId="1F4F0D4F" w:rsidR="00EF7917" w:rsidRDefault="00EF7917" w:rsidP="00EF7917">
            <w:pPr>
              <w:pStyle w:val="0Maintext"/>
              <w:spacing w:after="120" w:line="240" w:lineRule="auto"/>
              <w:ind w:firstLine="0"/>
              <w:rPr>
                <w:rFonts w:eastAsiaTheme="minorEastAsia"/>
                <w:lang w:eastAsia="zh-CN"/>
              </w:rPr>
            </w:pPr>
            <w:r>
              <w:rPr>
                <w:rFonts w:eastAsiaTheme="minorEastAsia"/>
                <w:lang w:eastAsia="zh-CN"/>
              </w:rPr>
              <w:t>RAN1#116</w:t>
            </w:r>
          </w:p>
          <w:p w14:paraId="3770F52E" w14:textId="451013BD" w:rsidR="00EF7917" w:rsidRPr="00607209" w:rsidRDefault="00EF7917" w:rsidP="00EF7917">
            <w:pPr>
              <w:pStyle w:val="0Maintext"/>
              <w:spacing w:after="120" w:line="240" w:lineRule="auto"/>
              <w:ind w:firstLine="0"/>
              <w:rPr>
                <w:rFonts w:ascii="Times" w:eastAsia="MS Mincho" w:hAnsi="Times"/>
                <w:b/>
                <w:bCs/>
              </w:rPr>
            </w:pPr>
            <w:r>
              <w:rPr>
                <w:rFonts w:eastAsiaTheme="minorEastAsia"/>
                <w:lang w:eastAsia="zh-CN"/>
              </w:rPr>
              <w:t xml:space="preserve"> </w:t>
            </w:r>
            <w:r w:rsidRPr="00607209">
              <w:rPr>
                <w:rFonts w:ascii="Times" w:eastAsia="MS Mincho" w:hAnsi="Times"/>
                <w:b/>
                <w:bCs/>
              </w:rPr>
              <w:t>Conclusion</w:t>
            </w:r>
          </w:p>
          <w:p w14:paraId="037AB5BD" w14:textId="77777777" w:rsidR="00EF7917" w:rsidRPr="00607209" w:rsidRDefault="00EF7917" w:rsidP="00EF7917">
            <w:pPr>
              <w:rPr>
                <w:rFonts w:ascii="Times" w:eastAsia="MS Mincho" w:hAnsi="Times"/>
                <w:sz w:val="20"/>
                <w:lang w:eastAsia="ja-JP"/>
              </w:rPr>
            </w:pPr>
            <w:r w:rsidRPr="00EF7917">
              <w:rPr>
                <w:rFonts w:ascii="Times" w:eastAsia="MS Mincho" w:hAnsi="Times" w:hint="eastAsia"/>
                <w:sz w:val="20"/>
                <w:highlight w:val="yellow"/>
                <w:lang w:eastAsia="ja-JP"/>
              </w:rPr>
              <w:t>F</w:t>
            </w:r>
            <w:r w:rsidRPr="00EF7917">
              <w:rPr>
                <w:rFonts w:ascii="Times" w:eastAsia="MS Mincho" w:hAnsi="Times"/>
                <w:sz w:val="20"/>
                <w:highlight w:val="yellow"/>
                <w:lang w:eastAsia="ja-JP"/>
              </w:rPr>
              <w:t>ollowing scheduling restriction is covered by section 6.1.6 in TS38.214.</w:t>
            </w:r>
          </w:p>
          <w:p w14:paraId="159AC6D7" w14:textId="77777777" w:rsidR="00EF7917" w:rsidRPr="00607209" w:rsidRDefault="00EF7917" w:rsidP="00EF7917">
            <w:pPr>
              <w:numPr>
                <w:ilvl w:val="0"/>
                <w:numId w:val="5"/>
              </w:numPr>
              <w:rPr>
                <w:rFonts w:ascii="Times" w:eastAsia="MS Mincho" w:hAnsi="Times"/>
                <w:sz w:val="20"/>
                <w:lang w:eastAsia="ja-JP"/>
              </w:rPr>
            </w:pPr>
            <w:r w:rsidRPr="00607209">
              <w:rPr>
                <w:rFonts w:ascii="Times" w:eastAsia="MS Mincho" w:hAnsi="Times"/>
                <w:sz w:val="20"/>
                <w:lang w:eastAsia="ja-JP"/>
              </w:rPr>
              <w:t>For UL Tx switching, if an UL transmission with starting symbol at T0 is scheduled to a UE, the UE is not expected to be scheduled with another UL transmission overlapping with the first UL transmission in time and resulting in interruption on the first UL transmission by a DCI arriving later than T0-Toffset.</w:t>
            </w:r>
          </w:p>
          <w:p w14:paraId="4E4490B9" w14:textId="77777777" w:rsidR="00EF7917" w:rsidRPr="00EF7917" w:rsidRDefault="00EF7917">
            <w:pPr>
              <w:pStyle w:val="0Maintext"/>
              <w:spacing w:after="120" w:line="240" w:lineRule="auto"/>
              <w:ind w:firstLine="0"/>
              <w:rPr>
                <w:rFonts w:eastAsiaTheme="minorEastAsia"/>
                <w:lang w:val="en-US" w:eastAsia="zh-CN"/>
              </w:rPr>
            </w:pPr>
          </w:p>
          <w:p w14:paraId="4B28FA89" w14:textId="565677F3" w:rsidR="00EF7917" w:rsidRDefault="00EF7917">
            <w:pPr>
              <w:pStyle w:val="0Maintext"/>
              <w:spacing w:after="120" w:line="240" w:lineRule="auto"/>
              <w:ind w:firstLine="0"/>
              <w:rPr>
                <w:rFonts w:eastAsiaTheme="minorEastAsia"/>
                <w:lang w:eastAsia="zh-CN"/>
              </w:rPr>
            </w:pPr>
          </w:p>
        </w:tc>
      </w:tr>
      <w:tr w:rsidR="00133ED4" w14:paraId="554CBE0D" w14:textId="77777777">
        <w:trPr>
          <w:jc w:val="center"/>
        </w:trPr>
        <w:tc>
          <w:tcPr>
            <w:tcW w:w="2425" w:type="dxa"/>
          </w:tcPr>
          <w:p w14:paraId="346E7916" w14:textId="7E4BF835" w:rsidR="00133ED4" w:rsidRDefault="00133ED4">
            <w:pPr>
              <w:pStyle w:val="0Maintext"/>
              <w:spacing w:after="120" w:line="240" w:lineRule="auto"/>
              <w:rPr>
                <w:rFonts w:eastAsia="PMingLiU"/>
                <w:lang w:eastAsia="zh-TW"/>
              </w:rPr>
            </w:pPr>
          </w:p>
        </w:tc>
        <w:tc>
          <w:tcPr>
            <w:tcW w:w="6660" w:type="dxa"/>
          </w:tcPr>
          <w:p w14:paraId="0D281225" w14:textId="2B9E59AB" w:rsidR="00133ED4" w:rsidRDefault="00133ED4">
            <w:pPr>
              <w:pStyle w:val="0Maintext"/>
              <w:spacing w:after="120" w:line="240" w:lineRule="auto"/>
              <w:ind w:firstLine="0"/>
              <w:rPr>
                <w:rFonts w:eastAsia="PMingLiU"/>
                <w:lang w:eastAsia="zh-TW"/>
              </w:rPr>
            </w:pPr>
          </w:p>
        </w:tc>
      </w:tr>
    </w:tbl>
    <w:p w14:paraId="2E590052" w14:textId="77777777" w:rsidR="00133ED4" w:rsidRDefault="00133ED4">
      <w:pPr>
        <w:pStyle w:val="0Maintext"/>
        <w:spacing w:after="120" w:afterAutospacing="0" w:line="240" w:lineRule="auto"/>
        <w:ind w:firstLine="0"/>
        <w:rPr>
          <w:lang w:val="en-US" w:eastAsia="zh-CN"/>
        </w:rPr>
      </w:pPr>
    </w:p>
    <w:p w14:paraId="276E1372" w14:textId="77777777" w:rsidR="00133ED4" w:rsidRDefault="00133ED4">
      <w:pPr>
        <w:pStyle w:val="0Maintext"/>
        <w:spacing w:after="0" w:afterAutospacing="0" w:line="240" w:lineRule="auto"/>
        <w:ind w:firstLine="0"/>
        <w:rPr>
          <w:b/>
          <w:bCs/>
        </w:rPr>
      </w:pPr>
    </w:p>
    <w:p w14:paraId="5F78D048" w14:textId="77777777" w:rsidR="005A1E74" w:rsidRDefault="00FB11EF" w:rsidP="005A1E74">
      <w:pPr>
        <w:pStyle w:val="0Maintext"/>
        <w:spacing w:after="0" w:afterAutospacing="0" w:line="240" w:lineRule="auto"/>
        <w:ind w:firstLine="0"/>
      </w:pPr>
      <w:r>
        <w:rPr>
          <w:b/>
          <w:bCs/>
        </w:rPr>
        <w:t xml:space="preserve">Proposal 2: </w:t>
      </w:r>
      <w:r>
        <w:rPr>
          <w:b/>
          <w:bCs/>
          <w:lang w:val="en-US"/>
        </w:rPr>
        <w:t xml:space="preserve">Agree with the following TP to capture the above discussion. </w:t>
      </w:r>
    </w:p>
    <w:tbl>
      <w:tblPr>
        <w:tblStyle w:val="ac"/>
        <w:tblpPr w:leftFromText="180" w:rightFromText="180" w:vertAnchor="text" w:horzAnchor="margin" w:tblpY="128"/>
        <w:tblW w:w="9288" w:type="dxa"/>
        <w:tblLayout w:type="fixed"/>
        <w:tblLook w:val="04A0" w:firstRow="1" w:lastRow="0" w:firstColumn="1" w:lastColumn="0" w:noHBand="0" w:noVBand="1"/>
      </w:tblPr>
      <w:tblGrid>
        <w:gridCol w:w="9288"/>
      </w:tblGrid>
      <w:tr w:rsidR="005A1E74" w14:paraId="47467A7C" w14:textId="77777777" w:rsidTr="00B80752">
        <w:tc>
          <w:tcPr>
            <w:tcW w:w="9288" w:type="dxa"/>
          </w:tcPr>
          <w:p w14:paraId="38DB4A79" w14:textId="77777777" w:rsidR="005A1E74" w:rsidRPr="00BC36B8" w:rsidRDefault="005A1E74" w:rsidP="00B80752">
            <w:pPr>
              <w:keepNext/>
              <w:spacing w:before="120"/>
              <w:outlineLvl w:val="3"/>
              <w:rPr>
                <w:rFonts w:ascii="Arial" w:eastAsia="Arial" w:hAnsi="Arial"/>
                <w:color w:val="000000"/>
                <w:sz w:val="20"/>
                <w:szCs w:val="20"/>
              </w:rPr>
            </w:pPr>
            <w:r w:rsidRPr="00BC36B8">
              <w:rPr>
                <w:rFonts w:ascii="Arial" w:eastAsia="Arial" w:hAnsi="Arial"/>
                <w:color w:val="000000"/>
                <w:sz w:val="20"/>
                <w:szCs w:val="20"/>
              </w:rPr>
              <w:t>6.1.</w:t>
            </w:r>
            <w:r>
              <w:rPr>
                <w:rFonts w:ascii="Arial" w:eastAsia="Arial" w:hAnsi="Arial"/>
                <w:color w:val="000000"/>
                <w:sz w:val="20"/>
                <w:szCs w:val="20"/>
              </w:rPr>
              <w:t>6.2</w:t>
            </w:r>
            <w:r w:rsidRPr="00BC36B8">
              <w:rPr>
                <w:rFonts w:ascii="Arial" w:eastAsia="Arial" w:hAnsi="Arial"/>
                <w:color w:val="000000"/>
                <w:sz w:val="20"/>
                <w:szCs w:val="20"/>
              </w:rPr>
              <w:tab/>
            </w:r>
            <w:r w:rsidRPr="0037605B">
              <w:rPr>
                <w:rFonts w:ascii="Arial" w:eastAsia="Arial" w:hAnsi="Arial"/>
                <w:color w:val="000000"/>
                <w:sz w:val="20"/>
                <w:szCs w:val="20"/>
                <w:lang w:val="en-GB"/>
              </w:rPr>
              <w:t xml:space="preserve">Uplink switching for </w:t>
            </w:r>
            <w:r w:rsidRPr="0037605B">
              <w:rPr>
                <w:rFonts w:ascii="Arial" w:eastAsia="Arial" w:hAnsi="Arial"/>
                <w:color w:val="000000"/>
                <w:sz w:val="20"/>
                <w:szCs w:val="20"/>
              </w:rPr>
              <w:t>c</w:t>
            </w:r>
            <w:proofErr w:type="spellStart"/>
            <w:r w:rsidRPr="0037605B">
              <w:rPr>
                <w:rFonts w:ascii="Arial" w:eastAsia="Arial" w:hAnsi="Arial"/>
                <w:color w:val="000000"/>
                <w:sz w:val="20"/>
                <w:szCs w:val="20"/>
                <w:lang w:val="en-GB"/>
              </w:rPr>
              <w:t>arrier</w:t>
            </w:r>
            <w:proofErr w:type="spellEnd"/>
            <w:r w:rsidRPr="0037605B">
              <w:rPr>
                <w:rFonts w:ascii="Arial" w:eastAsia="Arial" w:hAnsi="Arial"/>
                <w:color w:val="000000"/>
                <w:sz w:val="20"/>
                <w:szCs w:val="20"/>
                <w:lang w:val="en-GB"/>
              </w:rPr>
              <w:t xml:space="preserve"> </w:t>
            </w:r>
            <w:r w:rsidRPr="0037605B">
              <w:rPr>
                <w:rFonts w:ascii="Arial" w:eastAsia="Arial" w:hAnsi="Arial"/>
                <w:color w:val="000000"/>
                <w:sz w:val="20"/>
                <w:szCs w:val="20"/>
              </w:rPr>
              <w:t>a</w:t>
            </w:r>
            <w:proofErr w:type="spellStart"/>
            <w:r w:rsidRPr="0037605B">
              <w:rPr>
                <w:rFonts w:ascii="Arial" w:eastAsia="Arial" w:hAnsi="Arial"/>
                <w:color w:val="000000"/>
                <w:sz w:val="20"/>
                <w:szCs w:val="20"/>
                <w:lang w:val="en-GB"/>
              </w:rPr>
              <w:t>ggregation</w:t>
            </w:r>
            <w:proofErr w:type="spellEnd"/>
          </w:p>
          <w:p w14:paraId="4FC4E883" w14:textId="77777777" w:rsidR="005A1E74" w:rsidRPr="00BC36B8" w:rsidRDefault="005A1E74" w:rsidP="00B80752">
            <w:pPr>
              <w:jc w:val="both"/>
              <w:rPr>
                <w:rFonts w:eastAsia="宋体"/>
                <w:sz w:val="20"/>
                <w:szCs w:val="20"/>
              </w:rPr>
            </w:pPr>
            <w:r w:rsidRPr="00BC36B8">
              <w:rPr>
                <w:rFonts w:eastAsia="宋体"/>
                <w:sz w:val="20"/>
                <w:szCs w:val="20"/>
              </w:rPr>
              <w:t>…</w:t>
            </w:r>
            <w:r w:rsidRPr="00BC36B8">
              <w:rPr>
                <w:rFonts w:eastAsia="宋体" w:hint="eastAsia"/>
                <w:sz w:val="20"/>
                <w:szCs w:val="20"/>
              </w:rPr>
              <w:t>.</w:t>
            </w:r>
          </w:p>
          <w:p w14:paraId="5018BA49" w14:textId="77777777" w:rsidR="005A1E74" w:rsidRDefault="005A1E74" w:rsidP="00B80752">
            <w:pPr>
              <w:jc w:val="both"/>
              <w:rPr>
                <w:sz w:val="20"/>
                <w:szCs w:val="20"/>
              </w:rPr>
            </w:pPr>
            <w:r w:rsidRPr="0037605B">
              <w:rPr>
                <w:sz w:val="20"/>
                <w:szCs w:val="20"/>
              </w:rPr>
              <w:t xml:space="preserve">For the UE configured with </w:t>
            </w:r>
            <w:proofErr w:type="spellStart"/>
            <w:r w:rsidRPr="0037605B">
              <w:rPr>
                <w:i/>
                <w:iCs/>
                <w:sz w:val="20"/>
                <w:szCs w:val="20"/>
              </w:rPr>
              <w:t>uplinkTxSwitchingOption</w:t>
            </w:r>
            <w:proofErr w:type="spellEnd"/>
            <w:r w:rsidRPr="0037605B">
              <w:rPr>
                <w:sz w:val="20"/>
                <w:szCs w:val="20"/>
              </w:rPr>
              <w:t xml:space="preserve"> set to </w:t>
            </w:r>
            <w:r w:rsidRPr="0037605B">
              <w:rPr>
                <w:sz w:val="20"/>
                <w:szCs w:val="20"/>
                <w:lang w:val="en-GB"/>
              </w:rPr>
              <w:t>'</w:t>
            </w:r>
            <w:r w:rsidRPr="0037605B">
              <w:rPr>
                <w:iCs/>
                <w:noProof/>
                <w:sz w:val="20"/>
                <w:szCs w:val="20"/>
                <w:lang w:eastAsia="en-GB"/>
              </w:rPr>
              <w:t>dualUL'</w:t>
            </w:r>
            <w:r w:rsidRPr="0037605B">
              <w:rPr>
                <w:sz w:val="20"/>
                <w:szCs w:val="20"/>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37605B">
              <w:rPr>
                <w:sz w:val="20"/>
                <w:szCs w:val="20"/>
                <w:lang w:val="en-GB"/>
              </w:rPr>
              <w:t>i</w:t>
            </w:r>
            <w:proofErr w:type="spellEnd"/>
            <w:r w:rsidRPr="0037605B">
              <w:rPr>
                <w:sz w:val="20"/>
                <w:szCs w:val="20"/>
              </w:rPr>
              <w:t xml:space="preserve">n the same </w:t>
            </w:r>
            <w:r w:rsidRPr="0037605B">
              <w:rPr>
                <w:sz w:val="20"/>
                <w:szCs w:val="20"/>
                <w:lang w:val="en-GB"/>
              </w:rPr>
              <w:t>band</w:t>
            </w:r>
            <w:r w:rsidRPr="0037605B">
              <w:rPr>
                <w:sz w:val="20"/>
                <w:szCs w:val="20"/>
              </w:rPr>
              <w:t xml:space="preserve">, then the UE is not expected to transmit for the duration of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Tx1-Tx2</m:t>
                  </m:r>
                </m:sub>
              </m:sSub>
            </m:oMath>
            <w:r w:rsidRPr="0037605B">
              <w:rPr>
                <w:sz w:val="20"/>
                <w:szCs w:val="20"/>
              </w:rPr>
              <w:t xml:space="preserve"> on any of the carriers</w:t>
            </w:r>
            <w:r>
              <w:rPr>
                <w:sz w:val="20"/>
                <w:szCs w:val="20"/>
              </w:rPr>
              <w:t>.</w:t>
            </w:r>
          </w:p>
          <w:p w14:paraId="5FAF7469" w14:textId="77777777" w:rsidR="005A1E74" w:rsidRPr="00BC36B8" w:rsidRDefault="005A1E74" w:rsidP="00B80752">
            <w:pPr>
              <w:jc w:val="both"/>
              <w:rPr>
                <w:rFonts w:eastAsia="宋体"/>
                <w:sz w:val="20"/>
                <w:szCs w:val="20"/>
              </w:rPr>
            </w:pPr>
          </w:p>
          <w:p w14:paraId="6911BD94" w14:textId="0430F207" w:rsidR="005A1E74" w:rsidRPr="00877F3D" w:rsidRDefault="005A1E74" w:rsidP="00B80752">
            <w:pPr>
              <w:jc w:val="both"/>
              <w:rPr>
                <w:color w:val="EE0000"/>
                <w:sz w:val="20"/>
                <w:szCs w:val="20"/>
              </w:rPr>
            </w:pPr>
            <w:r w:rsidRPr="00877F3D">
              <w:rPr>
                <w:color w:val="EE0000"/>
                <w:sz w:val="20"/>
                <w:szCs w:val="20"/>
              </w:rPr>
              <w:t xml:space="preserve">For the UE configured with </w:t>
            </w:r>
            <w:proofErr w:type="spellStart"/>
            <w:r w:rsidRPr="00877F3D">
              <w:rPr>
                <w:i/>
                <w:iCs/>
                <w:color w:val="EE0000"/>
                <w:sz w:val="20"/>
                <w:szCs w:val="20"/>
              </w:rPr>
              <w:t>uplinkTxSwitchingOption</w:t>
            </w:r>
            <w:proofErr w:type="spellEnd"/>
            <w:r w:rsidRPr="00877F3D">
              <w:rPr>
                <w:color w:val="EE0000"/>
                <w:sz w:val="20"/>
                <w:szCs w:val="20"/>
              </w:rPr>
              <w:t xml:space="preserve"> set to ‘</w:t>
            </w:r>
            <w:proofErr w:type="spellStart"/>
            <w:r w:rsidRPr="00877F3D">
              <w:rPr>
                <w:color w:val="EE0000"/>
                <w:sz w:val="20"/>
                <w:szCs w:val="20"/>
              </w:rPr>
              <w:t>dualUL</w:t>
            </w:r>
            <w:proofErr w:type="spellEnd"/>
            <w:r w:rsidRPr="00877F3D">
              <w:rPr>
                <w:color w:val="EE0000"/>
                <w:sz w:val="20"/>
                <w:szCs w:val="20"/>
              </w:rPr>
              <w:t xml:space="preserve">’, when the UE is to transmit a 1-port transmission on the first uplink carrier on one band and if the preceding uplink transmission </w:t>
            </w:r>
            <w:r>
              <w:rPr>
                <w:color w:val="EE0000"/>
                <w:sz w:val="20"/>
                <w:szCs w:val="20"/>
              </w:rPr>
              <w:t>is</w:t>
            </w:r>
            <w:r w:rsidRPr="00877F3D">
              <w:rPr>
                <w:color w:val="EE0000"/>
                <w:sz w:val="20"/>
                <w:szCs w:val="20"/>
              </w:rPr>
              <w:t xml:space="preserve"> a 1-port transmission on the second uplink carrier on another band and the UE is under the operation state in which 2-port transmission can be supported </w:t>
            </w:r>
            <w:proofErr w:type="spellStart"/>
            <w:r w:rsidRPr="00877F3D">
              <w:rPr>
                <w:color w:val="EE0000"/>
                <w:sz w:val="20"/>
                <w:szCs w:val="20"/>
                <w:lang w:val="en-GB"/>
              </w:rPr>
              <w:t>i</w:t>
            </w:r>
            <w:proofErr w:type="spellEnd"/>
            <w:r w:rsidRPr="00877F3D">
              <w:rPr>
                <w:color w:val="EE0000"/>
                <w:sz w:val="20"/>
                <w:szCs w:val="20"/>
              </w:rPr>
              <w:t xml:space="preserve">n the same </w:t>
            </w:r>
            <w:r w:rsidRPr="00877F3D">
              <w:rPr>
                <w:color w:val="EE0000"/>
                <w:sz w:val="20"/>
                <w:szCs w:val="20"/>
                <w:lang w:val="en-GB"/>
              </w:rPr>
              <w:t>band</w:t>
            </w:r>
            <w:r w:rsidRPr="00877F3D">
              <w:rPr>
                <w:color w:val="EE0000"/>
                <w:sz w:val="20"/>
                <w:szCs w:val="20"/>
              </w:rPr>
              <w:t>, then the  DCI triggering uplink switching on the first carrier cannot be received</w:t>
            </w:r>
            <w:r>
              <w:rPr>
                <w:color w:val="EE0000"/>
                <w:sz w:val="20"/>
                <w:szCs w:val="20"/>
              </w:rPr>
              <w:t xml:space="preserve"> after</w:t>
            </w:r>
            <w:r w:rsidRPr="00877F3D">
              <w:rPr>
                <w:color w:val="EE0000"/>
                <w:sz w:val="20"/>
                <w:szCs w:val="20"/>
              </w:rPr>
              <w:t xml:space="preserve"> </w:t>
            </w:r>
            <w:proofErr w:type="spellStart"/>
            <w:r>
              <w:rPr>
                <w:i/>
                <w:color w:val="EE0000"/>
                <w:sz w:val="20"/>
                <w:szCs w:val="20"/>
              </w:rPr>
              <w:t>T</w:t>
            </w:r>
            <w:r>
              <w:rPr>
                <w:i/>
                <w:color w:val="EE0000"/>
                <w:sz w:val="20"/>
                <w:szCs w:val="20"/>
                <w:vertAlign w:val="subscript"/>
              </w:rPr>
              <w:t>offset</w:t>
            </w:r>
            <w:proofErr w:type="spellEnd"/>
            <w:r w:rsidRPr="00877F3D">
              <w:rPr>
                <w:color w:val="EE0000"/>
                <w:sz w:val="20"/>
                <w:szCs w:val="20"/>
              </w:rPr>
              <w:t xml:space="preserve"> symbols before the start of 1-port transmission on the second uplink carrier</w:t>
            </w:r>
            <w:r>
              <w:rPr>
                <w:color w:val="EE0000"/>
                <w:sz w:val="20"/>
                <w:szCs w:val="20"/>
              </w:rPr>
              <w:t>.</w:t>
            </w:r>
          </w:p>
          <w:p w14:paraId="68A2C402" w14:textId="77777777" w:rsidR="005A1E74" w:rsidRDefault="005A1E74" w:rsidP="00B80752">
            <w:pPr>
              <w:jc w:val="both"/>
              <w:rPr>
                <w:rFonts w:eastAsiaTheme="minorEastAsia"/>
              </w:rPr>
            </w:pPr>
            <w:r w:rsidRPr="00E11D87">
              <w:rPr>
                <w:sz w:val="20"/>
                <w:szCs w:val="20"/>
              </w:rPr>
              <w:t>…</w:t>
            </w:r>
          </w:p>
        </w:tc>
      </w:tr>
    </w:tbl>
    <w:p w14:paraId="3FE6A1B2" w14:textId="763B6403" w:rsidR="00133ED4" w:rsidRDefault="00133ED4" w:rsidP="005A1E74">
      <w:pPr>
        <w:pStyle w:val="0Maintext"/>
        <w:spacing w:after="0" w:afterAutospacing="0" w:line="240" w:lineRule="auto"/>
        <w:ind w:firstLine="0"/>
      </w:pPr>
    </w:p>
    <w:p w14:paraId="0DD5FFD6" w14:textId="77777777" w:rsidR="00133ED4" w:rsidRDefault="00FB11EF">
      <w:pPr>
        <w:pStyle w:val="0Maintext"/>
        <w:spacing w:after="0"/>
        <w:ind w:firstLine="0"/>
      </w:pPr>
      <w:r>
        <w:t>Please provide your feedback regarding the above Proposal 2.</w:t>
      </w:r>
    </w:p>
    <w:tbl>
      <w:tblPr>
        <w:tblStyle w:val="ac"/>
        <w:tblW w:w="9085" w:type="dxa"/>
        <w:jc w:val="center"/>
        <w:tblLook w:val="04A0" w:firstRow="1" w:lastRow="0" w:firstColumn="1" w:lastColumn="0" w:noHBand="0" w:noVBand="1"/>
      </w:tblPr>
      <w:tblGrid>
        <w:gridCol w:w="2425"/>
        <w:gridCol w:w="6660"/>
      </w:tblGrid>
      <w:tr w:rsidR="00133ED4" w14:paraId="1BCFBB30" w14:textId="77777777">
        <w:trPr>
          <w:jc w:val="center"/>
        </w:trPr>
        <w:tc>
          <w:tcPr>
            <w:tcW w:w="2425" w:type="dxa"/>
            <w:shd w:val="clear" w:color="auto" w:fill="ACB9CA" w:themeFill="text2" w:themeFillTint="66"/>
          </w:tcPr>
          <w:p w14:paraId="65C463DF" w14:textId="77777777" w:rsidR="00133ED4" w:rsidRDefault="00FB11EF">
            <w:pPr>
              <w:pStyle w:val="0Maintext"/>
              <w:spacing w:after="120" w:line="240" w:lineRule="auto"/>
              <w:rPr>
                <w:b/>
              </w:rPr>
            </w:pPr>
            <w:r>
              <w:rPr>
                <w:b/>
              </w:rPr>
              <w:t>Company</w:t>
            </w:r>
          </w:p>
        </w:tc>
        <w:tc>
          <w:tcPr>
            <w:tcW w:w="6660" w:type="dxa"/>
            <w:shd w:val="clear" w:color="auto" w:fill="ACB9CA" w:themeFill="text2" w:themeFillTint="66"/>
          </w:tcPr>
          <w:p w14:paraId="3A384584" w14:textId="77777777" w:rsidR="00133ED4" w:rsidRDefault="00FB11EF">
            <w:pPr>
              <w:pStyle w:val="0Maintext"/>
              <w:spacing w:after="120" w:line="240" w:lineRule="auto"/>
              <w:jc w:val="center"/>
              <w:rPr>
                <w:b/>
              </w:rPr>
            </w:pPr>
            <w:r>
              <w:rPr>
                <w:b/>
              </w:rPr>
              <w:t>Comments</w:t>
            </w:r>
          </w:p>
        </w:tc>
      </w:tr>
      <w:tr w:rsidR="00133ED4" w14:paraId="21717E60" w14:textId="77777777">
        <w:trPr>
          <w:jc w:val="center"/>
        </w:trPr>
        <w:tc>
          <w:tcPr>
            <w:tcW w:w="2425" w:type="dxa"/>
          </w:tcPr>
          <w:p w14:paraId="6E17FEB7" w14:textId="46DF3BD2" w:rsidR="00133ED4" w:rsidRDefault="00712BD6">
            <w:pPr>
              <w:pStyle w:val="0Maintext"/>
              <w:spacing w:after="120" w:line="240" w:lineRule="auto"/>
            </w:pPr>
            <w:r>
              <w:t>MediaTek</w:t>
            </w:r>
          </w:p>
        </w:tc>
        <w:tc>
          <w:tcPr>
            <w:tcW w:w="6660" w:type="dxa"/>
          </w:tcPr>
          <w:p w14:paraId="2993AD71" w14:textId="72840FAA" w:rsidR="00133ED4" w:rsidRDefault="00712BD6">
            <w:pPr>
              <w:pStyle w:val="0Maintext"/>
              <w:spacing w:after="120" w:line="240" w:lineRule="auto"/>
              <w:ind w:firstLine="0"/>
            </w:pPr>
            <w:r>
              <w:t xml:space="preserve">Fine with Proposal 2. </w:t>
            </w:r>
          </w:p>
        </w:tc>
      </w:tr>
      <w:tr w:rsidR="00133ED4" w14:paraId="477F04F1" w14:textId="77777777">
        <w:trPr>
          <w:jc w:val="center"/>
        </w:trPr>
        <w:tc>
          <w:tcPr>
            <w:tcW w:w="2425" w:type="dxa"/>
          </w:tcPr>
          <w:p w14:paraId="1A09F6CE" w14:textId="71656A29" w:rsidR="00133ED4" w:rsidRDefault="00EF7917">
            <w:pPr>
              <w:pStyle w:val="0Maintext"/>
              <w:spacing w:after="120" w:line="240" w:lineRule="auto"/>
            </w:pPr>
            <w:r>
              <w:t xml:space="preserve">Huawei, </w:t>
            </w:r>
            <w:proofErr w:type="spellStart"/>
            <w:r>
              <w:t>HiSilicon</w:t>
            </w:r>
            <w:proofErr w:type="spellEnd"/>
          </w:p>
        </w:tc>
        <w:tc>
          <w:tcPr>
            <w:tcW w:w="6660" w:type="dxa"/>
          </w:tcPr>
          <w:p w14:paraId="53975C84" w14:textId="18C0F379" w:rsidR="00EF7917" w:rsidRDefault="00C74C65" w:rsidP="00C74C65">
            <w:pPr>
              <w:pStyle w:val="0Maintext"/>
              <w:numPr>
                <w:ilvl w:val="0"/>
                <w:numId w:val="6"/>
              </w:numPr>
              <w:spacing w:after="120" w:line="240" w:lineRule="auto"/>
            </w:pPr>
            <w:r>
              <w:t xml:space="preserve">Better to clarify which release is the CR applied to. </w:t>
            </w:r>
            <w:r w:rsidR="00EF7917">
              <w:t>The conclusion made in RAN1#116 is sufficient to at least Rel-16</w:t>
            </w:r>
            <w:r>
              <w:t xml:space="preserve">, </w:t>
            </w:r>
            <w:r w:rsidR="00EF7917">
              <w:t>Rel-17</w:t>
            </w:r>
            <w:r>
              <w:t xml:space="preserve"> and Rel-18</w:t>
            </w:r>
            <w:r w:rsidR="00EF7917">
              <w:t xml:space="preserve">. </w:t>
            </w:r>
            <w:r>
              <w:t>Because those release of specs have been frozen for long time, i</w:t>
            </w:r>
            <w:r w:rsidR="00EF7917">
              <w:t>f any spec change is needed, prefer to only impact on Rel-1</w:t>
            </w:r>
            <w:r>
              <w:t>9</w:t>
            </w:r>
            <w:r w:rsidR="00EF7917">
              <w:t xml:space="preserve"> specs.</w:t>
            </w:r>
          </w:p>
          <w:p w14:paraId="3D49317D" w14:textId="32B7B13C" w:rsidR="00C74C65" w:rsidRDefault="00C74C65" w:rsidP="00C74C65">
            <w:pPr>
              <w:pStyle w:val="0Maintext"/>
              <w:numPr>
                <w:ilvl w:val="0"/>
                <w:numId w:val="6"/>
              </w:numPr>
              <w:spacing w:after="120" w:line="240" w:lineRule="auto"/>
            </w:pPr>
            <w:r>
              <w:t xml:space="preserve">In current specification, all preceding uplink transmissions refer to transmissions without any overlap in time with the current transmission. </w:t>
            </w:r>
            <w:r w:rsidR="00CE47CD">
              <w:t>However, here the second uplink transmission overlaps with the first one. Additionally, preceding uplink transmissions refer to transmissions that have been completed rather than ones that are to be transmitted. Therefore, suggest to clarify it with better term than “preceding uplink transmission”</w:t>
            </w:r>
          </w:p>
          <w:p w14:paraId="4C17192C" w14:textId="67CAAE50" w:rsidR="00CE47CD" w:rsidRDefault="00CE47CD" w:rsidP="00C74C65">
            <w:pPr>
              <w:pStyle w:val="0Maintext"/>
              <w:numPr>
                <w:ilvl w:val="0"/>
                <w:numId w:val="6"/>
              </w:numPr>
              <w:spacing w:after="120" w:line="240" w:lineRule="auto"/>
            </w:pPr>
            <w:r>
              <w:t>Suggest that “cannot be received” is replaced with “is not expected to be received”</w:t>
            </w:r>
          </w:p>
          <w:p w14:paraId="5B084E11" w14:textId="5D35E58E" w:rsidR="00CE47CD" w:rsidRDefault="00CE47CD" w:rsidP="00C74C65">
            <w:pPr>
              <w:pStyle w:val="0Maintext"/>
              <w:numPr>
                <w:ilvl w:val="0"/>
                <w:numId w:val="6"/>
              </w:numPr>
              <w:spacing w:after="120" w:line="240" w:lineRule="auto"/>
            </w:pPr>
            <w:r>
              <w:t xml:space="preserve">Suggest that “the DCI triggering uplink switching” is replaced with “the DCI scheduling the </w:t>
            </w:r>
            <w:r w:rsidR="005327DD">
              <w:t>first</w:t>
            </w:r>
            <w:r>
              <w:t xml:space="preserve"> uplink transmission”</w:t>
            </w:r>
            <w:r w:rsidR="0060338B">
              <w:t xml:space="preserve"> because there may be no uplink switching triggered by the DCI</w:t>
            </w:r>
            <w:r w:rsidR="005327DD">
              <w:t xml:space="preserve"> especially in the concerned case.</w:t>
            </w:r>
          </w:p>
          <w:p w14:paraId="0B4DECB8" w14:textId="054C1A3D" w:rsidR="00133ED4" w:rsidRDefault="00EF7917">
            <w:pPr>
              <w:pStyle w:val="0Maintext"/>
              <w:spacing w:after="120" w:line="240" w:lineRule="auto"/>
              <w:ind w:firstLine="0"/>
            </w:pPr>
            <w:r>
              <w:t xml:space="preserve"> </w:t>
            </w:r>
          </w:p>
        </w:tc>
      </w:tr>
      <w:tr w:rsidR="00133ED4" w14:paraId="2A7D4E4D" w14:textId="77777777">
        <w:trPr>
          <w:jc w:val="center"/>
        </w:trPr>
        <w:tc>
          <w:tcPr>
            <w:tcW w:w="2425" w:type="dxa"/>
          </w:tcPr>
          <w:p w14:paraId="6EED70EF" w14:textId="77777777" w:rsidR="00133ED4" w:rsidRDefault="00133ED4">
            <w:pPr>
              <w:pStyle w:val="0Maintext"/>
              <w:spacing w:after="120" w:line="240" w:lineRule="auto"/>
            </w:pPr>
          </w:p>
        </w:tc>
        <w:tc>
          <w:tcPr>
            <w:tcW w:w="6660" w:type="dxa"/>
          </w:tcPr>
          <w:p w14:paraId="2612636F" w14:textId="77777777" w:rsidR="00133ED4" w:rsidRDefault="00133ED4">
            <w:pPr>
              <w:pStyle w:val="0Maintext"/>
              <w:spacing w:after="120" w:line="240" w:lineRule="auto"/>
              <w:ind w:firstLine="0"/>
            </w:pPr>
          </w:p>
        </w:tc>
      </w:tr>
    </w:tbl>
    <w:p w14:paraId="2431A38F" w14:textId="77777777" w:rsidR="00133ED4" w:rsidRDefault="00133ED4"/>
    <w:p w14:paraId="1F5C78A5" w14:textId="77777777" w:rsidR="00133ED4" w:rsidRDefault="00133ED4">
      <w:pPr>
        <w:jc w:val="both"/>
      </w:pPr>
    </w:p>
    <w:sectPr w:rsidR="00133ED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9711" w14:textId="77777777" w:rsidR="00D02D8B" w:rsidRDefault="00D02D8B" w:rsidP="00FA7D3C">
      <w:r>
        <w:separator/>
      </w:r>
    </w:p>
  </w:endnote>
  <w:endnote w:type="continuationSeparator" w:id="0">
    <w:p w14:paraId="1E535D06" w14:textId="77777777" w:rsidR="00D02D8B" w:rsidRDefault="00D02D8B" w:rsidP="00FA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2478" w14:textId="77777777" w:rsidR="00D02D8B" w:rsidRDefault="00D02D8B" w:rsidP="00FA7D3C">
      <w:r>
        <w:separator/>
      </w:r>
    </w:p>
  </w:footnote>
  <w:footnote w:type="continuationSeparator" w:id="0">
    <w:p w14:paraId="2F99A1D9" w14:textId="77777777" w:rsidR="00D02D8B" w:rsidRDefault="00D02D8B" w:rsidP="00FA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
      <w:lvlText w:val="%1.%2.%3"/>
      <w:lvlJc w:val="left"/>
      <w:pPr>
        <w:tabs>
          <w:tab w:val="left" w:pos="836"/>
        </w:tabs>
        <w:ind w:left="836" w:hanging="720"/>
      </w:pPr>
      <w:rPr>
        <w:rFonts w:hint="default"/>
        <w:sz w:val="28"/>
        <w:szCs w:val="28"/>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841E6C"/>
    <w:multiLevelType w:val="multilevel"/>
    <w:tmpl w:val="0A841E6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7E7500"/>
    <w:multiLevelType w:val="hybridMultilevel"/>
    <w:tmpl w:val="67B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F54CF"/>
    <w:multiLevelType w:val="hybridMultilevel"/>
    <w:tmpl w:val="BCB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024D1"/>
    <w:multiLevelType w:val="hybridMultilevel"/>
    <w:tmpl w:val="4358E6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NDc0sjA0Njc3s7BU0lEKTi0uzszPAykwrAUA2MFbAiwAAAA="/>
    <w:docVar w:name="commondata" w:val="eyJoZGlkIjoiZWNiNjg5YWZhZDBhNDA1MWMwZDA5OWNjNmE2YmZiM2QifQ=="/>
  </w:docVars>
  <w:rsids>
    <w:rsidRoot w:val="00B23EB7"/>
    <w:rsid w:val="0000344A"/>
    <w:rsid w:val="00006DA0"/>
    <w:rsid w:val="000100B5"/>
    <w:rsid w:val="00010C03"/>
    <w:rsid w:val="00017B94"/>
    <w:rsid w:val="00017E93"/>
    <w:rsid w:val="000212EC"/>
    <w:rsid w:val="00021361"/>
    <w:rsid w:val="00021891"/>
    <w:rsid w:val="000227DF"/>
    <w:rsid w:val="00024CF4"/>
    <w:rsid w:val="00025576"/>
    <w:rsid w:val="00026DF9"/>
    <w:rsid w:val="00030026"/>
    <w:rsid w:val="00031D27"/>
    <w:rsid w:val="00031E68"/>
    <w:rsid w:val="00032914"/>
    <w:rsid w:val="00032D06"/>
    <w:rsid w:val="00034E9C"/>
    <w:rsid w:val="00034FB9"/>
    <w:rsid w:val="000354D1"/>
    <w:rsid w:val="00037E22"/>
    <w:rsid w:val="00041650"/>
    <w:rsid w:val="00041988"/>
    <w:rsid w:val="00043DF4"/>
    <w:rsid w:val="00044CC2"/>
    <w:rsid w:val="00046585"/>
    <w:rsid w:val="000506CA"/>
    <w:rsid w:val="00050D4A"/>
    <w:rsid w:val="00051373"/>
    <w:rsid w:val="000531E2"/>
    <w:rsid w:val="0005334C"/>
    <w:rsid w:val="00055D16"/>
    <w:rsid w:val="00055F76"/>
    <w:rsid w:val="0005612B"/>
    <w:rsid w:val="00057599"/>
    <w:rsid w:val="000605BB"/>
    <w:rsid w:val="0006357F"/>
    <w:rsid w:val="00063843"/>
    <w:rsid w:val="000639F0"/>
    <w:rsid w:val="00064842"/>
    <w:rsid w:val="00064897"/>
    <w:rsid w:val="0006765A"/>
    <w:rsid w:val="00071AFF"/>
    <w:rsid w:val="00072098"/>
    <w:rsid w:val="00073B49"/>
    <w:rsid w:val="000756C7"/>
    <w:rsid w:val="0007732F"/>
    <w:rsid w:val="00081B2B"/>
    <w:rsid w:val="00085223"/>
    <w:rsid w:val="0008670F"/>
    <w:rsid w:val="00087150"/>
    <w:rsid w:val="00090F30"/>
    <w:rsid w:val="000923EC"/>
    <w:rsid w:val="00092747"/>
    <w:rsid w:val="00092A31"/>
    <w:rsid w:val="000A1890"/>
    <w:rsid w:val="000A70BC"/>
    <w:rsid w:val="000B5338"/>
    <w:rsid w:val="000B562F"/>
    <w:rsid w:val="000C20D6"/>
    <w:rsid w:val="000C2A9D"/>
    <w:rsid w:val="000C44C6"/>
    <w:rsid w:val="000C7006"/>
    <w:rsid w:val="000D0F78"/>
    <w:rsid w:val="000D18B6"/>
    <w:rsid w:val="000D2660"/>
    <w:rsid w:val="000D4A1A"/>
    <w:rsid w:val="000D54C9"/>
    <w:rsid w:val="000E2519"/>
    <w:rsid w:val="000F0300"/>
    <w:rsid w:val="000F2C70"/>
    <w:rsid w:val="000F573B"/>
    <w:rsid w:val="000F6C72"/>
    <w:rsid w:val="001011FC"/>
    <w:rsid w:val="0010269A"/>
    <w:rsid w:val="001033DC"/>
    <w:rsid w:val="00103806"/>
    <w:rsid w:val="00103EC9"/>
    <w:rsid w:val="00107247"/>
    <w:rsid w:val="00115255"/>
    <w:rsid w:val="00120BE9"/>
    <w:rsid w:val="001215A6"/>
    <w:rsid w:val="0012163E"/>
    <w:rsid w:val="00123865"/>
    <w:rsid w:val="00124683"/>
    <w:rsid w:val="00127219"/>
    <w:rsid w:val="00127655"/>
    <w:rsid w:val="00130183"/>
    <w:rsid w:val="00130A25"/>
    <w:rsid w:val="0013108B"/>
    <w:rsid w:val="00133ED4"/>
    <w:rsid w:val="00134A16"/>
    <w:rsid w:val="00134CE7"/>
    <w:rsid w:val="0013748D"/>
    <w:rsid w:val="00137A58"/>
    <w:rsid w:val="00140849"/>
    <w:rsid w:val="00143A0D"/>
    <w:rsid w:val="0014756C"/>
    <w:rsid w:val="00147DCD"/>
    <w:rsid w:val="001511AC"/>
    <w:rsid w:val="00151930"/>
    <w:rsid w:val="00151B45"/>
    <w:rsid w:val="00153773"/>
    <w:rsid w:val="0015382F"/>
    <w:rsid w:val="00155F81"/>
    <w:rsid w:val="00161E92"/>
    <w:rsid w:val="00162C20"/>
    <w:rsid w:val="001655D0"/>
    <w:rsid w:val="00167B10"/>
    <w:rsid w:val="0017048D"/>
    <w:rsid w:val="00174012"/>
    <w:rsid w:val="0017558E"/>
    <w:rsid w:val="00175F26"/>
    <w:rsid w:val="0017608D"/>
    <w:rsid w:val="0017731D"/>
    <w:rsid w:val="00181F11"/>
    <w:rsid w:val="0018214E"/>
    <w:rsid w:val="00185A0B"/>
    <w:rsid w:val="0018607A"/>
    <w:rsid w:val="00186802"/>
    <w:rsid w:val="00193222"/>
    <w:rsid w:val="00194BBD"/>
    <w:rsid w:val="0019597B"/>
    <w:rsid w:val="00195DEA"/>
    <w:rsid w:val="001A0762"/>
    <w:rsid w:val="001A4FA2"/>
    <w:rsid w:val="001A5A42"/>
    <w:rsid w:val="001A5F2D"/>
    <w:rsid w:val="001B0BC6"/>
    <w:rsid w:val="001B3F28"/>
    <w:rsid w:val="001B4E23"/>
    <w:rsid w:val="001B7BEC"/>
    <w:rsid w:val="001C23D4"/>
    <w:rsid w:val="001C311A"/>
    <w:rsid w:val="001C3DE0"/>
    <w:rsid w:val="001C4241"/>
    <w:rsid w:val="001C53C6"/>
    <w:rsid w:val="001C71ED"/>
    <w:rsid w:val="001C749D"/>
    <w:rsid w:val="001D4036"/>
    <w:rsid w:val="001D4551"/>
    <w:rsid w:val="001D57AE"/>
    <w:rsid w:val="001D5F61"/>
    <w:rsid w:val="001D66CD"/>
    <w:rsid w:val="001D6F74"/>
    <w:rsid w:val="001D73FF"/>
    <w:rsid w:val="001D7C30"/>
    <w:rsid w:val="001E62A2"/>
    <w:rsid w:val="001E6EAD"/>
    <w:rsid w:val="001E6F84"/>
    <w:rsid w:val="001E73AB"/>
    <w:rsid w:val="001F1442"/>
    <w:rsid w:val="001F257F"/>
    <w:rsid w:val="001F726D"/>
    <w:rsid w:val="00203A0D"/>
    <w:rsid w:val="00203EB5"/>
    <w:rsid w:val="00203F11"/>
    <w:rsid w:val="00205FF8"/>
    <w:rsid w:val="002134C9"/>
    <w:rsid w:val="00215CAC"/>
    <w:rsid w:val="0022064E"/>
    <w:rsid w:val="002226FF"/>
    <w:rsid w:val="0022367D"/>
    <w:rsid w:val="00224F64"/>
    <w:rsid w:val="00227066"/>
    <w:rsid w:val="00227ADC"/>
    <w:rsid w:val="00230647"/>
    <w:rsid w:val="00230CE2"/>
    <w:rsid w:val="00231473"/>
    <w:rsid w:val="00232779"/>
    <w:rsid w:val="002374E4"/>
    <w:rsid w:val="002403EF"/>
    <w:rsid w:val="00242650"/>
    <w:rsid w:val="002442FC"/>
    <w:rsid w:val="00245D27"/>
    <w:rsid w:val="00252B41"/>
    <w:rsid w:val="0025335D"/>
    <w:rsid w:val="00253641"/>
    <w:rsid w:val="00255245"/>
    <w:rsid w:val="00256BF6"/>
    <w:rsid w:val="00256E42"/>
    <w:rsid w:val="00263926"/>
    <w:rsid w:val="00263DBA"/>
    <w:rsid w:val="00264D68"/>
    <w:rsid w:val="0026513D"/>
    <w:rsid w:val="00265CA3"/>
    <w:rsid w:val="00266E0F"/>
    <w:rsid w:val="002672E4"/>
    <w:rsid w:val="00270C5A"/>
    <w:rsid w:val="0027181A"/>
    <w:rsid w:val="00272006"/>
    <w:rsid w:val="00274F27"/>
    <w:rsid w:val="00280726"/>
    <w:rsid w:val="002814E7"/>
    <w:rsid w:val="00282265"/>
    <w:rsid w:val="00284AB0"/>
    <w:rsid w:val="00285B13"/>
    <w:rsid w:val="002867E8"/>
    <w:rsid w:val="00286A8B"/>
    <w:rsid w:val="0029000E"/>
    <w:rsid w:val="002900FA"/>
    <w:rsid w:val="00292623"/>
    <w:rsid w:val="002948FF"/>
    <w:rsid w:val="0029769A"/>
    <w:rsid w:val="002A1F80"/>
    <w:rsid w:val="002A274D"/>
    <w:rsid w:val="002A4B97"/>
    <w:rsid w:val="002A5B21"/>
    <w:rsid w:val="002A7EFF"/>
    <w:rsid w:val="002B0171"/>
    <w:rsid w:val="002B2991"/>
    <w:rsid w:val="002B5DED"/>
    <w:rsid w:val="002B7128"/>
    <w:rsid w:val="002B72F3"/>
    <w:rsid w:val="002C1494"/>
    <w:rsid w:val="002C2CE9"/>
    <w:rsid w:val="002C4EFD"/>
    <w:rsid w:val="002C7880"/>
    <w:rsid w:val="002C796C"/>
    <w:rsid w:val="002D4B22"/>
    <w:rsid w:val="002D5A4C"/>
    <w:rsid w:val="002D6F69"/>
    <w:rsid w:val="002E2806"/>
    <w:rsid w:val="002E337E"/>
    <w:rsid w:val="002E5153"/>
    <w:rsid w:val="002E520C"/>
    <w:rsid w:val="002E734A"/>
    <w:rsid w:val="002E7D5F"/>
    <w:rsid w:val="002F2194"/>
    <w:rsid w:val="002F3060"/>
    <w:rsid w:val="002F45F1"/>
    <w:rsid w:val="0030056F"/>
    <w:rsid w:val="00300829"/>
    <w:rsid w:val="00301356"/>
    <w:rsid w:val="00302E10"/>
    <w:rsid w:val="0030554A"/>
    <w:rsid w:val="00306493"/>
    <w:rsid w:val="003105DC"/>
    <w:rsid w:val="00310843"/>
    <w:rsid w:val="00310912"/>
    <w:rsid w:val="00311CE0"/>
    <w:rsid w:val="0031378A"/>
    <w:rsid w:val="00315F36"/>
    <w:rsid w:val="00320EE1"/>
    <w:rsid w:val="00322AFC"/>
    <w:rsid w:val="003262D0"/>
    <w:rsid w:val="00326AED"/>
    <w:rsid w:val="00326C47"/>
    <w:rsid w:val="00326F64"/>
    <w:rsid w:val="003277F3"/>
    <w:rsid w:val="003316B9"/>
    <w:rsid w:val="0033242B"/>
    <w:rsid w:val="00336BA8"/>
    <w:rsid w:val="0034417B"/>
    <w:rsid w:val="00344AE3"/>
    <w:rsid w:val="00350BDC"/>
    <w:rsid w:val="00351207"/>
    <w:rsid w:val="0035224A"/>
    <w:rsid w:val="0035243D"/>
    <w:rsid w:val="00354CD9"/>
    <w:rsid w:val="003563B0"/>
    <w:rsid w:val="00357FC7"/>
    <w:rsid w:val="00360734"/>
    <w:rsid w:val="00360E10"/>
    <w:rsid w:val="0036102F"/>
    <w:rsid w:val="00361704"/>
    <w:rsid w:val="00361D33"/>
    <w:rsid w:val="00362BFD"/>
    <w:rsid w:val="00364786"/>
    <w:rsid w:val="00366F52"/>
    <w:rsid w:val="00367DFA"/>
    <w:rsid w:val="00370876"/>
    <w:rsid w:val="00371A7E"/>
    <w:rsid w:val="00373B92"/>
    <w:rsid w:val="003771E8"/>
    <w:rsid w:val="003802E1"/>
    <w:rsid w:val="003830C6"/>
    <w:rsid w:val="0038526E"/>
    <w:rsid w:val="003856A5"/>
    <w:rsid w:val="003856D0"/>
    <w:rsid w:val="00387EB0"/>
    <w:rsid w:val="00391636"/>
    <w:rsid w:val="003944D1"/>
    <w:rsid w:val="003944FC"/>
    <w:rsid w:val="00395B12"/>
    <w:rsid w:val="00396B63"/>
    <w:rsid w:val="003A0C0A"/>
    <w:rsid w:val="003A10CB"/>
    <w:rsid w:val="003A42FB"/>
    <w:rsid w:val="003A4E7A"/>
    <w:rsid w:val="003B0123"/>
    <w:rsid w:val="003B0919"/>
    <w:rsid w:val="003B187F"/>
    <w:rsid w:val="003B620C"/>
    <w:rsid w:val="003B6AB3"/>
    <w:rsid w:val="003C22B5"/>
    <w:rsid w:val="003C41D2"/>
    <w:rsid w:val="003C49B0"/>
    <w:rsid w:val="003C7475"/>
    <w:rsid w:val="003C74B7"/>
    <w:rsid w:val="003D0609"/>
    <w:rsid w:val="003D1F65"/>
    <w:rsid w:val="003D21DA"/>
    <w:rsid w:val="003D51F2"/>
    <w:rsid w:val="003D7B48"/>
    <w:rsid w:val="003E0060"/>
    <w:rsid w:val="003E0B46"/>
    <w:rsid w:val="003E0DED"/>
    <w:rsid w:val="003E18A1"/>
    <w:rsid w:val="003E66DF"/>
    <w:rsid w:val="003E75B6"/>
    <w:rsid w:val="003F1A2C"/>
    <w:rsid w:val="003F275B"/>
    <w:rsid w:val="003F2AE9"/>
    <w:rsid w:val="00402638"/>
    <w:rsid w:val="00405092"/>
    <w:rsid w:val="00406F8B"/>
    <w:rsid w:val="0041336F"/>
    <w:rsid w:val="004142C8"/>
    <w:rsid w:val="00414973"/>
    <w:rsid w:val="0041645E"/>
    <w:rsid w:val="00417FC9"/>
    <w:rsid w:val="004312F7"/>
    <w:rsid w:val="00432CC0"/>
    <w:rsid w:val="004346AB"/>
    <w:rsid w:val="004349D1"/>
    <w:rsid w:val="00434AF8"/>
    <w:rsid w:val="00434E5C"/>
    <w:rsid w:val="00440159"/>
    <w:rsid w:val="00440BAA"/>
    <w:rsid w:val="00440F14"/>
    <w:rsid w:val="004412D6"/>
    <w:rsid w:val="00443E4C"/>
    <w:rsid w:val="0044499D"/>
    <w:rsid w:val="00446F00"/>
    <w:rsid w:val="00447CBE"/>
    <w:rsid w:val="0045001C"/>
    <w:rsid w:val="004504AA"/>
    <w:rsid w:val="004504F1"/>
    <w:rsid w:val="00451497"/>
    <w:rsid w:val="00451B92"/>
    <w:rsid w:val="0045280E"/>
    <w:rsid w:val="0045482E"/>
    <w:rsid w:val="00457F5D"/>
    <w:rsid w:val="00461B15"/>
    <w:rsid w:val="00461ED7"/>
    <w:rsid w:val="00462035"/>
    <w:rsid w:val="004643B1"/>
    <w:rsid w:val="00464B73"/>
    <w:rsid w:val="00466F57"/>
    <w:rsid w:val="0047012E"/>
    <w:rsid w:val="004704C9"/>
    <w:rsid w:val="004722FE"/>
    <w:rsid w:val="00472BB7"/>
    <w:rsid w:val="00473F4B"/>
    <w:rsid w:val="00474E26"/>
    <w:rsid w:val="004752EB"/>
    <w:rsid w:val="00482F8F"/>
    <w:rsid w:val="004837C5"/>
    <w:rsid w:val="0048391C"/>
    <w:rsid w:val="00483F05"/>
    <w:rsid w:val="0048515E"/>
    <w:rsid w:val="00485EDE"/>
    <w:rsid w:val="00487AF4"/>
    <w:rsid w:val="004909A1"/>
    <w:rsid w:val="004A2991"/>
    <w:rsid w:val="004A41EF"/>
    <w:rsid w:val="004A5D6B"/>
    <w:rsid w:val="004A7CFE"/>
    <w:rsid w:val="004B2562"/>
    <w:rsid w:val="004B3124"/>
    <w:rsid w:val="004B368D"/>
    <w:rsid w:val="004B3972"/>
    <w:rsid w:val="004B3DF5"/>
    <w:rsid w:val="004B4D8D"/>
    <w:rsid w:val="004B74CC"/>
    <w:rsid w:val="004C3746"/>
    <w:rsid w:val="004C45C7"/>
    <w:rsid w:val="004C4A14"/>
    <w:rsid w:val="004C6ABA"/>
    <w:rsid w:val="004C7036"/>
    <w:rsid w:val="004E01AD"/>
    <w:rsid w:val="004E093D"/>
    <w:rsid w:val="004E2C9C"/>
    <w:rsid w:val="004E531C"/>
    <w:rsid w:val="004E6D4D"/>
    <w:rsid w:val="004F0E21"/>
    <w:rsid w:val="004F3741"/>
    <w:rsid w:val="00500DE7"/>
    <w:rsid w:val="00502505"/>
    <w:rsid w:val="0050600B"/>
    <w:rsid w:val="005062CA"/>
    <w:rsid w:val="005070A9"/>
    <w:rsid w:val="005071B1"/>
    <w:rsid w:val="00510C62"/>
    <w:rsid w:val="00511856"/>
    <w:rsid w:val="005128BB"/>
    <w:rsid w:val="00517ADD"/>
    <w:rsid w:val="00520081"/>
    <w:rsid w:val="00521183"/>
    <w:rsid w:val="00523342"/>
    <w:rsid w:val="00523D0F"/>
    <w:rsid w:val="00523D91"/>
    <w:rsid w:val="0052593A"/>
    <w:rsid w:val="00526C5F"/>
    <w:rsid w:val="005327DD"/>
    <w:rsid w:val="005327E9"/>
    <w:rsid w:val="00532BAF"/>
    <w:rsid w:val="00534314"/>
    <w:rsid w:val="00537253"/>
    <w:rsid w:val="0053782C"/>
    <w:rsid w:val="00537D1F"/>
    <w:rsid w:val="00540863"/>
    <w:rsid w:val="00543C04"/>
    <w:rsid w:val="00550E3B"/>
    <w:rsid w:val="0055574E"/>
    <w:rsid w:val="00556671"/>
    <w:rsid w:val="005600B1"/>
    <w:rsid w:val="00561D69"/>
    <w:rsid w:val="00562D2B"/>
    <w:rsid w:val="005713D2"/>
    <w:rsid w:val="00574720"/>
    <w:rsid w:val="005757BD"/>
    <w:rsid w:val="00576934"/>
    <w:rsid w:val="00576C02"/>
    <w:rsid w:val="0057794A"/>
    <w:rsid w:val="0058134C"/>
    <w:rsid w:val="00583230"/>
    <w:rsid w:val="00587EDC"/>
    <w:rsid w:val="00593FCB"/>
    <w:rsid w:val="0059417B"/>
    <w:rsid w:val="00596063"/>
    <w:rsid w:val="0059787C"/>
    <w:rsid w:val="005A14DB"/>
    <w:rsid w:val="005A1E74"/>
    <w:rsid w:val="005A2058"/>
    <w:rsid w:val="005A3364"/>
    <w:rsid w:val="005A4B77"/>
    <w:rsid w:val="005A5EEA"/>
    <w:rsid w:val="005B0F7A"/>
    <w:rsid w:val="005B1AD1"/>
    <w:rsid w:val="005B6997"/>
    <w:rsid w:val="005C7B97"/>
    <w:rsid w:val="005D027F"/>
    <w:rsid w:val="005D337D"/>
    <w:rsid w:val="005D3E89"/>
    <w:rsid w:val="005D45F7"/>
    <w:rsid w:val="005D5175"/>
    <w:rsid w:val="005D5233"/>
    <w:rsid w:val="005D5F39"/>
    <w:rsid w:val="005D5FF3"/>
    <w:rsid w:val="005E03D3"/>
    <w:rsid w:val="005E18E3"/>
    <w:rsid w:val="005E25D9"/>
    <w:rsid w:val="005E44F4"/>
    <w:rsid w:val="005E6E03"/>
    <w:rsid w:val="005E6E73"/>
    <w:rsid w:val="005F07A4"/>
    <w:rsid w:val="005F15CC"/>
    <w:rsid w:val="005F4CAA"/>
    <w:rsid w:val="005F57C6"/>
    <w:rsid w:val="005F7A0E"/>
    <w:rsid w:val="00600FC5"/>
    <w:rsid w:val="00602E99"/>
    <w:rsid w:val="0060338B"/>
    <w:rsid w:val="006049AA"/>
    <w:rsid w:val="00604C3D"/>
    <w:rsid w:val="00605449"/>
    <w:rsid w:val="00606B23"/>
    <w:rsid w:val="0061765C"/>
    <w:rsid w:val="00620C29"/>
    <w:rsid w:val="00622552"/>
    <w:rsid w:val="00624E1C"/>
    <w:rsid w:val="006262DF"/>
    <w:rsid w:val="00626534"/>
    <w:rsid w:val="0063155A"/>
    <w:rsid w:val="00631A14"/>
    <w:rsid w:val="00632067"/>
    <w:rsid w:val="00632AAC"/>
    <w:rsid w:val="006337E5"/>
    <w:rsid w:val="00634AF5"/>
    <w:rsid w:val="00634B61"/>
    <w:rsid w:val="00636D7B"/>
    <w:rsid w:val="00637B2A"/>
    <w:rsid w:val="00641951"/>
    <w:rsid w:val="0064204C"/>
    <w:rsid w:val="00645994"/>
    <w:rsid w:val="00647F7D"/>
    <w:rsid w:val="00650026"/>
    <w:rsid w:val="006531B1"/>
    <w:rsid w:val="006541EC"/>
    <w:rsid w:val="00654D1D"/>
    <w:rsid w:val="00656CB0"/>
    <w:rsid w:val="00660BC6"/>
    <w:rsid w:val="00660CC8"/>
    <w:rsid w:val="00662D22"/>
    <w:rsid w:val="006640E9"/>
    <w:rsid w:val="00665227"/>
    <w:rsid w:val="00666868"/>
    <w:rsid w:val="00666EBE"/>
    <w:rsid w:val="006700A5"/>
    <w:rsid w:val="00672A3E"/>
    <w:rsid w:val="00675AA3"/>
    <w:rsid w:val="006816E0"/>
    <w:rsid w:val="006823E7"/>
    <w:rsid w:val="006824B2"/>
    <w:rsid w:val="00682EED"/>
    <w:rsid w:val="0068752E"/>
    <w:rsid w:val="00687A78"/>
    <w:rsid w:val="0069662B"/>
    <w:rsid w:val="006A2334"/>
    <w:rsid w:val="006A43D9"/>
    <w:rsid w:val="006A45D6"/>
    <w:rsid w:val="006A51A3"/>
    <w:rsid w:val="006A57C0"/>
    <w:rsid w:val="006B060B"/>
    <w:rsid w:val="006B13B0"/>
    <w:rsid w:val="006B3E00"/>
    <w:rsid w:val="006B59ED"/>
    <w:rsid w:val="006B5D4F"/>
    <w:rsid w:val="006B6545"/>
    <w:rsid w:val="006C3506"/>
    <w:rsid w:val="006C4E0D"/>
    <w:rsid w:val="006D54CF"/>
    <w:rsid w:val="006D6BCE"/>
    <w:rsid w:val="006E0ECB"/>
    <w:rsid w:val="006E6598"/>
    <w:rsid w:val="006E7095"/>
    <w:rsid w:val="006E75C2"/>
    <w:rsid w:val="006E75ED"/>
    <w:rsid w:val="006F07E3"/>
    <w:rsid w:val="006F0EC9"/>
    <w:rsid w:val="006F274D"/>
    <w:rsid w:val="006F3690"/>
    <w:rsid w:val="006F55CF"/>
    <w:rsid w:val="006F66D2"/>
    <w:rsid w:val="00702015"/>
    <w:rsid w:val="00707829"/>
    <w:rsid w:val="0071089C"/>
    <w:rsid w:val="00712BD6"/>
    <w:rsid w:val="0072015E"/>
    <w:rsid w:val="00720BE8"/>
    <w:rsid w:val="00720EBF"/>
    <w:rsid w:val="007236E0"/>
    <w:rsid w:val="00724642"/>
    <w:rsid w:val="0072495E"/>
    <w:rsid w:val="00732388"/>
    <w:rsid w:val="0073426D"/>
    <w:rsid w:val="0073585C"/>
    <w:rsid w:val="00735D78"/>
    <w:rsid w:val="0074226A"/>
    <w:rsid w:val="00744E6D"/>
    <w:rsid w:val="00745F20"/>
    <w:rsid w:val="007500FE"/>
    <w:rsid w:val="00751E2A"/>
    <w:rsid w:val="00752ABE"/>
    <w:rsid w:val="00753D11"/>
    <w:rsid w:val="00754764"/>
    <w:rsid w:val="00754F02"/>
    <w:rsid w:val="0075517A"/>
    <w:rsid w:val="007570AB"/>
    <w:rsid w:val="00760CBD"/>
    <w:rsid w:val="00765C83"/>
    <w:rsid w:val="00765ED9"/>
    <w:rsid w:val="00767A07"/>
    <w:rsid w:val="00770366"/>
    <w:rsid w:val="007720DD"/>
    <w:rsid w:val="007727CB"/>
    <w:rsid w:val="007740EF"/>
    <w:rsid w:val="0077638F"/>
    <w:rsid w:val="00777EAA"/>
    <w:rsid w:val="0078114E"/>
    <w:rsid w:val="007846F3"/>
    <w:rsid w:val="00785551"/>
    <w:rsid w:val="00795245"/>
    <w:rsid w:val="007A09E0"/>
    <w:rsid w:val="007A1F9E"/>
    <w:rsid w:val="007A41E3"/>
    <w:rsid w:val="007B2267"/>
    <w:rsid w:val="007B273D"/>
    <w:rsid w:val="007B5221"/>
    <w:rsid w:val="007C3E37"/>
    <w:rsid w:val="007D110F"/>
    <w:rsid w:val="007D5C52"/>
    <w:rsid w:val="007D645F"/>
    <w:rsid w:val="007D7F00"/>
    <w:rsid w:val="007E03DA"/>
    <w:rsid w:val="007E2553"/>
    <w:rsid w:val="007E3054"/>
    <w:rsid w:val="007E3921"/>
    <w:rsid w:val="007E4A87"/>
    <w:rsid w:val="007E54EF"/>
    <w:rsid w:val="007E554B"/>
    <w:rsid w:val="007E64E7"/>
    <w:rsid w:val="007E6583"/>
    <w:rsid w:val="007E6FF6"/>
    <w:rsid w:val="007E7B7B"/>
    <w:rsid w:val="007F0F64"/>
    <w:rsid w:val="007F128C"/>
    <w:rsid w:val="007F4121"/>
    <w:rsid w:val="007F4737"/>
    <w:rsid w:val="00800FF6"/>
    <w:rsid w:val="00802205"/>
    <w:rsid w:val="00805B0F"/>
    <w:rsid w:val="00807EF3"/>
    <w:rsid w:val="0081070A"/>
    <w:rsid w:val="00813F25"/>
    <w:rsid w:val="00814696"/>
    <w:rsid w:val="00815447"/>
    <w:rsid w:val="00815565"/>
    <w:rsid w:val="00815725"/>
    <w:rsid w:val="00816874"/>
    <w:rsid w:val="00816C7F"/>
    <w:rsid w:val="00820D52"/>
    <w:rsid w:val="00821C78"/>
    <w:rsid w:val="00822058"/>
    <w:rsid w:val="008251EA"/>
    <w:rsid w:val="00830BA2"/>
    <w:rsid w:val="008331B0"/>
    <w:rsid w:val="00834862"/>
    <w:rsid w:val="00836817"/>
    <w:rsid w:val="00837B1F"/>
    <w:rsid w:val="008410E3"/>
    <w:rsid w:val="0084341E"/>
    <w:rsid w:val="00844299"/>
    <w:rsid w:val="00844A78"/>
    <w:rsid w:val="00846787"/>
    <w:rsid w:val="008500C1"/>
    <w:rsid w:val="008523F1"/>
    <w:rsid w:val="008563BD"/>
    <w:rsid w:val="00856799"/>
    <w:rsid w:val="00860F75"/>
    <w:rsid w:val="008612A5"/>
    <w:rsid w:val="00862D13"/>
    <w:rsid w:val="0086391A"/>
    <w:rsid w:val="00863D21"/>
    <w:rsid w:val="00864161"/>
    <w:rsid w:val="00864754"/>
    <w:rsid w:val="008667D6"/>
    <w:rsid w:val="008670B0"/>
    <w:rsid w:val="00870D2D"/>
    <w:rsid w:val="00870F27"/>
    <w:rsid w:val="00871476"/>
    <w:rsid w:val="00871978"/>
    <w:rsid w:val="00873292"/>
    <w:rsid w:val="00880ECD"/>
    <w:rsid w:val="00882A4D"/>
    <w:rsid w:val="00882D87"/>
    <w:rsid w:val="008849F6"/>
    <w:rsid w:val="00885A3C"/>
    <w:rsid w:val="00887C4A"/>
    <w:rsid w:val="0089138A"/>
    <w:rsid w:val="00891C8B"/>
    <w:rsid w:val="00892141"/>
    <w:rsid w:val="008923A6"/>
    <w:rsid w:val="00894787"/>
    <w:rsid w:val="0089700B"/>
    <w:rsid w:val="00897057"/>
    <w:rsid w:val="0089738A"/>
    <w:rsid w:val="008A0861"/>
    <w:rsid w:val="008A25E9"/>
    <w:rsid w:val="008A33FA"/>
    <w:rsid w:val="008A5F33"/>
    <w:rsid w:val="008A65A1"/>
    <w:rsid w:val="008A69C1"/>
    <w:rsid w:val="008B24BF"/>
    <w:rsid w:val="008B31B9"/>
    <w:rsid w:val="008B333E"/>
    <w:rsid w:val="008C009A"/>
    <w:rsid w:val="008C1150"/>
    <w:rsid w:val="008C11A0"/>
    <w:rsid w:val="008C2187"/>
    <w:rsid w:val="008C2BD4"/>
    <w:rsid w:val="008C4747"/>
    <w:rsid w:val="008C50FC"/>
    <w:rsid w:val="008C5F33"/>
    <w:rsid w:val="008D0789"/>
    <w:rsid w:val="008D18C8"/>
    <w:rsid w:val="008D1E53"/>
    <w:rsid w:val="008D3DD1"/>
    <w:rsid w:val="008D487D"/>
    <w:rsid w:val="008D57B6"/>
    <w:rsid w:val="008D6AE1"/>
    <w:rsid w:val="008E227A"/>
    <w:rsid w:val="008E3195"/>
    <w:rsid w:val="008E37E5"/>
    <w:rsid w:val="008E4E27"/>
    <w:rsid w:val="008E5476"/>
    <w:rsid w:val="008F0E83"/>
    <w:rsid w:val="008F11CC"/>
    <w:rsid w:val="008F24A4"/>
    <w:rsid w:val="00900099"/>
    <w:rsid w:val="00901646"/>
    <w:rsid w:val="00901D2D"/>
    <w:rsid w:val="00902FF6"/>
    <w:rsid w:val="00906E5E"/>
    <w:rsid w:val="00911E05"/>
    <w:rsid w:val="00911EFA"/>
    <w:rsid w:val="0091541D"/>
    <w:rsid w:val="009169C4"/>
    <w:rsid w:val="00916E49"/>
    <w:rsid w:val="00917B0A"/>
    <w:rsid w:val="00920227"/>
    <w:rsid w:val="00922589"/>
    <w:rsid w:val="00922BBD"/>
    <w:rsid w:val="009232EC"/>
    <w:rsid w:val="00923A3D"/>
    <w:rsid w:val="00923D6E"/>
    <w:rsid w:val="009242FD"/>
    <w:rsid w:val="009278F9"/>
    <w:rsid w:val="00927AE6"/>
    <w:rsid w:val="00927D99"/>
    <w:rsid w:val="00934D8B"/>
    <w:rsid w:val="009351FA"/>
    <w:rsid w:val="00935AC3"/>
    <w:rsid w:val="00940793"/>
    <w:rsid w:val="0094095E"/>
    <w:rsid w:val="009412F7"/>
    <w:rsid w:val="009427D6"/>
    <w:rsid w:val="0094298C"/>
    <w:rsid w:val="00945554"/>
    <w:rsid w:val="00954483"/>
    <w:rsid w:val="009558DA"/>
    <w:rsid w:val="0095741E"/>
    <w:rsid w:val="00957987"/>
    <w:rsid w:val="00957B16"/>
    <w:rsid w:val="009622B6"/>
    <w:rsid w:val="00962EC6"/>
    <w:rsid w:val="00964F12"/>
    <w:rsid w:val="00965BA8"/>
    <w:rsid w:val="00965CB9"/>
    <w:rsid w:val="00967677"/>
    <w:rsid w:val="00971EB5"/>
    <w:rsid w:val="00972643"/>
    <w:rsid w:val="00973A25"/>
    <w:rsid w:val="00976964"/>
    <w:rsid w:val="00977119"/>
    <w:rsid w:val="009772B9"/>
    <w:rsid w:val="009800FB"/>
    <w:rsid w:val="009834CC"/>
    <w:rsid w:val="00983F09"/>
    <w:rsid w:val="00984B7C"/>
    <w:rsid w:val="00985108"/>
    <w:rsid w:val="00985F99"/>
    <w:rsid w:val="00987AB1"/>
    <w:rsid w:val="00990D66"/>
    <w:rsid w:val="00991DC3"/>
    <w:rsid w:val="00992030"/>
    <w:rsid w:val="00992C57"/>
    <w:rsid w:val="00992D77"/>
    <w:rsid w:val="00993596"/>
    <w:rsid w:val="009964CB"/>
    <w:rsid w:val="00997267"/>
    <w:rsid w:val="009A182D"/>
    <w:rsid w:val="009A47D9"/>
    <w:rsid w:val="009B7EB1"/>
    <w:rsid w:val="009C333F"/>
    <w:rsid w:val="009C3BBA"/>
    <w:rsid w:val="009C4CA6"/>
    <w:rsid w:val="009C53B3"/>
    <w:rsid w:val="009D16D3"/>
    <w:rsid w:val="009D18CF"/>
    <w:rsid w:val="009D1C4F"/>
    <w:rsid w:val="009D60EB"/>
    <w:rsid w:val="009E0E57"/>
    <w:rsid w:val="009E16AA"/>
    <w:rsid w:val="009E2F96"/>
    <w:rsid w:val="009E4CDF"/>
    <w:rsid w:val="009F04BB"/>
    <w:rsid w:val="009F227D"/>
    <w:rsid w:val="009F58CE"/>
    <w:rsid w:val="009F61D0"/>
    <w:rsid w:val="009F7682"/>
    <w:rsid w:val="009F7D20"/>
    <w:rsid w:val="00A00B00"/>
    <w:rsid w:val="00A012A8"/>
    <w:rsid w:val="00A02399"/>
    <w:rsid w:val="00A02836"/>
    <w:rsid w:val="00A02E36"/>
    <w:rsid w:val="00A11012"/>
    <w:rsid w:val="00A11D0A"/>
    <w:rsid w:val="00A13349"/>
    <w:rsid w:val="00A1371C"/>
    <w:rsid w:val="00A13AE3"/>
    <w:rsid w:val="00A14A6D"/>
    <w:rsid w:val="00A14D2A"/>
    <w:rsid w:val="00A153FF"/>
    <w:rsid w:val="00A179B7"/>
    <w:rsid w:val="00A17A22"/>
    <w:rsid w:val="00A20F2F"/>
    <w:rsid w:val="00A30089"/>
    <w:rsid w:val="00A30F00"/>
    <w:rsid w:val="00A31852"/>
    <w:rsid w:val="00A31FCD"/>
    <w:rsid w:val="00A327E8"/>
    <w:rsid w:val="00A3286E"/>
    <w:rsid w:val="00A352F0"/>
    <w:rsid w:val="00A41EE3"/>
    <w:rsid w:val="00A42B01"/>
    <w:rsid w:val="00A466DA"/>
    <w:rsid w:val="00A46C64"/>
    <w:rsid w:val="00A52C80"/>
    <w:rsid w:val="00A53D85"/>
    <w:rsid w:val="00A53E93"/>
    <w:rsid w:val="00A60EAB"/>
    <w:rsid w:val="00A666F2"/>
    <w:rsid w:val="00A75EFF"/>
    <w:rsid w:val="00A805B9"/>
    <w:rsid w:val="00A80DF8"/>
    <w:rsid w:val="00A81738"/>
    <w:rsid w:val="00A832AC"/>
    <w:rsid w:val="00A8354A"/>
    <w:rsid w:val="00A856AE"/>
    <w:rsid w:val="00A86777"/>
    <w:rsid w:val="00A9213A"/>
    <w:rsid w:val="00A92450"/>
    <w:rsid w:val="00A93DEE"/>
    <w:rsid w:val="00A94416"/>
    <w:rsid w:val="00A95A78"/>
    <w:rsid w:val="00A963F4"/>
    <w:rsid w:val="00AA485D"/>
    <w:rsid w:val="00AA4EE3"/>
    <w:rsid w:val="00AA72B3"/>
    <w:rsid w:val="00AB0956"/>
    <w:rsid w:val="00AB26E1"/>
    <w:rsid w:val="00AB3976"/>
    <w:rsid w:val="00AB54AA"/>
    <w:rsid w:val="00AB55F7"/>
    <w:rsid w:val="00AB59B7"/>
    <w:rsid w:val="00AC1881"/>
    <w:rsid w:val="00AC23CB"/>
    <w:rsid w:val="00AC2430"/>
    <w:rsid w:val="00AC3300"/>
    <w:rsid w:val="00AD0D08"/>
    <w:rsid w:val="00AD172E"/>
    <w:rsid w:val="00AD1997"/>
    <w:rsid w:val="00AE022D"/>
    <w:rsid w:val="00AE0234"/>
    <w:rsid w:val="00AE338C"/>
    <w:rsid w:val="00AE4F86"/>
    <w:rsid w:val="00AF04C4"/>
    <w:rsid w:val="00AF0E18"/>
    <w:rsid w:val="00AF13FC"/>
    <w:rsid w:val="00AF741C"/>
    <w:rsid w:val="00AF7DC9"/>
    <w:rsid w:val="00B0066B"/>
    <w:rsid w:val="00B0084D"/>
    <w:rsid w:val="00B02260"/>
    <w:rsid w:val="00B03184"/>
    <w:rsid w:val="00B058BB"/>
    <w:rsid w:val="00B05BB5"/>
    <w:rsid w:val="00B0669A"/>
    <w:rsid w:val="00B06EFF"/>
    <w:rsid w:val="00B07537"/>
    <w:rsid w:val="00B12FE5"/>
    <w:rsid w:val="00B1523B"/>
    <w:rsid w:val="00B1752F"/>
    <w:rsid w:val="00B2058E"/>
    <w:rsid w:val="00B21867"/>
    <w:rsid w:val="00B227C5"/>
    <w:rsid w:val="00B23EB7"/>
    <w:rsid w:val="00B24932"/>
    <w:rsid w:val="00B268A2"/>
    <w:rsid w:val="00B30C35"/>
    <w:rsid w:val="00B315B3"/>
    <w:rsid w:val="00B33343"/>
    <w:rsid w:val="00B3398E"/>
    <w:rsid w:val="00B36029"/>
    <w:rsid w:val="00B4058C"/>
    <w:rsid w:val="00B418FC"/>
    <w:rsid w:val="00B41982"/>
    <w:rsid w:val="00B43C9D"/>
    <w:rsid w:val="00B46130"/>
    <w:rsid w:val="00B6127B"/>
    <w:rsid w:val="00B63683"/>
    <w:rsid w:val="00B63C76"/>
    <w:rsid w:val="00B644BB"/>
    <w:rsid w:val="00B658E6"/>
    <w:rsid w:val="00B6747F"/>
    <w:rsid w:val="00B67EFB"/>
    <w:rsid w:val="00B71362"/>
    <w:rsid w:val="00B71B4B"/>
    <w:rsid w:val="00B71E1B"/>
    <w:rsid w:val="00B72388"/>
    <w:rsid w:val="00B75DD5"/>
    <w:rsid w:val="00B76E3D"/>
    <w:rsid w:val="00B804AE"/>
    <w:rsid w:val="00B80C85"/>
    <w:rsid w:val="00B818F1"/>
    <w:rsid w:val="00B83E2D"/>
    <w:rsid w:val="00B86B50"/>
    <w:rsid w:val="00B875E8"/>
    <w:rsid w:val="00B90F77"/>
    <w:rsid w:val="00B931DB"/>
    <w:rsid w:val="00B96152"/>
    <w:rsid w:val="00B97C1B"/>
    <w:rsid w:val="00BA2E33"/>
    <w:rsid w:val="00BA55EF"/>
    <w:rsid w:val="00BB2711"/>
    <w:rsid w:val="00BB59A0"/>
    <w:rsid w:val="00BB5B03"/>
    <w:rsid w:val="00BB64B1"/>
    <w:rsid w:val="00BB7080"/>
    <w:rsid w:val="00BB7E23"/>
    <w:rsid w:val="00BC1593"/>
    <w:rsid w:val="00BC2D50"/>
    <w:rsid w:val="00BC36B8"/>
    <w:rsid w:val="00BC38C5"/>
    <w:rsid w:val="00BC411C"/>
    <w:rsid w:val="00BC5228"/>
    <w:rsid w:val="00BC522F"/>
    <w:rsid w:val="00BC66B5"/>
    <w:rsid w:val="00BD43B7"/>
    <w:rsid w:val="00BD484D"/>
    <w:rsid w:val="00BD5870"/>
    <w:rsid w:val="00BD6048"/>
    <w:rsid w:val="00BD6FAC"/>
    <w:rsid w:val="00BD740B"/>
    <w:rsid w:val="00BD7AED"/>
    <w:rsid w:val="00BE0401"/>
    <w:rsid w:val="00BE18C3"/>
    <w:rsid w:val="00BE2B6D"/>
    <w:rsid w:val="00BE3F2D"/>
    <w:rsid w:val="00BE7BD0"/>
    <w:rsid w:val="00BF1DF3"/>
    <w:rsid w:val="00BF2EB4"/>
    <w:rsid w:val="00BF487F"/>
    <w:rsid w:val="00BF66E6"/>
    <w:rsid w:val="00BF6DEF"/>
    <w:rsid w:val="00C0753A"/>
    <w:rsid w:val="00C174FE"/>
    <w:rsid w:val="00C20B5B"/>
    <w:rsid w:val="00C20B74"/>
    <w:rsid w:val="00C20E65"/>
    <w:rsid w:val="00C2111A"/>
    <w:rsid w:val="00C273F2"/>
    <w:rsid w:val="00C27C5E"/>
    <w:rsid w:val="00C30780"/>
    <w:rsid w:val="00C309F5"/>
    <w:rsid w:val="00C317D3"/>
    <w:rsid w:val="00C31E5B"/>
    <w:rsid w:val="00C36E32"/>
    <w:rsid w:val="00C405FD"/>
    <w:rsid w:val="00C41500"/>
    <w:rsid w:val="00C42836"/>
    <w:rsid w:val="00C434FF"/>
    <w:rsid w:val="00C46B5C"/>
    <w:rsid w:val="00C5338B"/>
    <w:rsid w:val="00C5663A"/>
    <w:rsid w:val="00C608F5"/>
    <w:rsid w:val="00C65264"/>
    <w:rsid w:val="00C65A03"/>
    <w:rsid w:val="00C6638D"/>
    <w:rsid w:val="00C66506"/>
    <w:rsid w:val="00C66A4A"/>
    <w:rsid w:val="00C67D91"/>
    <w:rsid w:val="00C701E0"/>
    <w:rsid w:val="00C70860"/>
    <w:rsid w:val="00C743AF"/>
    <w:rsid w:val="00C74C65"/>
    <w:rsid w:val="00C74ED4"/>
    <w:rsid w:val="00C75486"/>
    <w:rsid w:val="00C762ED"/>
    <w:rsid w:val="00C8088E"/>
    <w:rsid w:val="00C82C08"/>
    <w:rsid w:val="00C84FE2"/>
    <w:rsid w:val="00C86403"/>
    <w:rsid w:val="00C8761A"/>
    <w:rsid w:val="00C90BE2"/>
    <w:rsid w:val="00C92AEE"/>
    <w:rsid w:val="00C946A3"/>
    <w:rsid w:val="00C97556"/>
    <w:rsid w:val="00C97F4D"/>
    <w:rsid w:val="00CA1C51"/>
    <w:rsid w:val="00CA1C54"/>
    <w:rsid w:val="00CA24D4"/>
    <w:rsid w:val="00CA48D8"/>
    <w:rsid w:val="00CB1134"/>
    <w:rsid w:val="00CB2A31"/>
    <w:rsid w:val="00CB3368"/>
    <w:rsid w:val="00CB39B6"/>
    <w:rsid w:val="00CB5549"/>
    <w:rsid w:val="00CB5A91"/>
    <w:rsid w:val="00CB5D21"/>
    <w:rsid w:val="00CB5F21"/>
    <w:rsid w:val="00CB6062"/>
    <w:rsid w:val="00CC0900"/>
    <w:rsid w:val="00CC0C38"/>
    <w:rsid w:val="00CC3519"/>
    <w:rsid w:val="00CC7F53"/>
    <w:rsid w:val="00CD27DB"/>
    <w:rsid w:val="00CD69FA"/>
    <w:rsid w:val="00CE171E"/>
    <w:rsid w:val="00CE2EA5"/>
    <w:rsid w:val="00CE3243"/>
    <w:rsid w:val="00CE47CD"/>
    <w:rsid w:val="00CE563C"/>
    <w:rsid w:val="00CE6A45"/>
    <w:rsid w:val="00CE7503"/>
    <w:rsid w:val="00CF1E92"/>
    <w:rsid w:val="00CF3D03"/>
    <w:rsid w:val="00CF4C3A"/>
    <w:rsid w:val="00CF74A7"/>
    <w:rsid w:val="00D000EB"/>
    <w:rsid w:val="00D02D8B"/>
    <w:rsid w:val="00D04A53"/>
    <w:rsid w:val="00D07571"/>
    <w:rsid w:val="00D079BA"/>
    <w:rsid w:val="00D07E67"/>
    <w:rsid w:val="00D07EA0"/>
    <w:rsid w:val="00D1218B"/>
    <w:rsid w:val="00D16A46"/>
    <w:rsid w:val="00D17438"/>
    <w:rsid w:val="00D177E7"/>
    <w:rsid w:val="00D17A38"/>
    <w:rsid w:val="00D20CD5"/>
    <w:rsid w:val="00D21BF0"/>
    <w:rsid w:val="00D22343"/>
    <w:rsid w:val="00D2248F"/>
    <w:rsid w:val="00D2359C"/>
    <w:rsid w:val="00D24E9A"/>
    <w:rsid w:val="00D25508"/>
    <w:rsid w:val="00D2602C"/>
    <w:rsid w:val="00D263F1"/>
    <w:rsid w:val="00D313A3"/>
    <w:rsid w:val="00D31555"/>
    <w:rsid w:val="00D31C8A"/>
    <w:rsid w:val="00D31D9D"/>
    <w:rsid w:val="00D3259B"/>
    <w:rsid w:val="00D33978"/>
    <w:rsid w:val="00D40277"/>
    <w:rsid w:val="00D402CA"/>
    <w:rsid w:val="00D406E1"/>
    <w:rsid w:val="00D406E6"/>
    <w:rsid w:val="00D41D35"/>
    <w:rsid w:val="00D4456A"/>
    <w:rsid w:val="00D44909"/>
    <w:rsid w:val="00D44CB2"/>
    <w:rsid w:val="00D45E02"/>
    <w:rsid w:val="00D46443"/>
    <w:rsid w:val="00D46FAF"/>
    <w:rsid w:val="00D47F37"/>
    <w:rsid w:val="00D516C8"/>
    <w:rsid w:val="00D549FB"/>
    <w:rsid w:val="00D54E04"/>
    <w:rsid w:val="00D57B8C"/>
    <w:rsid w:val="00D57E64"/>
    <w:rsid w:val="00D6074E"/>
    <w:rsid w:val="00D623A6"/>
    <w:rsid w:val="00D814FE"/>
    <w:rsid w:val="00D8253A"/>
    <w:rsid w:val="00D826DD"/>
    <w:rsid w:val="00D82BE1"/>
    <w:rsid w:val="00D83D3F"/>
    <w:rsid w:val="00D84C50"/>
    <w:rsid w:val="00D85393"/>
    <w:rsid w:val="00D86139"/>
    <w:rsid w:val="00D9083F"/>
    <w:rsid w:val="00D92B3F"/>
    <w:rsid w:val="00D96824"/>
    <w:rsid w:val="00DA0B80"/>
    <w:rsid w:val="00DA1BAF"/>
    <w:rsid w:val="00DA3C47"/>
    <w:rsid w:val="00DA5358"/>
    <w:rsid w:val="00DA570C"/>
    <w:rsid w:val="00DA5EB1"/>
    <w:rsid w:val="00DB1A36"/>
    <w:rsid w:val="00DB3208"/>
    <w:rsid w:val="00DB481F"/>
    <w:rsid w:val="00DB4A10"/>
    <w:rsid w:val="00DB63BD"/>
    <w:rsid w:val="00DB7E54"/>
    <w:rsid w:val="00DC1188"/>
    <w:rsid w:val="00DC6296"/>
    <w:rsid w:val="00DD2DF0"/>
    <w:rsid w:val="00DD41F4"/>
    <w:rsid w:val="00DD7E2F"/>
    <w:rsid w:val="00DE0B03"/>
    <w:rsid w:val="00DE6162"/>
    <w:rsid w:val="00DF001E"/>
    <w:rsid w:val="00DF0066"/>
    <w:rsid w:val="00DF4C2B"/>
    <w:rsid w:val="00DF7952"/>
    <w:rsid w:val="00E00694"/>
    <w:rsid w:val="00E0303A"/>
    <w:rsid w:val="00E031A1"/>
    <w:rsid w:val="00E10633"/>
    <w:rsid w:val="00E11B95"/>
    <w:rsid w:val="00E11D87"/>
    <w:rsid w:val="00E11EDC"/>
    <w:rsid w:val="00E12DDA"/>
    <w:rsid w:val="00E138E0"/>
    <w:rsid w:val="00E13D41"/>
    <w:rsid w:val="00E16798"/>
    <w:rsid w:val="00E24D30"/>
    <w:rsid w:val="00E27C0E"/>
    <w:rsid w:val="00E30225"/>
    <w:rsid w:val="00E327AE"/>
    <w:rsid w:val="00E328F5"/>
    <w:rsid w:val="00E3506C"/>
    <w:rsid w:val="00E35546"/>
    <w:rsid w:val="00E37A4F"/>
    <w:rsid w:val="00E4025A"/>
    <w:rsid w:val="00E41989"/>
    <w:rsid w:val="00E41B10"/>
    <w:rsid w:val="00E428C2"/>
    <w:rsid w:val="00E479E0"/>
    <w:rsid w:val="00E50BFF"/>
    <w:rsid w:val="00E55EB5"/>
    <w:rsid w:val="00E56A0E"/>
    <w:rsid w:val="00E60394"/>
    <w:rsid w:val="00E614BF"/>
    <w:rsid w:val="00E65A0B"/>
    <w:rsid w:val="00E67983"/>
    <w:rsid w:val="00E73F84"/>
    <w:rsid w:val="00E7599B"/>
    <w:rsid w:val="00E75B21"/>
    <w:rsid w:val="00E80518"/>
    <w:rsid w:val="00E808D4"/>
    <w:rsid w:val="00E83039"/>
    <w:rsid w:val="00E83E9A"/>
    <w:rsid w:val="00E852C2"/>
    <w:rsid w:val="00E913CB"/>
    <w:rsid w:val="00E94B77"/>
    <w:rsid w:val="00E96857"/>
    <w:rsid w:val="00E96C6C"/>
    <w:rsid w:val="00EA02A2"/>
    <w:rsid w:val="00EA0E7B"/>
    <w:rsid w:val="00EA2090"/>
    <w:rsid w:val="00EA4DE9"/>
    <w:rsid w:val="00EA606F"/>
    <w:rsid w:val="00EA62B5"/>
    <w:rsid w:val="00EA73C1"/>
    <w:rsid w:val="00EB1215"/>
    <w:rsid w:val="00EC0F55"/>
    <w:rsid w:val="00EC1E25"/>
    <w:rsid w:val="00EC2653"/>
    <w:rsid w:val="00EC2A35"/>
    <w:rsid w:val="00EC35F5"/>
    <w:rsid w:val="00EC42C0"/>
    <w:rsid w:val="00ED07C3"/>
    <w:rsid w:val="00ED0C58"/>
    <w:rsid w:val="00ED2DD0"/>
    <w:rsid w:val="00ED4871"/>
    <w:rsid w:val="00EE18CC"/>
    <w:rsid w:val="00EE35BB"/>
    <w:rsid w:val="00EE6B50"/>
    <w:rsid w:val="00EE70D2"/>
    <w:rsid w:val="00EF0063"/>
    <w:rsid w:val="00EF3815"/>
    <w:rsid w:val="00EF3CD4"/>
    <w:rsid w:val="00EF4D93"/>
    <w:rsid w:val="00EF501D"/>
    <w:rsid w:val="00EF7114"/>
    <w:rsid w:val="00EF7917"/>
    <w:rsid w:val="00F01BD8"/>
    <w:rsid w:val="00F03EA4"/>
    <w:rsid w:val="00F0539D"/>
    <w:rsid w:val="00F05BCC"/>
    <w:rsid w:val="00F07E54"/>
    <w:rsid w:val="00F15AE1"/>
    <w:rsid w:val="00F17D02"/>
    <w:rsid w:val="00F24869"/>
    <w:rsid w:val="00F25A12"/>
    <w:rsid w:val="00F302FE"/>
    <w:rsid w:val="00F3283C"/>
    <w:rsid w:val="00F34234"/>
    <w:rsid w:val="00F36DDB"/>
    <w:rsid w:val="00F37734"/>
    <w:rsid w:val="00F37A14"/>
    <w:rsid w:val="00F41729"/>
    <w:rsid w:val="00F419A6"/>
    <w:rsid w:val="00F4281B"/>
    <w:rsid w:val="00F42A90"/>
    <w:rsid w:val="00F43CD1"/>
    <w:rsid w:val="00F4652D"/>
    <w:rsid w:val="00F47BC0"/>
    <w:rsid w:val="00F52ED3"/>
    <w:rsid w:val="00F651FB"/>
    <w:rsid w:val="00F66AC9"/>
    <w:rsid w:val="00F7117B"/>
    <w:rsid w:val="00F72493"/>
    <w:rsid w:val="00F763E7"/>
    <w:rsid w:val="00F83B35"/>
    <w:rsid w:val="00F84AB4"/>
    <w:rsid w:val="00F856B8"/>
    <w:rsid w:val="00F86C35"/>
    <w:rsid w:val="00F874FE"/>
    <w:rsid w:val="00F87CB0"/>
    <w:rsid w:val="00F924FB"/>
    <w:rsid w:val="00F9257C"/>
    <w:rsid w:val="00F9291A"/>
    <w:rsid w:val="00F97FDA"/>
    <w:rsid w:val="00FA0560"/>
    <w:rsid w:val="00FA08D6"/>
    <w:rsid w:val="00FA0DD1"/>
    <w:rsid w:val="00FA3A61"/>
    <w:rsid w:val="00FA48C3"/>
    <w:rsid w:val="00FA4A9F"/>
    <w:rsid w:val="00FA51AC"/>
    <w:rsid w:val="00FA5BF8"/>
    <w:rsid w:val="00FA7D3C"/>
    <w:rsid w:val="00FB11EF"/>
    <w:rsid w:val="00FB741A"/>
    <w:rsid w:val="00FC12A3"/>
    <w:rsid w:val="00FC1368"/>
    <w:rsid w:val="00FC461E"/>
    <w:rsid w:val="00FC5E2F"/>
    <w:rsid w:val="00FC6F05"/>
    <w:rsid w:val="00FD289A"/>
    <w:rsid w:val="00FD300C"/>
    <w:rsid w:val="00FD41C4"/>
    <w:rsid w:val="00FD7ED6"/>
    <w:rsid w:val="00FE0A18"/>
    <w:rsid w:val="00FE1F8E"/>
    <w:rsid w:val="00FE2969"/>
    <w:rsid w:val="00FE3326"/>
    <w:rsid w:val="00FE455C"/>
    <w:rsid w:val="00FE47F7"/>
    <w:rsid w:val="00FE5522"/>
    <w:rsid w:val="00FE6608"/>
    <w:rsid w:val="00FE6FAB"/>
    <w:rsid w:val="00FF003B"/>
    <w:rsid w:val="00FF0BB3"/>
    <w:rsid w:val="00FF2E97"/>
    <w:rsid w:val="00FF498F"/>
    <w:rsid w:val="00FF5067"/>
    <w:rsid w:val="52E4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9FF6E"/>
  <w15:docId w15:val="{4A6DC9DB-DB8F-8C42-BD8F-934F407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after="240"/>
      <w:jc w:val="center"/>
    </w:pPr>
    <w:rPr>
      <w:b/>
      <w:bCs/>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qFormat/>
    <w:pPr>
      <w:tabs>
        <w:tab w:val="center" w:pos="4536"/>
        <w:tab w:val="right" w:pos="9072"/>
      </w:tabs>
    </w:pPr>
    <w:rPr>
      <w:rFonts w:ascii="Times" w:eastAsia="Batang" w:hAnsi="Times"/>
      <w:sz w:val="20"/>
      <w:lang w:val="en-GB" w:eastAsia="en-US"/>
    </w:rPr>
  </w:style>
  <w:style w:type="paragraph" w:styleId="ab">
    <w:name w:val="Normal (Web)"/>
    <w:basedOn w:val="a"/>
    <w:uiPriority w:val="99"/>
    <w:qFormat/>
    <w:pPr>
      <w:spacing w:before="100" w:beforeAutospacing="1" w:after="100" w:afterAutospacing="1"/>
    </w:pPr>
    <w:rPr>
      <w:rFonts w:ascii="Arial" w:eastAsia="宋体" w:hAnsi="Arial" w:cs="Arial"/>
      <w:color w:val="493118"/>
      <w:sz w:val="18"/>
      <w:szCs w:val="18"/>
    </w:rPr>
  </w:style>
  <w:style w:type="table" w:styleId="ac">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customStyle="1" w:styleId="10">
    <w:name w:val="标题 1 字符"/>
    <w:basedOn w:val="a0"/>
    <w:link w:val="1"/>
    <w:qFormat/>
    <w:rPr>
      <w:rFonts w:ascii="Times New Roman" w:eastAsia="Malgun Gothic" w:hAnsi="Times New Roman" w:cs="Times New Roman"/>
      <w:sz w:val="36"/>
      <w:szCs w:val="36"/>
    </w:rPr>
  </w:style>
  <w:style w:type="character" w:customStyle="1" w:styleId="20">
    <w:name w:val="标题 2 字符"/>
    <w:basedOn w:val="a0"/>
    <w:link w:val="2"/>
    <w:qFormat/>
    <w:rPr>
      <w:rFonts w:ascii="Times New Roman" w:eastAsia="Malgun Gothic" w:hAnsi="Times New Roman" w:cs="Times New Roman"/>
      <w:sz w:val="32"/>
      <w:szCs w:val="32"/>
    </w:rPr>
  </w:style>
  <w:style w:type="character" w:customStyle="1" w:styleId="30">
    <w:name w:val="标题 3 字符"/>
    <w:basedOn w:val="a0"/>
    <w:link w:val="3"/>
    <w:qFormat/>
    <w:rPr>
      <w:rFonts w:ascii="Times New Roman" w:eastAsia="Malgun Gothic" w:hAnsi="Times New Roman" w:cs="Times New Roman"/>
      <w:sz w:val="28"/>
      <w:szCs w:val="28"/>
    </w:rPr>
  </w:style>
  <w:style w:type="character" w:customStyle="1" w:styleId="40">
    <w:name w:val="标题 4 字符"/>
    <w:basedOn w:val="a0"/>
    <w:link w:val="4"/>
    <w:qFormat/>
    <w:rPr>
      <w:rFonts w:ascii="Times New Roman" w:eastAsia="Malgun Gothic" w:hAnsi="Times New Roman" w:cs="Times New Roman"/>
    </w:rPr>
  </w:style>
  <w:style w:type="character" w:customStyle="1" w:styleId="50">
    <w:name w:val="标题 5 字符"/>
    <w:basedOn w:val="a0"/>
    <w:link w:val="5"/>
    <w:qFormat/>
    <w:rPr>
      <w:rFonts w:ascii="Times New Roman" w:eastAsia="Malgun Gothic" w:hAnsi="Times New Roman" w:cs="Times New Roman"/>
      <w:sz w:val="22"/>
      <w:szCs w:val="22"/>
    </w:rPr>
  </w:style>
  <w:style w:type="character" w:customStyle="1" w:styleId="60">
    <w:name w:val="标题 6 字符"/>
    <w:basedOn w:val="a0"/>
    <w:link w:val="6"/>
    <w:qFormat/>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qFormat/>
    <w:rPr>
      <w:rFonts w:ascii="Times New Roman" w:eastAsia="Times New Roman" w:hAnsi="Times New Roman" w:cs="Arial"/>
    </w:rPr>
  </w:style>
  <w:style w:type="character" w:customStyle="1" w:styleId="90">
    <w:name w:val="标题 9 字符"/>
    <w:basedOn w:val="a0"/>
    <w:link w:val="9"/>
    <w:qFormat/>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0">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a"/>
    <w:link w:val="af1"/>
    <w:uiPriority w:val="34"/>
    <w:qFormat/>
    <w:pPr>
      <w:ind w:leftChars="400" w:left="840" w:hanging="720"/>
    </w:pPr>
    <w:rPr>
      <w:rFonts w:ascii="Times" w:eastAsia="Batang" w:hAnsi="Times"/>
      <w:sz w:val="20"/>
      <w:lang w:val="en-GB"/>
    </w:rPr>
  </w:style>
  <w:style w:type="character" w:customStyle="1" w:styleId="af1">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列 字符"/>
    <w:link w:val="af0"/>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a4">
    <w:name w:val="题注 字符"/>
    <w:link w:val="a3"/>
    <w:qFormat/>
    <w:locked/>
    <w:rPr>
      <w:rFonts w:ascii="Times New Roman" w:eastAsia="Malgun Gothic" w:hAnsi="Times New Roman" w:cs="Times New Roman"/>
      <w:b/>
      <w:bCs/>
    </w:rPr>
  </w:style>
  <w:style w:type="paragraph" w:customStyle="1" w:styleId="Proposal">
    <w:name w:val="Proposal"/>
    <w:basedOn w:val="a"/>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a6">
    <w:name w:val="批注框文本 字符"/>
    <w:basedOn w:val="a0"/>
    <w:link w:val="a5"/>
    <w:uiPriority w:val="99"/>
    <w:semiHidden/>
    <w:qFormat/>
    <w:rPr>
      <w:rFonts w:ascii="Times New Roman" w:eastAsia="Malgun Gothic" w:hAnsi="Times New Roman" w:cs="Times New Roman"/>
      <w:sz w:val="18"/>
      <w:szCs w:val="18"/>
    </w:rPr>
  </w:style>
  <w:style w:type="character" w:customStyle="1" w:styleId="aa">
    <w:name w:val="页眉 字符"/>
    <w:basedOn w:val="a0"/>
    <w:link w:val="a9"/>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uiPriority w:val="99"/>
    <w:qFormat/>
    <w:pPr>
      <w:spacing w:after="180"/>
      <w:ind w:left="851" w:hanging="284"/>
    </w:pPr>
    <w:rPr>
      <w:sz w:val="20"/>
      <w:szCs w:val="20"/>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qFormat/>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1">
    <w:name w:val="Grid Table 5 Dark - Accent 6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Accent11">
    <w:name w:val="Grid Table 6 Colorful - Accent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1">
    <w:name w:val="List Table 6 Colorful - Accent 11"/>
    <w:basedOn w:val="a1"/>
    <w:uiPriority w:val="51"/>
    <w:qFormat/>
    <w:rPr>
      <w:color w:val="2F5496" w:themeColor="accent1" w:themeShade="BF"/>
    </w:rPr>
    <w:tblPr>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soins0">
    <w:name w:val="msoins"/>
    <w:basedOn w:val="a0"/>
    <w:qFormat/>
  </w:style>
  <w:style w:type="paragraph" w:customStyle="1" w:styleId="xmsonormal">
    <w:name w:val="xmsonormal"/>
    <w:basedOn w:val="a"/>
    <w:uiPriority w:val="99"/>
    <w:pPr>
      <w:spacing w:before="100" w:beforeAutospacing="1" w:after="100" w:afterAutospacing="1"/>
    </w:pPr>
    <w:rPr>
      <w:rFonts w:ascii="Calibri" w:eastAsia="Calibri" w:hAnsi="Calibri" w:cs="Calibri"/>
      <w:sz w:val="22"/>
      <w:szCs w:val="22"/>
      <w:lang w:eastAsia="en-US"/>
    </w:rPr>
  </w:style>
  <w:style w:type="paragraph" w:customStyle="1" w:styleId="xxxmsonormal">
    <w:name w:val="x_xxmsonormal"/>
    <w:basedOn w:val="a"/>
    <w:uiPriority w:val="99"/>
    <w:qFormat/>
    <w:rPr>
      <w:rFonts w:eastAsia="Malgun Gothic"/>
      <w:lang w:eastAsia="ko-KR"/>
    </w:rPr>
  </w:style>
  <w:style w:type="character" w:customStyle="1" w:styleId="xxxapple-converted-space">
    <w:name w:val="x_xxapple-converted-space"/>
    <w:qFormat/>
  </w:style>
  <w:style w:type="character" w:customStyle="1" w:styleId="B1Char">
    <w:name w:val="B1 Char"/>
    <w:qFormat/>
    <w:rPr>
      <w:rFonts w:eastAsia="Times New Roman"/>
    </w:rPr>
  </w:style>
  <w:style w:type="paragraph" w:customStyle="1" w:styleId="Revision1">
    <w:name w:val="Revision1"/>
    <w:hidden/>
    <w:uiPriority w:val="99"/>
    <w:semiHidden/>
    <w:qFormat/>
    <w:rPr>
      <w:rFonts w:ascii="Times New Roman" w:eastAsia="Times New Roman" w:hAnsi="Times New Roman" w:cs="Times New Roman"/>
      <w:sz w:val="24"/>
      <w:szCs w:val="24"/>
      <w:lang w:eastAsia="zh-CN"/>
    </w:rPr>
  </w:style>
  <w:style w:type="paragraph" w:customStyle="1" w:styleId="xmsonormal0">
    <w:name w:val="x_msonormal"/>
    <w:basedOn w:val="a"/>
    <w:qFormat/>
    <w:rPr>
      <w:rFonts w:ascii="Calibri" w:eastAsia="Calibri" w:hAnsi="Calibri" w:cs="Calibri"/>
      <w:sz w:val="22"/>
      <w:szCs w:val="22"/>
      <w:lang w:eastAsia="en-US"/>
    </w:rPr>
  </w:style>
  <w:style w:type="table" w:customStyle="1" w:styleId="ListTable3-Accent61">
    <w:name w:val="List Table 3 - Accent 61"/>
    <w:basedOn w:val="a1"/>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s">
    <w:name w:val="正文s"/>
    <w:basedOn w:val="a"/>
    <w:qFormat/>
    <w:pPr>
      <w:jc w:val="both"/>
    </w:pPr>
    <w:rPr>
      <w:rFonts w:eastAsia="宋体"/>
      <w:iCs/>
      <w:sz w:val="21"/>
      <w:szCs w:val="21"/>
    </w:rPr>
  </w:style>
  <w:style w:type="character" w:customStyle="1" w:styleId="a8">
    <w:name w:val="页脚 字符"/>
    <w:basedOn w:val="a0"/>
    <w:link w:val="a7"/>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490">
      <w:bodyDiv w:val="1"/>
      <w:marLeft w:val="0"/>
      <w:marRight w:val="0"/>
      <w:marTop w:val="0"/>
      <w:marBottom w:val="0"/>
      <w:divBdr>
        <w:top w:val="none" w:sz="0" w:space="0" w:color="auto"/>
        <w:left w:val="none" w:sz="0" w:space="0" w:color="auto"/>
        <w:bottom w:val="none" w:sz="0" w:space="0" w:color="auto"/>
        <w:right w:val="none" w:sz="0" w:space="0" w:color="auto"/>
      </w:divBdr>
      <w:divsChild>
        <w:div w:id="581181556">
          <w:marLeft w:val="0"/>
          <w:marRight w:val="0"/>
          <w:marTop w:val="0"/>
          <w:marBottom w:val="0"/>
          <w:divBdr>
            <w:top w:val="none" w:sz="0" w:space="0" w:color="auto"/>
            <w:left w:val="none" w:sz="0" w:space="0" w:color="auto"/>
            <w:bottom w:val="none" w:sz="0" w:space="0" w:color="auto"/>
            <w:right w:val="none" w:sz="0" w:space="0" w:color="auto"/>
          </w:divBdr>
          <w:divsChild>
            <w:div w:id="1535313067">
              <w:marLeft w:val="0"/>
              <w:marRight w:val="0"/>
              <w:marTop w:val="0"/>
              <w:marBottom w:val="0"/>
              <w:divBdr>
                <w:top w:val="none" w:sz="0" w:space="0" w:color="auto"/>
                <w:left w:val="none" w:sz="0" w:space="0" w:color="auto"/>
                <w:bottom w:val="none" w:sz="0" w:space="0" w:color="auto"/>
                <w:right w:val="none" w:sz="0" w:space="0" w:color="auto"/>
              </w:divBdr>
              <w:divsChild>
                <w:div w:id="828981899">
                  <w:marLeft w:val="0"/>
                  <w:marRight w:val="0"/>
                  <w:marTop w:val="0"/>
                  <w:marBottom w:val="0"/>
                  <w:divBdr>
                    <w:top w:val="none" w:sz="0" w:space="0" w:color="auto"/>
                    <w:left w:val="none" w:sz="0" w:space="0" w:color="auto"/>
                    <w:bottom w:val="none" w:sz="0" w:space="0" w:color="auto"/>
                    <w:right w:val="none" w:sz="0" w:space="0" w:color="auto"/>
                  </w:divBdr>
                  <w:divsChild>
                    <w:div w:id="130099621">
                      <w:marLeft w:val="0"/>
                      <w:marRight w:val="0"/>
                      <w:marTop w:val="0"/>
                      <w:marBottom w:val="0"/>
                      <w:divBdr>
                        <w:top w:val="none" w:sz="0" w:space="0" w:color="auto"/>
                        <w:left w:val="none" w:sz="0" w:space="0" w:color="auto"/>
                        <w:bottom w:val="none" w:sz="0" w:space="0" w:color="auto"/>
                        <w:right w:val="none" w:sz="0" w:space="0" w:color="auto"/>
                      </w:divBdr>
                      <w:divsChild>
                        <w:div w:id="44376233">
                          <w:marLeft w:val="0"/>
                          <w:marRight w:val="0"/>
                          <w:marTop w:val="0"/>
                          <w:marBottom w:val="0"/>
                          <w:divBdr>
                            <w:top w:val="none" w:sz="0" w:space="0" w:color="auto"/>
                            <w:left w:val="none" w:sz="0" w:space="0" w:color="auto"/>
                            <w:bottom w:val="none" w:sz="0" w:space="0" w:color="auto"/>
                            <w:right w:val="none" w:sz="0" w:space="0" w:color="auto"/>
                          </w:divBdr>
                          <w:divsChild>
                            <w:div w:id="4613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Frank-LONG Yi</cp:lastModifiedBy>
  <cp:revision>10</cp:revision>
  <dcterms:created xsi:type="dcterms:W3CDTF">2025-11-18T17:16:00Z</dcterms:created>
  <dcterms:modified xsi:type="dcterms:W3CDTF">2025-11-18T21:21:00Z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2024-08-19T13:32:39Z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c1968427-1c09-4cff-ada7-ffead6248aa9</vt:lpwstr>
  </property>
  <property fmtid="{D5CDD505-2E9C-101B-9397-08002B2CF9AE}" pid="8" name="MSIP_Label_83bcef13-7cac-433f-ba1d-47a323951816_ContentBits">
    <vt:lpwstr>0</vt:lpwstr>
  </property>
  <property fmtid="{D5CDD505-2E9C-101B-9397-08002B2CF9AE}" pid="9" name="KSOProductBuildVer">
    <vt:lpwstr>2052-12.1.0.17827</vt:lpwstr>
  </property>
  <property fmtid="{D5CDD505-2E9C-101B-9397-08002B2CF9AE}" pid="10" name="ICV">
    <vt:lpwstr>CD484B871BA94E7E96C1A350AE5BE463_13</vt:lpwstr>
  </property>
</Properties>
</file>