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Heading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Heading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SimSun"/>
              </w:rPr>
              <w:t>…</w:t>
            </w:r>
            <w:r>
              <w:rPr>
                <w:rFonts w:eastAsia="SimSun"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rPr>
        <w:t>.</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F</w:t>
      </w:r>
      <w:r>
        <w:rPr>
          <w:sz w:val="20"/>
          <w:szCs w:val="20"/>
        </w:rPr>
        <w:t xml:space="preserve">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w:t>
      </w:r>
      <w:r>
        <w:rPr>
          <w:sz w:val="20"/>
          <w:szCs w:val="20"/>
          <w:lang w:val="en-GB"/>
        </w:rPr>
        <w:t>,</w:t>
      </w:r>
      <w:r>
        <w:rPr>
          <w:sz w:val="20"/>
          <w:szCs w:val="20"/>
          <w:lang w:val="en-GB"/>
        </w:rPr>
        <w:t xml:space="preserve"> and as long as UE has not detected an indication for 1-port transmission on carrier1, the UE remains on 0T+2T and</w:t>
      </w:r>
      <w:r w:rsidRPr="007E70FA">
        <w:rPr>
          <w:sz w:val="20"/>
          <w:szCs w:val="20"/>
          <w:lang w:val="en-GB"/>
        </w:rPr>
        <w:t xml:space="preserve"> </w:t>
      </w:r>
      <w:r>
        <w:rPr>
          <w:sz w:val="20"/>
          <w:szCs w:val="20"/>
          <w:lang w:val="en-GB"/>
        </w:rPr>
        <w:t xml:space="preserve">in theory it should be able to utilize both Tx chains for 1-port transmission on carrier2 (e.g. for antenna virtualization, best antenna selection, etc). When UE detects a DCI scheduling for 1-port transmission on carrier1, UE is supposed to switch from 0T+2T to 1T+1T. With that triggering DCI, UE cannot utilize both Tx chains for 1-port transmission on carrier2 anymore. Now the problem is, the timeline between DCI triggering uplink switching and 1-port transmission on carrier2 is not specified.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ListParagraph"/>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SimSun"/>
              </w:rPr>
              <w:t>…</w:t>
            </w:r>
            <w:r>
              <w:rPr>
                <w:rFonts w:eastAsia="SimSun"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Heading1"/>
      </w:pPr>
      <w:r>
        <w:t>Discussion</w:t>
      </w:r>
    </w:p>
    <w:p w14:paraId="64F66FF2" w14:textId="77777777" w:rsidR="00133ED4" w:rsidRDefault="00FB11EF">
      <w:pPr>
        <w:pStyle w:val="Heading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TableGrid"/>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5F3065CA" w:rsidR="00133ED4" w:rsidRDefault="00133ED4">
            <w:pPr>
              <w:pStyle w:val="0Maintext"/>
              <w:spacing w:after="120" w:line="240" w:lineRule="auto"/>
              <w:rPr>
                <w:rFonts w:eastAsia="Yu Mincho"/>
                <w:lang w:eastAsia="ja-JP"/>
              </w:rPr>
            </w:pPr>
          </w:p>
        </w:tc>
        <w:tc>
          <w:tcPr>
            <w:tcW w:w="6660" w:type="dxa"/>
          </w:tcPr>
          <w:p w14:paraId="4F1E9D4B" w14:textId="5A99EA46" w:rsidR="00133ED4" w:rsidRDefault="00FB11EF">
            <w:pPr>
              <w:pStyle w:val="0Maintext"/>
              <w:spacing w:after="120" w:line="240" w:lineRule="auto"/>
              <w:ind w:firstLine="0"/>
              <w:rPr>
                <w:rFonts w:eastAsia="Yu Mincho"/>
                <w:lang w:eastAsia="ja-JP"/>
              </w:rPr>
            </w:pPr>
            <w:r>
              <w:rPr>
                <w:rFonts w:eastAsia="Yu Mincho" w:hint="eastAsia"/>
                <w:lang w:eastAsia="ja-JP"/>
              </w:rPr>
              <w:t xml:space="preserve"> </w:t>
            </w:r>
          </w:p>
        </w:tc>
      </w:tr>
      <w:tr w:rsidR="00133ED4" w14:paraId="7ADE678C" w14:textId="77777777">
        <w:trPr>
          <w:jc w:val="center"/>
        </w:trPr>
        <w:tc>
          <w:tcPr>
            <w:tcW w:w="2425" w:type="dxa"/>
          </w:tcPr>
          <w:p w14:paraId="610A6AB9" w14:textId="5EBDD5FD" w:rsidR="00133ED4" w:rsidRDefault="00133ED4">
            <w:pPr>
              <w:pStyle w:val="0Maintext"/>
              <w:spacing w:after="120" w:line="240" w:lineRule="auto"/>
            </w:pPr>
          </w:p>
        </w:tc>
        <w:tc>
          <w:tcPr>
            <w:tcW w:w="6660" w:type="dxa"/>
          </w:tcPr>
          <w:p w14:paraId="67AD3530" w14:textId="5DBD652E" w:rsidR="00133ED4" w:rsidRDefault="00133ED4">
            <w:pPr>
              <w:pStyle w:val="0Maintext"/>
              <w:spacing w:after="120" w:line="240" w:lineRule="auto"/>
              <w:ind w:firstLine="0"/>
            </w:pPr>
          </w:p>
        </w:tc>
      </w:tr>
      <w:tr w:rsidR="00133ED4" w14:paraId="7E2033C1" w14:textId="77777777">
        <w:trPr>
          <w:jc w:val="center"/>
        </w:trPr>
        <w:tc>
          <w:tcPr>
            <w:tcW w:w="2425" w:type="dxa"/>
          </w:tcPr>
          <w:p w14:paraId="41376264" w14:textId="33C7426C" w:rsidR="00133ED4" w:rsidRDefault="00133ED4">
            <w:pPr>
              <w:pStyle w:val="0Maintext"/>
              <w:spacing w:after="120" w:line="240" w:lineRule="auto"/>
              <w:rPr>
                <w:rFonts w:eastAsiaTheme="minorEastAsia"/>
                <w:lang w:eastAsia="zh-CN"/>
              </w:rPr>
            </w:pPr>
          </w:p>
        </w:tc>
        <w:tc>
          <w:tcPr>
            <w:tcW w:w="6660" w:type="dxa"/>
          </w:tcPr>
          <w:p w14:paraId="4B28FA89" w14:textId="45DF892D" w:rsidR="00133ED4" w:rsidRDefault="00FB11EF">
            <w:pPr>
              <w:pStyle w:val="0Maintext"/>
              <w:spacing w:after="120" w:line="240" w:lineRule="auto"/>
              <w:ind w:firstLine="0"/>
              <w:rPr>
                <w:rFonts w:eastAsiaTheme="minorEastAsia"/>
                <w:lang w:eastAsia="zh-CN"/>
              </w:rPr>
            </w:pPr>
            <w:r>
              <w:rPr>
                <w:rFonts w:eastAsiaTheme="minorEastAsia"/>
                <w:lang w:eastAsia="zh-CN"/>
              </w:rPr>
              <w:t xml:space="preserve"> </w:t>
            </w:r>
          </w:p>
        </w:tc>
      </w:tr>
      <w:tr w:rsidR="00133ED4" w14:paraId="554CBE0D" w14:textId="77777777">
        <w:trPr>
          <w:jc w:val="center"/>
        </w:trPr>
        <w:tc>
          <w:tcPr>
            <w:tcW w:w="2425" w:type="dxa"/>
          </w:tcPr>
          <w:p w14:paraId="346E7916" w14:textId="7E4BF835" w:rsidR="00133ED4" w:rsidRDefault="00133ED4">
            <w:pPr>
              <w:pStyle w:val="0Maintext"/>
              <w:spacing w:after="120" w:line="240" w:lineRule="auto"/>
              <w:rPr>
                <w:rFonts w:eastAsia="PMingLiU"/>
                <w:lang w:eastAsia="zh-TW"/>
              </w:rPr>
            </w:pPr>
          </w:p>
        </w:tc>
        <w:tc>
          <w:tcPr>
            <w:tcW w:w="6660" w:type="dxa"/>
          </w:tcPr>
          <w:p w14:paraId="0D281225" w14:textId="2B9E59AB" w:rsidR="00133ED4" w:rsidRDefault="00133ED4">
            <w:pPr>
              <w:pStyle w:val="0Maintext"/>
              <w:spacing w:after="120" w:line="240" w:lineRule="auto"/>
              <w:ind w:firstLine="0"/>
              <w:rPr>
                <w:rFonts w:eastAsia="PMingLiU"/>
                <w:lang w:eastAsia="zh-TW"/>
              </w:rPr>
            </w:pP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TableGrid"/>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SimSun"/>
                <w:sz w:val="20"/>
                <w:szCs w:val="20"/>
              </w:rPr>
            </w:pPr>
            <w:r w:rsidRPr="00BC36B8">
              <w:rPr>
                <w:rFonts w:eastAsia="SimSun"/>
                <w:sz w:val="20"/>
                <w:szCs w:val="20"/>
              </w:rPr>
              <w:t>…</w:t>
            </w:r>
            <w:r w:rsidRPr="00BC36B8">
              <w:rPr>
                <w:rFonts w:eastAsia="SimSun"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r w:rsidRPr="0037605B">
              <w:rPr>
                <w:sz w:val="20"/>
                <w:szCs w:val="20"/>
              </w:rPr>
              <w:t>n</w:t>
            </w:r>
            <w:proofErr w:type="spellEnd"/>
            <w:r w:rsidRPr="0037605B">
              <w:rPr>
                <w:sz w:val="20"/>
                <w:szCs w:val="20"/>
              </w:rPr>
              <w:t xml:space="preserve">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SimSun"/>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proofErr w:type="spellStart"/>
            <w:r w:rsidRPr="00877F3D">
              <w:rPr>
                <w:color w:val="EE0000"/>
                <w:sz w:val="20"/>
                <w:szCs w:val="20"/>
                <w:lang w:val="en-GB"/>
              </w:rPr>
              <w:t>i</w:t>
            </w:r>
            <w:r w:rsidRPr="00877F3D">
              <w:rPr>
                <w:color w:val="EE0000"/>
                <w:sz w:val="20"/>
                <w:szCs w:val="20"/>
              </w:rPr>
              <w:t>n</w:t>
            </w:r>
            <w:proofErr w:type="spellEnd"/>
            <w:r w:rsidRPr="00877F3D">
              <w:rPr>
                <w:color w:val="EE0000"/>
                <w:sz w:val="20"/>
                <w:szCs w:val="20"/>
              </w:rPr>
              <w:t xml:space="preserve">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TableGrid"/>
        <w:tblW w:w="9085" w:type="dxa"/>
        <w:jc w:val="center"/>
        <w:tblLook w:val="04A0" w:firstRow="1" w:lastRow="0" w:firstColumn="1" w:lastColumn="0" w:noHBand="0" w:noVBand="1"/>
      </w:tblPr>
      <w:tblGrid>
        <w:gridCol w:w="2425"/>
        <w:gridCol w:w="6660"/>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77777777" w:rsidR="00133ED4" w:rsidRDefault="00133ED4">
            <w:pPr>
              <w:pStyle w:val="0Maintext"/>
              <w:spacing w:after="120" w:line="240" w:lineRule="auto"/>
            </w:pPr>
          </w:p>
        </w:tc>
        <w:tc>
          <w:tcPr>
            <w:tcW w:w="6660" w:type="dxa"/>
          </w:tcPr>
          <w:p w14:paraId="2993AD71" w14:textId="77777777" w:rsidR="00133ED4" w:rsidRDefault="00133ED4">
            <w:pPr>
              <w:pStyle w:val="0Maintext"/>
              <w:spacing w:after="120" w:line="240" w:lineRule="auto"/>
              <w:ind w:firstLine="0"/>
            </w:pPr>
          </w:p>
        </w:tc>
      </w:tr>
      <w:tr w:rsidR="00133ED4" w14:paraId="477F04F1" w14:textId="77777777">
        <w:trPr>
          <w:jc w:val="center"/>
        </w:trPr>
        <w:tc>
          <w:tcPr>
            <w:tcW w:w="2425" w:type="dxa"/>
          </w:tcPr>
          <w:p w14:paraId="1A09F6CE" w14:textId="77777777" w:rsidR="00133ED4" w:rsidRDefault="00133ED4">
            <w:pPr>
              <w:pStyle w:val="0Maintext"/>
              <w:spacing w:after="120" w:line="240" w:lineRule="auto"/>
            </w:pPr>
          </w:p>
        </w:tc>
        <w:tc>
          <w:tcPr>
            <w:tcW w:w="6660" w:type="dxa"/>
          </w:tcPr>
          <w:p w14:paraId="0B4DECB8" w14:textId="77777777" w:rsidR="00133ED4" w:rsidRDefault="00133ED4">
            <w:pPr>
              <w:pStyle w:val="0Maintext"/>
              <w:spacing w:after="120" w:line="240" w:lineRule="auto"/>
              <w:ind w:firstLine="0"/>
            </w:pPr>
          </w:p>
        </w:tc>
      </w:tr>
      <w:tr w:rsidR="00133ED4" w14:paraId="2A7D4E4D" w14:textId="77777777">
        <w:trPr>
          <w:jc w:val="center"/>
        </w:trPr>
        <w:tc>
          <w:tcPr>
            <w:tcW w:w="2425" w:type="dxa"/>
          </w:tcPr>
          <w:p w14:paraId="6EED70EF" w14:textId="77777777" w:rsidR="00133ED4" w:rsidRDefault="00133ED4">
            <w:pPr>
              <w:pStyle w:val="0Maintext"/>
              <w:spacing w:after="120" w:line="240" w:lineRule="auto"/>
            </w:pPr>
          </w:p>
        </w:tc>
        <w:tc>
          <w:tcPr>
            <w:tcW w:w="6660" w:type="dxa"/>
          </w:tcPr>
          <w:p w14:paraId="2612636F" w14:textId="77777777" w:rsidR="00133ED4" w:rsidRDefault="00133ED4">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57F9" w14:textId="77777777" w:rsidR="002867E8" w:rsidRDefault="002867E8" w:rsidP="00FA7D3C">
      <w:r>
        <w:separator/>
      </w:r>
    </w:p>
  </w:endnote>
  <w:endnote w:type="continuationSeparator" w:id="0">
    <w:p w14:paraId="1DBF3622" w14:textId="77777777" w:rsidR="002867E8" w:rsidRDefault="002867E8"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3991" w14:textId="77777777" w:rsidR="002867E8" w:rsidRDefault="002867E8" w:rsidP="00FA7D3C">
      <w:r>
        <w:separator/>
      </w:r>
    </w:p>
  </w:footnote>
  <w:footnote w:type="continuationSeparator" w:id="0">
    <w:p w14:paraId="3E963C84" w14:textId="77777777" w:rsidR="002867E8" w:rsidRDefault="002867E8"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836"/>
        </w:tabs>
        <w:ind w:left="836"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33768179">
    <w:abstractNumId w:val="1"/>
  </w:num>
  <w:num w:numId="2" w16cid:durableId="88417523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176032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7006"/>
    <w:rsid w:val="000D0F78"/>
    <w:rsid w:val="000D18B6"/>
    <w:rsid w:val="000D2660"/>
    <w:rsid w:val="000D4A1A"/>
    <w:rsid w:val="000D54C9"/>
    <w:rsid w:val="000E2519"/>
    <w:rsid w:val="000F0300"/>
    <w:rsid w:val="000F2C70"/>
    <w:rsid w:val="000F573B"/>
    <w:rsid w:val="000F6C72"/>
    <w:rsid w:val="001011FC"/>
    <w:rsid w:val="0010269A"/>
    <w:rsid w:val="001033DC"/>
    <w:rsid w:val="00103806"/>
    <w:rsid w:val="00103EC9"/>
    <w:rsid w:val="00107247"/>
    <w:rsid w:val="00115255"/>
    <w:rsid w:val="00120BE9"/>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3AB"/>
    <w:rsid w:val="001F1442"/>
    <w:rsid w:val="001F257F"/>
    <w:rsid w:val="001F726D"/>
    <w:rsid w:val="00203A0D"/>
    <w:rsid w:val="00203EB5"/>
    <w:rsid w:val="00203F11"/>
    <w:rsid w:val="00205FF8"/>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D5F"/>
    <w:rsid w:val="002F2194"/>
    <w:rsid w:val="002F3060"/>
    <w:rsid w:val="002F45F1"/>
    <w:rsid w:val="0030056F"/>
    <w:rsid w:val="00300829"/>
    <w:rsid w:val="00301356"/>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E9"/>
    <w:rsid w:val="00532BAF"/>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563C"/>
    <w:rsid w:val="00CE6A45"/>
    <w:rsid w:val="00CE7503"/>
    <w:rsid w:val="00CF1E92"/>
    <w:rsid w:val="00CF3D03"/>
    <w:rsid w:val="00CF4C3A"/>
    <w:rsid w:val="00CF74A7"/>
    <w:rsid w:val="00D000E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40277"/>
    <w:rsid w:val="00D402CA"/>
    <w:rsid w:val="00D406E1"/>
    <w:rsid w:val="00D406E6"/>
    <w:rsid w:val="00D41D35"/>
    <w:rsid w:val="00D4456A"/>
    <w:rsid w:val="00D44909"/>
    <w:rsid w:val="00D44CB2"/>
    <w:rsid w:val="00D45E02"/>
    <w:rsid w:val="00D46443"/>
    <w:rsid w:val="00D46FAF"/>
    <w:rsid w:val="00D47F37"/>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TableNormal"/>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TableNormal"/>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DefaultParagraphFont"/>
    <w:qFormat/>
  </w:style>
  <w:style w:type="paragraph" w:customStyle="1" w:styleId="xmsonormal">
    <w:name w:val="xmsonormal"/>
    <w:basedOn w:val="Normal"/>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Normal"/>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Normal"/>
    <w:qFormat/>
    <w:rPr>
      <w:rFonts w:ascii="Calibri" w:eastAsia="Calibri" w:hAnsi="Calibri" w:cs="Calibri"/>
      <w:sz w:val="22"/>
      <w:szCs w:val="22"/>
      <w:lang w:eastAsia="en-US"/>
    </w:rPr>
  </w:style>
  <w:style w:type="table" w:customStyle="1" w:styleId="ListTable3-Accent61">
    <w:name w:val="List Table 3 - Accent 61"/>
    <w:basedOn w:val="TableNormal"/>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Normal"/>
    <w:qFormat/>
    <w:pPr>
      <w:jc w:val="both"/>
    </w:pPr>
    <w:rPr>
      <w:rFonts w:eastAsia="SimSun"/>
      <w:iCs/>
      <w:sz w:val="21"/>
      <w:szCs w:val="21"/>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Ali</cp:lastModifiedBy>
  <cp:revision>8</cp:revision>
  <dcterms:created xsi:type="dcterms:W3CDTF">2024-08-20T10:05:00Z</dcterms:created>
  <dcterms:modified xsi:type="dcterms:W3CDTF">2025-11-18T13:42:00Z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