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ongoing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1" w:history="1">
              <w:r w:rsidRPr="00644FD0">
                <w:rPr>
                  <w:rStyle w:val="Hyperlink"/>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等线" w:hAnsi="Arial" w:cs="Arial"/>
                <w:lang w:eastAsia="zh-CN"/>
              </w:rPr>
              <w:t>GEO NTN NB-IoT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r>
              <w:rPr>
                <w:b/>
                <w:bCs/>
              </w:rPr>
              <w:t xml:space="preserve">Skylo </w:t>
            </w:r>
          </w:p>
        </w:tc>
        <w:tc>
          <w:tcPr>
            <w:tcW w:w="8427" w:type="dxa"/>
          </w:tcPr>
          <w:p w14:paraId="7A0241CD" w14:textId="45E63795" w:rsidR="00332D04" w:rsidRDefault="00332D04" w:rsidP="00332D04">
            <w:pPr>
              <w:pStyle w:val="ListParagraph"/>
              <w:numPr>
                <w:ilvl w:val="0"/>
                <w:numId w:val="25"/>
              </w:numPr>
            </w:pPr>
            <w:r>
              <w:t>We support BLER of 1 % or 2 % for evaluation</w:t>
            </w:r>
          </w:p>
          <w:p w14:paraId="71BA514F" w14:textId="4EF8ACCF" w:rsidR="00332D04" w:rsidRPr="00332D04" w:rsidRDefault="00332D04" w:rsidP="00332D04">
            <w:pPr>
              <w:pStyle w:val="ListParagraph"/>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ListParagraph"/>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reply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For section 5.2.2.3 (Downlink simulation parameters), RAN1 considers incorporating SET-2 and SET-3 UL SNRs further. Similarly, -5.5 dBi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r>
              <w:rPr>
                <w:b/>
                <w:bCs/>
              </w:rPr>
              <w:t>Skylo</w:t>
            </w:r>
          </w:p>
        </w:tc>
        <w:tc>
          <w:tcPr>
            <w:tcW w:w="8427" w:type="dxa"/>
          </w:tcPr>
          <w:p w14:paraId="22F72C0E" w14:textId="77777777" w:rsidR="00997B49" w:rsidRPr="00CE31C2" w:rsidRDefault="00997B49" w:rsidP="00997B49">
            <w:pPr>
              <w:pStyle w:val="NormalWeb"/>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ms*,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On the other hand, 40 ms bundling can considered for SCS 15 kHz since the minimum time-domain allocation for single-tone is 8 ms, whereas the minimum time-domain allocation for multi-tone is 4 ms, 2ms, and 1 ms for 3, 6, and 12 tones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The NPDSCH now can be anywhere in the first 15ms (considering that a minimum gap of 1 ms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[C2.4] The baseline should be set at −5.5 dBi, as already adopted in RAN1 evaluations. This ensures that the evaluation results are representative of real-world device performance. Since standards must apply to the entire device ecosystem and not just a subset with superior antenna characteristics, using −5.5 dBi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r w:rsidR="00BB0B39" w:rsidRPr="00CF2CAB" w14:paraId="5F0D1B34"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76982A8" w14:textId="01A14972"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238B50BD" w14:textId="77777777" w:rsidR="00BB0B39" w:rsidRPr="00CF2CAB" w:rsidRDefault="00BB0B39" w:rsidP="00BB0B39">
            <w:pPr>
              <w:jc w:val="both"/>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 xml:space="preserve">[C2.1] </w:t>
            </w:r>
            <w:r>
              <w:rPr>
                <w:lang w:val="en-US"/>
              </w:rPr>
              <w:t xml:space="preserve">We think it is important to reply SA4 the value of current commercial implementation, i.e., 4dB or </w:t>
            </w:r>
            <w:r w:rsidRPr="00E878E2">
              <w:rPr>
                <w:lang w:val="en-US"/>
              </w:rPr>
              <w:t>G/T=-28.6 dB/K</w:t>
            </w:r>
            <w:r>
              <w:rPr>
                <w:lang w:val="en-US"/>
              </w:rPr>
              <w:t>. This will help SA4 to identify the scenario of potential commercial deployment.</w:t>
            </w:r>
          </w:p>
          <w:p w14:paraId="32A53097" w14:textId="77777777" w:rsidR="00BB0B39" w:rsidRDefault="00BB0B39" w:rsidP="00BB0B39">
            <w:pPr>
              <w:cnfStyle w:val="000000000000" w:firstRow="0" w:lastRow="0" w:firstColumn="0" w:lastColumn="0" w:oddVBand="0" w:evenVBand="0" w:oddHBand="0" w:evenHBand="0" w:firstRowFirstColumn="0" w:firstRowLastColumn="0" w:lastRowFirstColumn="0" w:lastRowLastColumn="0"/>
              <w:rPr>
                <w:lang w:val="en-US"/>
              </w:rPr>
            </w:pPr>
            <w:r w:rsidRPr="00CF2CAB">
              <w:rPr>
                <w:lang w:val="en-US"/>
              </w:rPr>
              <w:t>[C2.</w:t>
            </w:r>
            <w:r>
              <w:rPr>
                <w:lang w:val="en-US"/>
              </w:rPr>
              <w:t>2</w:t>
            </w:r>
            <w:r w:rsidRPr="00CF2CAB">
              <w:rPr>
                <w:lang w:val="en-US"/>
              </w:rPr>
              <w:t>] [C2.</w:t>
            </w:r>
            <w:r>
              <w:rPr>
                <w:lang w:val="en-US"/>
              </w:rPr>
              <w:t>3</w:t>
            </w:r>
            <w:r w:rsidRPr="00CF2CAB">
              <w:rPr>
                <w:lang w:val="en-US"/>
              </w:rPr>
              <w:t>]</w:t>
            </w:r>
            <w:r>
              <w:rPr>
                <w:lang w:val="en-US"/>
              </w:rPr>
              <w:t xml:space="preserve"> Agree that the values are for worst case. In reality the value may be better.</w:t>
            </w:r>
          </w:p>
          <w:p w14:paraId="45C62F30" w14:textId="0645CC3D" w:rsidR="00BB0B39" w:rsidRPr="005E0BCF" w:rsidRDefault="00BB0B39" w:rsidP="00BB0B39">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CF2CAB">
              <w:rPr>
                <w:lang w:val="en-US"/>
              </w:rPr>
              <w:t>[C2.</w:t>
            </w:r>
            <w:r>
              <w:rPr>
                <w:lang w:val="en-US"/>
              </w:rPr>
              <w:t>6</w:t>
            </w:r>
            <w:r w:rsidRPr="00CF2CAB">
              <w:rPr>
                <w:lang w:val="en-US"/>
              </w:rPr>
              <w:t>]</w:t>
            </w:r>
            <w:r>
              <w:rPr>
                <w:lang w:val="en-US"/>
              </w:rPr>
              <w:t xml:space="preserve"> Set-1 is the typical scenario evaluated in RAN1 and can be focused. </w:t>
            </w:r>
          </w:p>
        </w:tc>
      </w:tr>
      <w:tr w:rsidR="003A0B53" w:rsidRPr="00CF2CAB" w14:paraId="21E4DC2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D5FE0FB" w14:textId="5FBD85CF" w:rsidR="003A0B53" w:rsidRDefault="003A0B53" w:rsidP="00BB0B39">
            <w:pPr>
              <w:rPr>
                <w:rFonts w:eastAsiaTheme="minorEastAsia"/>
                <w:lang w:eastAsia="zh-CN"/>
              </w:rPr>
            </w:pPr>
            <w:r>
              <w:rPr>
                <w:rFonts w:eastAsiaTheme="minorEastAsia"/>
                <w:lang w:eastAsia="zh-CN"/>
              </w:rPr>
              <w:t>MTK</w:t>
            </w:r>
          </w:p>
        </w:tc>
        <w:tc>
          <w:tcPr>
            <w:tcW w:w="7288" w:type="dxa"/>
          </w:tcPr>
          <w:p w14:paraId="7246D1A0" w14:textId="571DEAB2" w:rsidR="003A0B53" w:rsidRPr="00CF2CAB" w:rsidRDefault="003A0B53" w:rsidP="00BB0B39">
            <w:pPr>
              <w:jc w:val="both"/>
              <w:cnfStyle w:val="000000100000" w:firstRow="0" w:lastRow="0" w:firstColumn="0" w:lastColumn="0" w:oddVBand="0" w:evenVBand="0" w:oddHBand="1" w:evenHBand="0" w:firstRowFirstColumn="0" w:firstRowLastColumn="0" w:lastRowFirstColumn="0" w:lastRowLastColumn="0"/>
              <w:rPr>
                <w:lang w:val="en-US"/>
              </w:rPr>
            </w:pPr>
            <w:r>
              <w:rPr>
                <w:lang w:val="en-US"/>
              </w:rPr>
              <w:t>RAN1 response can mainly confirm the DL and UL link budget assumptions. The baseline for these assumptions can be based on TR 36.763 set 1 parameters. We are open to using set 2 as the worst case. On the bundling assumption, it is not necessary to discuss this in RAN1.We think 80 ms can be used as the baseline.</w:t>
            </w:r>
          </w:p>
        </w:tc>
      </w:tr>
      <w:tr w:rsidR="0056647D" w:rsidRPr="00CF2CAB" w14:paraId="1555D828"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953F23C" w14:textId="2D83A4FF" w:rsidR="0056647D" w:rsidRPr="0056647D" w:rsidRDefault="0056647D" w:rsidP="0056647D">
            <w:pPr>
              <w:rPr>
                <w:rFonts w:eastAsiaTheme="minorEastAsia"/>
                <w:lang w:eastAsia="zh-CN"/>
              </w:rPr>
            </w:pPr>
            <w:r>
              <w:rPr>
                <w:rFonts w:eastAsia="Malgun Gothic"/>
                <w:lang w:eastAsia="ko-KR"/>
              </w:rPr>
              <w:t>Nokia, NSB</w:t>
            </w:r>
          </w:p>
        </w:tc>
        <w:tc>
          <w:tcPr>
            <w:tcW w:w="7288" w:type="dxa"/>
          </w:tcPr>
          <w:p w14:paraId="2E5DA035" w14:textId="6B212EE5"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[C1.1] </w:t>
            </w:r>
            <w:r w:rsidRPr="00D7489B">
              <w:rPr>
                <w:lang w:val="en-US"/>
              </w:rPr>
              <w:t>pi/2 BPSK</w:t>
            </w:r>
            <w:r>
              <w:rPr>
                <w:lang w:val="en-US"/>
              </w:rPr>
              <w:t xml:space="preserve"> </w:t>
            </w:r>
            <w:r w:rsidRPr="00B9622D">
              <w:rPr>
                <w:lang w:val="en-US"/>
              </w:rPr>
              <w:t>or π/4-QPSK is applicable for single tone uplink transmissions</w:t>
            </w:r>
            <w:r>
              <w:rPr>
                <w:lang w:val="en-US"/>
              </w:rPr>
              <w:t>.</w:t>
            </w:r>
          </w:p>
          <w:p w14:paraId="44809EB8" w14:textId="58D7D55D" w:rsidR="0056647D" w:rsidRDefault="0056647D" w:rsidP="0056647D">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[C2.7] This high power UE is only highest level but not suitable for general NB-IoT UE as low battery. We do not think high power UE is a good case representing the market. </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G/T of -31.6 is not the worst case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RX antenna gain is estimated at -5.5 dBi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w:t>
            </w:r>
            <w:r w:rsidRPr="007C2C83">
              <w:rPr>
                <w:rFonts w:hint="eastAsia"/>
                <w:b/>
                <w:bCs/>
              </w:rPr>
              <w:lastRenderedPageBreak/>
              <w:t xml:space="preserve">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lastRenderedPageBreak/>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t>Skylo</w:t>
            </w:r>
          </w:p>
        </w:tc>
        <w:tc>
          <w:tcPr>
            <w:tcW w:w="8464" w:type="dxa"/>
          </w:tcPr>
          <w:p w14:paraId="267DA0A2" w14:textId="77777777" w:rsidR="00760AF8" w:rsidRPr="002867EE" w:rsidRDefault="00760AF8" w:rsidP="00760AF8">
            <w:pPr>
              <w:pStyle w:val="NormalWeb"/>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nominal value of </w:t>
            </w:r>
            <w:r w:rsidRPr="002867EE">
              <w:rPr>
                <w:rFonts w:ascii="Arial" w:eastAsia="等线" w:hAnsi="Arial" w:cs="Arial"/>
                <w:sz w:val="20"/>
                <w:szCs w:val="20"/>
                <w:lang w:val="en-GB"/>
              </w:rPr>
              <w:t>-33.6 dB/K</w:t>
            </w:r>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NormalWeb"/>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dBm)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lastRenderedPageBreak/>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G/T can be determined using equation 6.1.3.1-3 as described in TR 38.821. The value G/T = -31.6 dB/K is obtained under the following assumptions: Antenna gain (G_R) = 0 dBi, noise figure (N_f)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w:t>
            </w:r>
            <w:r>
              <w:rPr>
                <w:rFonts w:eastAsiaTheme="minorEastAsia"/>
                <w:lang w:eastAsia="zh-CN"/>
              </w:rPr>
              <w:lastRenderedPageBreak/>
              <w:t>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lastRenderedPageBreak/>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r w:rsidR="00BB0B39" w14:paraId="6760335F"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648E339F" w14:textId="5BCF65DA" w:rsidR="00BB0B39" w:rsidRDefault="00BB0B39" w:rsidP="00BB0B39">
            <w:pPr>
              <w:rPr>
                <w:rFonts w:eastAsiaTheme="minorEastAsia"/>
                <w:lang w:eastAsia="zh-CN"/>
              </w:rPr>
            </w:pPr>
            <w:r>
              <w:rPr>
                <w:rFonts w:eastAsiaTheme="minorEastAsia" w:hint="eastAsia"/>
                <w:lang w:eastAsia="zh-CN"/>
              </w:rPr>
              <w:t>Z</w:t>
            </w:r>
            <w:r>
              <w:rPr>
                <w:rFonts w:eastAsiaTheme="minorEastAsia"/>
                <w:lang w:eastAsia="zh-CN"/>
              </w:rPr>
              <w:t>TE</w:t>
            </w:r>
          </w:p>
        </w:tc>
        <w:tc>
          <w:tcPr>
            <w:tcW w:w="7288" w:type="dxa"/>
          </w:tcPr>
          <w:p w14:paraId="3E5F417D" w14:textId="3E8332D0" w:rsidR="00BB0B39" w:rsidRDefault="00BB0B39" w:rsidP="00BB0B39">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Besides FL’s response, we think it’s better to reply SA4 the value reflecting capability of current commercial UE. This can help SA4 to better discuss the codec for actual use.</w:t>
            </w:r>
          </w:p>
        </w:tc>
      </w:tr>
      <w:tr w:rsidR="003A0B53" w14:paraId="2DA5B33B"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B757281" w14:textId="53CE3C87" w:rsidR="003A0B53" w:rsidRDefault="003A0B53" w:rsidP="00BB0B39">
            <w:pPr>
              <w:rPr>
                <w:rFonts w:eastAsiaTheme="minorEastAsia"/>
                <w:lang w:eastAsia="zh-CN"/>
              </w:rPr>
            </w:pPr>
            <w:r>
              <w:rPr>
                <w:rFonts w:eastAsiaTheme="minorEastAsia"/>
                <w:lang w:eastAsia="zh-CN"/>
              </w:rPr>
              <w:t>MTK</w:t>
            </w:r>
          </w:p>
        </w:tc>
        <w:tc>
          <w:tcPr>
            <w:tcW w:w="7288" w:type="dxa"/>
          </w:tcPr>
          <w:p w14:paraId="23B68F57" w14:textId="44A47EA8" w:rsidR="003A0B53" w:rsidRDefault="003A0B53" w:rsidP="00BB0B39">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fine with the moderator’s response</w:t>
            </w:r>
          </w:p>
        </w:tc>
      </w:tr>
      <w:tr w:rsidR="002D674C" w14:paraId="1CC76492"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46179898" w14:textId="46AEB46F" w:rsidR="002D674C" w:rsidRPr="002D674C" w:rsidRDefault="002D674C" w:rsidP="00BB0B39">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1245D9F6" w14:textId="250D8440" w:rsidR="002D674C" w:rsidRPr="002D674C" w:rsidRDefault="002D674C" w:rsidP="002D674C">
            <w:pPr>
              <w:spacing w:line="259" w:lineRule="auto"/>
              <w:jc w:val="both"/>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We still don’t understand the origin of the 4 dB value, as there has been no discussion on this in the 3GPP groups. Furthermore, in a voice scenario, most people hold a smartphone to their ear, which directly affects the </w:t>
            </w:r>
            <w:r>
              <w:rPr>
                <w:rStyle w:val="Emphasis"/>
              </w:rPr>
              <w:t>actual/realistic</w:t>
            </w:r>
            <w:r>
              <w:t xml:space="preserve"> antenna gain and noise figure.</w:t>
            </w:r>
          </w:p>
        </w:tc>
      </w:tr>
      <w:tr w:rsidR="0056647D" w14:paraId="0F758AE5"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500CC3B" w14:textId="59279DD2" w:rsidR="0056647D" w:rsidRDefault="0056647D" w:rsidP="0056647D">
            <w:pPr>
              <w:rPr>
                <w:rFonts w:eastAsia="Malgun Gothic" w:hint="eastAsia"/>
                <w:lang w:eastAsia="ko-KR"/>
              </w:rPr>
            </w:pPr>
            <w:r>
              <w:rPr>
                <w:rFonts w:eastAsiaTheme="minorEastAsia"/>
                <w:lang w:val="en-US" w:eastAsia="zh-CN"/>
              </w:rPr>
              <w:t>Nokia, NSB</w:t>
            </w:r>
          </w:p>
        </w:tc>
        <w:tc>
          <w:tcPr>
            <w:tcW w:w="7288" w:type="dxa"/>
          </w:tcPr>
          <w:p w14:paraId="7AA7B91D" w14:textId="3D5A7B72" w:rsidR="0056647D" w:rsidRDefault="0056647D" w:rsidP="0056647D">
            <w:pPr>
              <w:spacing w:line="259" w:lineRule="auto"/>
              <w:jc w:val="both"/>
              <w:cnfStyle w:val="000000100000" w:firstRow="0" w:lastRow="0" w:firstColumn="0" w:lastColumn="0" w:oddVBand="0" w:evenVBand="0" w:oddHBand="1" w:evenHBand="0" w:firstRowFirstColumn="0" w:firstRowLastColumn="0" w:lastRowFirstColumn="0" w:lastRowLastColumn="0"/>
            </w:pPr>
            <w:r>
              <w:rPr>
                <w:lang w:val="en-US"/>
              </w:rPr>
              <w:t>In Rel17, there is already stable study for NTN</w:t>
            </w:r>
            <w:r>
              <w:rPr>
                <w:lang w:val="en-US"/>
              </w:rPr>
              <w:t xml:space="preserve">, where </w:t>
            </w:r>
            <w:r>
              <w:rPr>
                <w:lang w:val="en-US"/>
              </w:rPr>
              <w:t>th</w:t>
            </w:r>
            <w:r w:rsidRPr="007306A9">
              <w:rPr>
                <w:lang w:val="en-US"/>
              </w:rPr>
              <w:t xml:space="preserve">e G/T calculation is explained in TR 38.821 </w:t>
            </w:r>
            <w:r>
              <w:rPr>
                <w:lang w:val="en-US"/>
              </w:rPr>
              <w:t xml:space="preserve">to cover most of the UE cases in the market </w:t>
            </w:r>
            <w:r w:rsidRPr="007306A9">
              <w:rPr>
                <w:lang w:val="en-US"/>
              </w:rPr>
              <w:t>and that it is baseline value, which SA4 can also apply in their simulations</w:t>
            </w:r>
            <w:r w:rsidR="00C5187C">
              <w:rPr>
                <w:lang w:val="en-US"/>
              </w:rPr>
              <w:t xml:space="preserve"> instead using any other value</w:t>
            </w:r>
            <w:r w:rsidRPr="007306A9">
              <w:rPr>
                <w:lang w:val="en-US"/>
              </w:rPr>
              <w:t>.</w:t>
            </w:r>
            <w:r>
              <w:rPr>
                <w:lang w:val="en-US"/>
              </w:rPr>
              <w:t xml:space="preserve"> </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vivo, Spreadtrum</w:t>
      </w:r>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5819" w14:textId="77777777" w:rsidR="00F821F5" w:rsidRDefault="00F821F5">
      <w:pPr>
        <w:spacing w:after="0"/>
      </w:pPr>
      <w:r>
        <w:separator/>
      </w:r>
    </w:p>
  </w:endnote>
  <w:endnote w:type="continuationSeparator" w:id="0">
    <w:p w14:paraId="4B2FB120" w14:textId="77777777" w:rsidR="00F821F5" w:rsidRDefault="00F821F5">
      <w:pPr>
        <w:spacing w:after="0"/>
      </w:pPr>
      <w:r>
        <w:continuationSeparator/>
      </w:r>
    </w:p>
  </w:endnote>
  <w:endnote w:type="continuationNotice" w:id="1">
    <w:p w14:paraId="5A72846E" w14:textId="77777777" w:rsidR="00F821F5" w:rsidRDefault="00F82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62F2" w14:textId="77777777" w:rsidR="00F821F5" w:rsidRDefault="00F821F5">
      <w:pPr>
        <w:spacing w:after="0"/>
      </w:pPr>
      <w:r>
        <w:separator/>
      </w:r>
    </w:p>
  </w:footnote>
  <w:footnote w:type="continuationSeparator" w:id="0">
    <w:p w14:paraId="10404141" w14:textId="77777777" w:rsidR="00F821F5" w:rsidRDefault="00F821F5">
      <w:pPr>
        <w:spacing w:after="0"/>
      </w:pPr>
      <w:r>
        <w:continuationSeparator/>
      </w:r>
    </w:p>
  </w:footnote>
  <w:footnote w:type="continuationNotice" w:id="1">
    <w:p w14:paraId="78509B51" w14:textId="77777777" w:rsidR="00F821F5" w:rsidRDefault="00F821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669723">
    <w:abstractNumId w:val="2"/>
  </w:num>
  <w:num w:numId="2" w16cid:durableId="579339809">
    <w:abstractNumId w:val="28"/>
  </w:num>
  <w:num w:numId="3" w16cid:durableId="35155561">
    <w:abstractNumId w:val="19"/>
  </w:num>
  <w:num w:numId="4" w16cid:durableId="1222516140">
    <w:abstractNumId w:val="0"/>
  </w:num>
  <w:num w:numId="5" w16cid:durableId="115763387">
    <w:abstractNumId w:val="26"/>
  </w:num>
  <w:num w:numId="6" w16cid:durableId="1057237988">
    <w:abstractNumId w:val="12"/>
  </w:num>
  <w:num w:numId="7" w16cid:durableId="1116679498">
    <w:abstractNumId w:val="13"/>
  </w:num>
  <w:num w:numId="8" w16cid:durableId="933778810">
    <w:abstractNumId w:val="10"/>
  </w:num>
  <w:num w:numId="9" w16cid:durableId="910391581">
    <w:abstractNumId w:val="4"/>
  </w:num>
  <w:num w:numId="10" w16cid:durableId="573399136">
    <w:abstractNumId w:val="23"/>
  </w:num>
  <w:num w:numId="11" w16cid:durableId="288902240">
    <w:abstractNumId w:val="14"/>
  </w:num>
  <w:num w:numId="12" w16cid:durableId="1604611061">
    <w:abstractNumId w:val="29"/>
  </w:num>
  <w:num w:numId="13" w16cid:durableId="441800679">
    <w:abstractNumId w:val="17"/>
  </w:num>
  <w:num w:numId="14" w16cid:durableId="1529755135">
    <w:abstractNumId w:val="6"/>
  </w:num>
  <w:num w:numId="15" w16cid:durableId="752358112">
    <w:abstractNumId w:val="27"/>
  </w:num>
  <w:num w:numId="16" w16cid:durableId="1043557289">
    <w:abstractNumId w:val="20"/>
  </w:num>
  <w:num w:numId="17" w16cid:durableId="737479717">
    <w:abstractNumId w:val="5"/>
  </w:num>
  <w:num w:numId="18" w16cid:durableId="1813599713">
    <w:abstractNumId w:val="22"/>
  </w:num>
  <w:num w:numId="19" w16cid:durableId="545675770">
    <w:abstractNumId w:val="1"/>
  </w:num>
  <w:num w:numId="20" w16cid:durableId="971059469">
    <w:abstractNumId w:val="11"/>
  </w:num>
  <w:num w:numId="21" w16cid:durableId="1391272683">
    <w:abstractNumId w:val="8"/>
  </w:num>
  <w:num w:numId="22" w16cid:durableId="825047233">
    <w:abstractNumId w:val="18"/>
  </w:num>
  <w:num w:numId="23" w16cid:durableId="1749158200">
    <w:abstractNumId w:val="7"/>
  </w:num>
  <w:num w:numId="24" w16cid:durableId="704137049">
    <w:abstractNumId w:val="9"/>
  </w:num>
  <w:num w:numId="25" w16cid:durableId="1812866628">
    <w:abstractNumId w:val="15"/>
  </w:num>
  <w:num w:numId="26" w16cid:durableId="1557622193">
    <w:abstractNumId w:val="16"/>
  </w:num>
  <w:num w:numId="27" w16cid:durableId="1371806047">
    <w:abstractNumId w:val="3"/>
  </w:num>
  <w:num w:numId="28" w16cid:durableId="930888749">
    <w:abstractNumId w:val="24"/>
  </w:num>
  <w:num w:numId="29" w16cid:durableId="1399596446">
    <w:abstractNumId w:val="25"/>
  </w:num>
  <w:num w:numId="30" w16cid:durableId="13163770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26A6"/>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84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674C"/>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0B53"/>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47D"/>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1F62"/>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A27"/>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0B39"/>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395"/>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87C"/>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1F5"/>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2.xml><?xml version="1.0" encoding="utf-8"?>
<ds:datastoreItem xmlns:ds="http://schemas.openxmlformats.org/officeDocument/2006/customXml" ds:itemID="{4EA5A01A-FF13-4E36-AED6-5CA24048DC02}">
  <ds:schemaRefs>
    <ds:schemaRef ds:uri="http://schemas.openxmlformats.org/officeDocument/2006/bibliography"/>
  </ds:schemaRefs>
</ds:datastoreItem>
</file>

<file path=customXml/itemProps3.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Jingyuan Sun (NSB)</cp:lastModifiedBy>
  <cp:revision>5</cp:revision>
  <cp:lastPrinted>2020-02-10T06:14:00Z</cp:lastPrinted>
  <dcterms:created xsi:type="dcterms:W3CDTF">2025-08-25T11:23:00Z</dcterms:created>
  <dcterms:modified xsi:type="dcterms:W3CDTF">2025-08-25T11:45:00Z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B5FA305FD1B92EB29B1CB755EBA67C0302F60A1F9DF2FAB9CA3CF6C07C44FC5E9D1F1DC9BEB6D7C81AEAB4CB931890ECCDDDA92CDA124A70F58F6E6D7CEF50C2</vt:lpwstr>
  </property>
</Properties>
</file>