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a6"/>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a"/>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a"/>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바탕" w:hint="eastAsia"/>
                <w:lang w:eastAsia="ko-KR"/>
              </w:rPr>
              <w:t>E</w:t>
            </w:r>
            <w:r>
              <w:rPr>
                <w:rFonts w:eastAsia="바탕"/>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바탕"/>
                <w:lang w:eastAsia="ko-KR"/>
              </w:rPr>
            </w:pPr>
            <w:r>
              <w:rPr>
                <w:rFonts w:eastAsia="바탕"/>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바탕"/>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w:t>
            </w:r>
            <w:proofErr w:type="gramStart"/>
            <w:r>
              <w:rPr>
                <w:rFonts w:eastAsiaTheme="minorEastAsia" w:hint="eastAsia"/>
                <w:lang w:val="en-US" w:eastAsia="zh-CN"/>
              </w:rPr>
              <w:t>to study</w:t>
            </w:r>
            <w:proofErr w:type="gramEnd"/>
            <w:r>
              <w:rPr>
                <w:rFonts w:eastAsiaTheme="minorEastAsia" w:hint="eastAsia"/>
                <w:lang w:val="en-US" w:eastAsia="zh-CN"/>
              </w:rPr>
              <w:t xml:space="preserve">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바탕"/>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a"/>
              <w:numPr>
                <w:ilvl w:val="0"/>
                <w:numId w:val="11"/>
              </w:numPr>
            </w:pPr>
            <w:r>
              <w:t>Further study 4096QAM, including challenges, requirements, and solutions</w:t>
            </w:r>
          </w:p>
          <w:p w14:paraId="407E3DA8" w14:textId="77777777" w:rsidR="00F5469E" w:rsidRPr="008F3B82" w:rsidRDefault="00F5469E" w:rsidP="00F5469E">
            <w:pPr>
              <w:pStyle w:val="a"/>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바탕"/>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a"/>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바탕"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바탕"/>
                <w:b w:val="0"/>
                <w:bCs w:val="0"/>
                <w:lang w:val="en-US" w:eastAsia="ko-KR"/>
              </w:rPr>
              <w:t>We generally agree with the proposed modulation orders for both DL and UL.</w:t>
            </w:r>
            <w:r w:rsidRPr="00905D16">
              <w:rPr>
                <w:rFonts w:eastAsia="바탕" w:hint="eastAsia"/>
                <w:b w:val="0"/>
                <w:bCs w:val="0"/>
                <w:lang w:val="en-US" w:eastAsia="ko-KR"/>
              </w:rPr>
              <w:t xml:space="preserve"> </w:t>
            </w:r>
            <w:r w:rsidRPr="00905D16">
              <w:rPr>
                <w:rFonts w:eastAsia="바탕"/>
                <w:b w:val="0"/>
                <w:bCs w:val="0"/>
                <w:lang w:val="en-US" w:eastAsia="ko-KR"/>
              </w:rPr>
              <w:t>However, at this stage we do not agree with restricting the constellation shape to uniform QAM.</w:t>
            </w:r>
            <w:r w:rsidRPr="00905D16">
              <w:rPr>
                <w:rFonts w:eastAsia="바탕" w:hint="eastAsia"/>
                <w:b w:val="0"/>
                <w:bCs w:val="0"/>
                <w:lang w:val="en-US" w:eastAsia="ko-KR"/>
              </w:rPr>
              <w:t xml:space="preserve"> </w:t>
            </w:r>
            <w:r w:rsidRPr="00905D16">
              <w:rPr>
                <w:rFonts w:eastAsia="바탕"/>
                <w:b w:val="0"/>
                <w:bCs w:val="0"/>
                <w:lang w:val="en-US" w:eastAsia="ko-KR"/>
              </w:rPr>
              <w:t>We suggest that the statements be revised to specify modulation orders only, without fixing the constellation shape.</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aa"/>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lastRenderedPageBreak/>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lastRenderedPageBreak/>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lastRenderedPageBreak/>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lastRenderedPageBreak/>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lastRenderedPageBreak/>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6BCC22B9" w14:textId="77777777" w:rsidR="00161CB6" w:rsidRPr="00D653B8" w:rsidRDefault="00161CB6" w:rsidP="00161CB6">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2BB7FF51" w14:textId="115D0075" w:rsidR="00161CB6" w:rsidRDefault="00161CB6" w:rsidP="00161CB6">
            <w:pPr>
              <w:spacing w:after="0"/>
            </w:pPr>
            <w:r w:rsidRPr="00D653B8">
              <w:rPr>
                <w:rFonts w:eastAsia="바탕"/>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바탕"/>
                <w:color w:val="000000" w:themeColor="text1"/>
                <w:lang w:eastAsia="ko-KR"/>
              </w:rPr>
            </w:pPr>
            <w:r>
              <w:rPr>
                <w:rFonts w:eastAsia="바탕"/>
                <w:color w:val="000000" w:themeColor="text1"/>
                <w:lang w:eastAsia="ko-KR"/>
              </w:rPr>
              <w:t>Tejas</w:t>
            </w:r>
          </w:p>
        </w:tc>
        <w:tc>
          <w:tcPr>
            <w:tcW w:w="7877" w:type="dxa"/>
          </w:tcPr>
          <w:p w14:paraId="5AD36179" w14:textId="4B76A4F7" w:rsidR="00551054" w:rsidRPr="00551054" w:rsidRDefault="00551054" w:rsidP="00551054">
            <w:pPr>
              <w:spacing w:after="0"/>
              <w:rPr>
                <w:rFonts w:eastAsia="바탕"/>
                <w:color w:val="000000" w:themeColor="text1"/>
                <w:lang w:eastAsia="ko-KR"/>
              </w:rPr>
            </w:pPr>
            <w:r w:rsidRPr="00551054">
              <w:rPr>
                <w:rFonts w:eastAsia="바탕"/>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바탕"/>
                <w:color w:val="000000" w:themeColor="text1"/>
                <w:lang w:eastAsia="ko-KR"/>
              </w:rPr>
            </w:pPr>
            <w:r>
              <w:rPr>
                <w:rFonts w:eastAsia="바탕"/>
                <w:color w:val="000000" w:themeColor="text1"/>
                <w:lang w:eastAsia="ko-KR"/>
              </w:rPr>
              <w:t xml:space="preserve">Following this, </w:t>
            </w:r>
            <w:proofErr w:type="gramStart"/>
            <w:r w:rsidRPr="00551054">
              <w:rPr>
                <w:rFonts w:eastAsia="바탕"/>
                <w:color w:val="000000" w:themeColor="text1"/>
                <w:lang w:eastAsia="ko-KR"/>
              </w:rPr>
              <w:t>The</w:t>
            </w:r>
            <w:proofErr w:type="gramEnd"/>
            <w:r w:rsidRPr="00551054">
              <w:rPr>
                <w:rFonts w:eastAsia="바탕"/>
                <w:color w:val="000000" w:themeColor="text1"/>
                <w:lang w:eastAsia="ko-KR"/>
              </w:rPr>
              <w:t xml:space="preserve"> trade-off between performance and implementation complexity, considering channel conditions, MIMO, TB size, and transmitter and receiver design, should be carefully analy</w:t>
            </w:r>
            <w:r>
              <w:rPr>
                <w:rFonts w:eastAsia="바탕"/>
                <w:color w:val="000000" w:themeColor="text1"/>
                <w:lang w:eastAsia="ko-KR"/>
              </w:rPr>
              <w:t>s</w:t>
            </w:r>
            <w:r w:rsidRPr="00551054">
              <w:rPr>
                <w:rFonts w:eastAsia="바탕"/>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바탕"/>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바탕"/>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바탕"/>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바탕"/>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바탕"/>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바탕"/>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바탕" w:hint="eastAsia"/>
                <w:lang w:eastAsia="ko-KR"/>
              </w:rPr>
              <w:t>Samsung</w:t>
            </w:r>
          </w:p>
        </w:tc>
        <w:tc>
          <w:tcPr>
            <w:tcW w:w="7877" w:type="dxa"/>
          </w:tcPr>
          <w:p w14:paraId="111CBC7C" w14:textId="77777777" w:rsidR="00905D16" w:rsidRDefault="00905D16" w:rsidP="00905D16">
            <w:pPr>
              <w:spacing w:after="0"/>
              <w:rPr>
                <w:rFonts w:eastAsia="바탕"/>
                <w:lang w:val="en-US" w:eastAsia="ko-KR"/>
              </w:rPr>
            </w:pPr>
            <w:r w:rsidRPr="00905D16">
              <w:rPr>
                <w:rFonts w:eastAsia="바탕"/>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바탕"/>
                <w:lang w:val="en-US" w:eastAsia="ko-KR"/>
              </w:rPr>
            </w:pPr>
          </w:p>
          <w:p w14:paraId="16778F0E" w14:textId="77777777" w:rsidR="00905D16" w:rsidRPr="00905D16" w:rsidRDefault="00905D16" w:rsidP="00905D16">
            <w:pPr>
              <w:spacing w:after="0"/>
              <w:rPr>
                <w:rFonts w:eastAsia="바탕"/>
                <w:lang w:val="en-US" w:eastAsia="ko-KR"/>
              </w:rPr>
            </w:pPr>
            <w:r w:rsidRPr="00905D16">
              <w:rPr>
                <w:rFonts w:eastAsia="바탕"/>
                <w:lang w:val="en-US" w:eastAsia="ko-KR"/>
              </w:rPr>
              <w:t>Probabilistic Shaping (PS)</w:t>
            </w:r>
          </w:p>
          <w:p w14:paraId="03B7D3CC" w14:textId="77777777" w:rsidR="00905D16" w:rsidRPr="00905D16" w:rsidRDefault="00905D16" w:rsidP="00905D16">
            <w:pPr>
              <w:numPr>
                <w:ilvl w:val="0"/>
                <w:numId w:val="22"/>
              </w:numPr>
              <w:spacing w:after="0"/>
              <w:rPr>
                <w:rFonts w:eastAsia="바탕"/>
                <w:lang w:val="en-US" w:eastAsia="ko-KR"/>
              </w:rPr>
            </w:pPr>
            <w:r w:rsidRPr="00905D16">
              <w:rPr>
                <w:rFonts w:eastAsia="바탕"/>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바탕"/>
                <w:lang w:val="en-US" w:eastAsia="ko-KR"/>
              </w:rPr>
            </w:pPr>
            <w:r w:rsidRPr="00905D16">
              <w:rPr>
                <w:rFonts w:eastAsia="바탕"/>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바탕"/>
                <w:lang w:val="en-US" w:eastAsia="ko-KR"/>
              </w:rPr>
            </w:pPr>
            <w:r w:rsidRPr="00905D16">
              <w:rPr>
                <w:rFonts w:eastAsia="바탕"/>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바탕"/>
                <w:lang w:val="en-US" w:eastAsia="ko-KR"/>
              </w:rPr>
            </w:pPr>
            <w:r w:rsidRPr="00905D16">
              <w:rPr>
                <w:rFonts w:eastAsia="바탕"/>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바탕" w:hint="eastAsia"/>
                <w:lang w:val="en-US" w:eastAsia="ko-KR"/>
              </w:rPr>
            </w:pPr>
          </w:p>
          <w:p w14:paraId="4F0DC90A" w14:textId="77777777" w:rsidR="00905D16" w:rsidRPr="00905D16" w:rsidRDefault="00905D16" w:rsidP="00905D16">
            <w:pPr>
              <w:spacing w:after="0"/>
              <w:rPr>
                <w:rFonts w:eastAsia="바탕"/>
                <w:lang w:val="en-US" w:eastAsia="ko-KR"/>
              </w:rPr>
            </w:pPr>
            <w:r w:rsidRPr="00905D16">
              <w:rPr>
                <w:rFonts w:eastAsia="바탕"/>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바탕"/>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바탕"/>
                <w:lang w:val="en-US" w:eastAsia="ko-KR"/>
              </w:rPr>
              <w:t>Details of bit-to-symbol mapping (labelling)</w:t>
            </w:r>
          </w:p>
        </w:tc>
      </w:tr>
    </w:tbl>
    <w:p w14:paraId="306F7EFB" w14:textId="658DD090" w:rsidR="007E7DEB" w:rsidRDefault="00D305CD">
      <w:r>
        <w:lastRenderedPageBreak/>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0BFFDC9F" w14:textId="77777777" w:rsidR="00161CB6" w:rsidRPr="00D653B8" w:rsidRDefault="00161CB6" w:rsidP="00161CB6">
            <w:pPr>
              <w:spacing w:after="0"/>
              <w:rPr>
                <w:rFonts w:eastAsia="바탕"/>
                <w:color w:val="000000" w:themeColor="text1"/>
                <w:lang w:eastAsia="ko-KR"/>
              </w:rPr>
            </w:pPr>
            <w:r w:rsidRPr="00D653B8">
              <w:rPr>
                <w:rFonts w:eastAsia="바탕"/>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바탕" w:hint="eastAsia"/>
                <w:color w:val="000000" w:themeColor="text1"/>
                <w:lang w:eastAsia="ko-KR"/>
              </w:rPr>
              <w:t>D</w:t>
            </w:r>
            <w:r w:rsidRPr="00D653B8">
              <w:rPr>
                <w:rFonts w:eastAsia="바탕"/>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바탕"/>
                <w:color w:val="000000" w:themeColor="text1"/>
                <w:lang w:eastAsia="ko-KR"/>
              </w:rPr>
            </w:pPr>
            <w:r>
              <w:rPr>
                <w:rFonts w:eastAsia="바탕"/>
                <w:color w:val="000000" w:themeColor="text1"/>
                <w:lang w:eastAsia="ko-KR"/>
              </w:rPr>
              <w:t>Tejas</w:t>
            </w:r>
          </w:p>
        </w:tc>
        <w:tc>
          <w:tcPr>
            <w:tcW w:w="7877" w:type="dxa"/>
          </w:tcPr>
          <w:p w14:paraId="5444AC53" w14:textId="75DACAB7" w:rsidR="00EE492F" w:rsidRPr="00D653B8" w:rsidRDefault="00EE492F" w:rsidP="00161CB6">
            <w:pPr>
              <w:spacing w:after="0"/>
              <w:rPr>
                <w:rFonts w:eastAsia="바탕"/>
                <w:color w:val="000000" w:themeColor="text1"/>
                <w:lang w:eastAsia="ko-KR"/>
              </w:rPr>
            </w:pPr>
            <w:r>
              <w:rPr>
                <w:rFonts w:eastAsia="바탕"/>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바탕"/>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af"/>
                <w:rFonts w:eastAsia="SimSun" w:hint="eastAsia"/>
                <w:lang w:val="en-US" w:eastAsia="zh-CN"/>
              </w:rPr>
              <w:t xml:space="preserve">. BICM capacity characterizes the theoretical performance bound under infinite code length assumption over ergodic channels (e.g., AWGN </w:t>
            </w:r>
            <w:r>
              <w:rPr>
                <w:rStyle w:val="af"/>
                <w:rFonts w:eastAsia="SimSun"/>
                <w:lang w:val="en-US" w:eastAsia="zh-CN"/>
              </w:rPr>
              <w:t>and</w:t>
            </w:r>
            <w:r>
              <w:rPr>
                <w:rStyle w:val="af"/>
                <w:rFonts w:eastAsia="SimSun" w:hint="eastAsia"/>
                <w:lang w:val="en-US" w:eastAsia="zh-CN"/>
              </w:rPr>
              <w:t xml:space="preserve"> </w:t>
            </w:r>
            <w:proofErr w:type="spellStart"/>
            <w:r>
              <w:rPr>
                <w:rStyle w:val="af"/>
                <w:rFonts w:eastAsia="SimSun" w:hint="eastAsia"/>
                <w:lang w:val="en-US" w:eastAsia="zh-CN"/>
              </w:rPr>
              <w:t>i.i.d.</w:t>
            </w:r>
            <w:proofErr w:type="spellEnd"/>
            <w:r>
              <w:rPr>
                <w:rStyle w:val="af"/>
                <w:rFonts w:eastAsia="SimSun" w:hint="eastAsia"/>
                <w:lang w:val="en-US" w:eastAsia="zh-CN"/>
              </w:rPr>
              <w:t xml:space="preserve"> Rayleigh fading channels). It should be noted that this differs fundamentally from the </w:t>
            </w:r>
            <w:r>
              <w:rPr>
                <w:rStyle w:val="af"/>
                <w:rFonts w:eastAsia="SimSun"/>
                <w:lang w:val="en-US" w:eastAsia="zh-CN"/>
              </w:rPr>
              <w:t>fading</w:t>
            </w:r>
            <w:r>
              <w:rPr>
                <w:rStyle w:val="af"/>
                <w:rFonts w:eastAsia="SimSun"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lastRenderedPageBreak/>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바탕"/>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바탕"/>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a"/>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w:t>
            </w:r>
            <w:proofErr w:type="gramStart"/>
            <w:r>
              <w:rPr>
                <w:lang w:val="en-US" w:eastAsia="en-US"/>
              </w:rPr>
              <w:t>to use</w:t>
            </w:r>
            <w:proofErr w:type="gramEnd"/>
            <w:r>
              <w:rPr>
                <w:lang w:val="en-US" w:eastAsia="en-US"/>
              </w:rPr>
              <w:t xml:space="preserve"> BLER as the major performance evaluation metric.</w:t>
            </w:r>
          </w:p>
          <w:p w14:paraId="0FEDC512" w14:textId="77777777" w:rsidR="00B43098" w:rsidRDefault="00B43098" w:rsidP="00B43098">
            <w:pPr>
              <w:pStyle w:val="a"/>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a"/>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바탕" w:hint="eastAsia"/>
                <w:lang w:eastAsia="ko-KR"/>
              </w:rPr>
              <w:t>Samsung</w:t>
            </w:r>
          </w:p>
        </w:tc>
        <w:tc>
          <w:tcPr>
            <w:tcW w:w="7877" w:type="dxa"/>
          </w:tcPr>
          <w:p w14:paraId="084ED1E6" w14:textId="77777777" w:rsidR="00A101ED" w:rsidRPr="00A101ED" w:rsidRDefault="00A101ED" w:rsidP="00A101ED">
            <w:pPr>
              <w:pStyle w:val="af0"/>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af0"/>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af0"/>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af0"/>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a"/>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lastRenderedPageBreak/>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lastRenderedPageBreak/>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QC-block interleaver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lastRenderedPageBreak/>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05743DC4" w14:textId="77777777" w:rsidR="00161CB6" w:rsidRPr="00D653B8" w:rsidRDefault="00161CB6" w:rsidP="00161CB6">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바탕" w:hint="eastAsia"/>
                <w:color w:val="000000" w:themeColor="text1"/>
                <w:lang w:eastAsia="ko-KR"/>
              </w:rPr>
              <w:t>W</w:t>
            </w:r>
            <w:r w:rsidRPr="00D653B8">
              <w:rPr>
                <w:rFonts w:eastAsia="바탕"/>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바탕"/>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바탕"/>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바탕"/>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바탕"/>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바탕"/>
                <w:color w:val="000000" w:themeColor="text1"/>
                <w:lang w:eastAsia="ko-KR"/>
              </w:rPr>
            </w:pPr>
            <w:r>
              <w:lastRenderedPageBreak/>
              <w:t>IDC</w:t>
            </w:r>
          </w:p>
        </w:tc>
        <w:tc>
          <w:tcPr>
            <w:tcW w:w="7877" w:type="dxa"/>
          </w:tcPr>
          <w:p w14:paraId="5F061694" w14:textId="13E95E18" w:rsidR="001D79B5" w:rsidRDefault="001D79B5" w:rsidP="001D79B5">
            <w:pPr>
              <w:spacing w:after="0"/>
              <w:rPr>
                <w:rFonts w:eastAsia="바탕"/>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바탕" w:hint="eastAsia"/>
                <w:lang w:eastAsia="ko-KR"/>
              </w:rPr>
              <w:t>Samsung</w:t>
            </w:r>
          </w:p>
        </w:tc>
        <w:tc>
          <w:tcPr>
            <w:tcW w:w="7877" w:type="dxa"/>
          </w:tcPr>
          <w:p w14:paraId="0EC484BC" w14:textId="7D3490E8" w:rsidR="00CE1C78" w:rsidRDefault="00CE1C78" w:rsidP="00CE1C78">
            <w:pPr>
              <w:spacing w:after="0"/>
              <w:rPr>
                <w:rFonts w:eastAsia="바탕"/>
                <w:lang w:eastAsia="ko-KR"/>
              </w:rPr>
            </w:pPr>
            <w:r w:rsidRPr="00CE1C78">
              <w:rPr>
                <w:rFonts w:eastAsia="바탕" w:hint="eastAsia"/>
                <w:lang w:eastAsia="ko-KR"/>
              </w:rPr>
              <w:t>We</w:t>
            </w:r>
            <w:r w:rsidRPr="00CE1C78">
              <w:rPr>
                <w:rFonts w:eastAsia="바탕"/>
                <w:lang w:eastAsia="ko-KR"/>
              </w:rPr>
              <w:t xml:space="preserve"> generally agree with the proposal. In this sub-agenda, it would be more appropriate to focus the discussion on bit-to-symbol mapping methods</w:t>
            </w:r>
            <w:r w:rsidRPr="00CE1C78">
              <w:rPr>
                <w:rFonts w:eastAsia="바탕"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바탕"/>
                <w:lang w:eastAsia="ko-KR"/>
              </w:rPr>
            </w:pPr>
          </w:p>
          <w:p w14:paraId="6233046A" w14:textId="2424DC51" w:rsidR="00CE1C78" w:rsidRPr="00CE1C78" w:rsidRDefault="00CE1C78" w:rsidP="00CE1C78">
            <w:pPr>
              <w:spacing w:after="0"/>
              <w:rPr>
                <w:lang w:val="en-US" w:eastAsia="en-US"/>
              </w:rPr>
            </w:pPr>
            <w:r w:rsidRPr="00CE1C78">
              <w:rPr>
                <w:rFonts w:eastAsia="바탕"/>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4E28" w14:textId="77777777" w:rsidR="000F63C3" w:rsidRDefault="000F63C3">
      <w:r>
        <w:separator/>
      </w:r>
    </w:p>
  </w:endnote>
  <w:endnote w:type="continuationSeparator" w:id="0">
    <w:p w14:paraId="08C9EAA3" w14:textId="77777777" w:rsidR="000F63C3" w:rsidRDefault="000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1D6D" w14:textId="77777777" w:rsidR="000F63C3" w:rsidRDefault="000F63C3">
      <w:pPr>
        <w:spacing w:after="0"/>
      </w:pPr>
      <w:r>
        <w:separator/>
      </w:r>
    </w:p>
  </w:footnote>
  <w:footnote w:type="continuationSeparator" w:id="0">
    <w:p w14:paraId="24344826" w14:textId="77777777" w:rsidR="000F63C3" w:rsidRDefault="000F6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6"/>
  </w:num>
  <w:num w:numId="2" w16cid:durableId="402218593">
    <w:abstractNumId w:val="13"/>
  </w:num>
  <w:num w:numId="3" w16cid:durableId="1014574471">
    <w:abstractNumId w:val="16"/>
  </w:num>
  <w:num w:numId="4" w16cid:durableId="1884559196">
    <w:abstractNumId w:val="3"/>
  </w:num>
  <w:num w:numId="5" w16cid:durableId="1467966947">
    <w:abstractNumId w:val="9"/>
  </w:num>
  <w:num w:numId="6" w16cid:durableId="375470541">
    <w:abstractNumId w:val="22"/>
  </w:num>
  <w:num w:numId="7" w16cid:durableId="1683126571">
    <w:abstractNumId w:val="7"/>
  </w:num>
  <w:num w:numId="8" w16cid:durableId="1108282697">
    <w:abstractNumId w:val="17"/>
  </w:num>
  <w:num w:numId="9" w16cid:durableId="1367024020">
    <w:abstractNumId w:val="18"/>
  </w:num>
  <w:num w:numId="10" w16cid:durableId="1397974861">
    <w:abstractNumId w:val="8"/>
  </w:num>
  <w:num w:numId="11" w16cid:durableId="2121876881">
    <w:abstractNumId w:val="10"/>
  </w:num>
  <w:num w:numId="12" w16cid:durableId="806896923">
    <w:abstractNumId w:val="1"/>
  </w:num>
  <w:num w:numId="13" w16cid:durableId="938222837">
    <w:abstractNumId w:val="2"/>
  </w:num>
  <w:num w:numId="14" w16cid:durableId="1076822702">
    <w:abstractNumId w:val="0"/>
  </w:num>
  <w:num w:numId="15" w16cid:durableId="1003241774">
    <w:abstractNumId w:val="14"/>
  </w:num>
  <w:num w:numId="16" w16cid:durableId="1372412605">
    <w:abstractNumId w:val="15"/>
  </w:num>
  <w:num w:numId="17" w16cid:durableId="997615530">
    <w:abstractNumId w:val="4"/>
  </w:num>
  <w:num w:numId="18" w16cid:durableId="870992397">
    <w:abstractNumId w:val="21"/>
  </w:num>
  <w:num w:numId="19" w16cid:durableId="1453285548">
    <w:abstractNumId w:val="19"/>
  </w:num>
  <w:num w:numId="20" w16cid:durableId="911085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9120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849625">
    <w:abstractNumId w:val="12"/>
  </w:num>
  <w:num w:numId="23" w16cid:durableId="285746746">
    <w:abstractNumId w:val="20"/>
  </w:num>
  <w:num w:numId="24" w16cid:durableId="1935625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08F5"/>
    <w:rsid w:val="001B3F87"/>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31545"/>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467886" w:themeColor="hyperlink"/>
      <w:u w:val="single"/>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9"/>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c">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c"/>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d">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d"/>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e">
    <w:name w:val="Revision"/>
    <w:hidden/>
    <w:uiPriority w:val="99"/>
    <w:unhideWhenUsed/>
    <w:rsid w:val="00927A85"/>
    <w:rPr>
      <w:rFonts w:ascii="Times New Roman" w:eastAsia="Times New Roman" w:hAnsi="Times New Roman" w:cs="Times New Roman"/>
      <w:lang w:val="en-GB" w:eastAsia="en-GB"/>
    </w:rPr>
  </w:style>
  <w:style w:type="character" w:styleId="af">
    <w:name w:val="annotation reference"/>
    <w:basedOn w:val="a1"/>
    <w:uiPriority w:val="99"/>
    <w:semiHidden/>
    <w:unhideWhenUsed/>
    <w:qFormat/>
    <w:rsid w:val="00E520E3"/>
    <w:rPr>
      <w:sz w:val="21"/>
      <w:szCs w:val="21"/>
    </w:rPr>
  </w:style>
  <w:style w:type="paragraph" w:styleId="af0">
    <w:name w:val="Normal (Web)"/>
    <w:basedOn w:val="a0"/>
    <w:uiPriority w:val="99"/>
    <w:unhideWhenUsed/>
    <w:rsid w:val="00A101ED"/>
    <w:pPr>
      <w:overflowPunct/>
      <w:autoSpaceDE/>
      <w:autoSpaceDN/>
      <w:adjustRightInd/>
      <w:spacing w:before="100" w:beforeAutospacing="1" w:after="100" w:afterAutospacing="1"/>
      <w:textAlignment w:val="auto"/>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6955</Words>
  <Characters>39645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Min Jang</cp:lastModifiedBy>
  <cp:revision>13</cp:revision>
  <dcterms:created xsi:type="dcterms:W3CDTF">2025-08-27T06:15:00Z</dcterms:created>
  <dcterms:modified xsi:type="dcterms:W3CDTF">2025-08-27T06:38:00Z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