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6"/>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a"/>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EC612F" w14:paraId="424E730B" w14:textId="77777777">
        <w:tc>
          <w:tcPr>
            <w:tcW w:w="1975" w:type="dxa"/>
          </w:tcPr>
          <w:p w14:paraId="009CBD4D" w14:textId="025AAC3C" w:rsidR="00EC612F" w:rsidRDefault="00EC612F" w:rsidP="00EC612F">
            <w:pPr>
              <w:spacing w:after="0"/>
            </w:pPr>
            <w:r>
              <w:rPr>
                <w:rFonts w:eastAsia="바탕" w:hint="eastAsia"/>
                <w:lang w:eastAsia="ko-KR"/>
              </w:rPr>
              <w:t>E</w:t>
            </w:r>
            <w:r>
              <w:rPr>
                <w:rFonts w:eastAsia="바탕"/>
                <w:lang w:eastAsia="ko-KR"/>
              </w:rPr>
              <w:t xml:space="preserve">TRI </w:t>
            </w:r>
          </w:p>
        </w:tc>
        <w:tc>
          <w:tcPr>
            <w:tcW w:w="7877" w:type="dxa"/>
          </w:tcPr>
          <w:p w14:paraId="6B8E39A2" w14:textId="77777777" w:rsidR="00EC612F" w:rsidRDefault="00EC612F" w:rsidP="00EC612F">
            <w:pPr>
              <w:spacing w:after="0"/>
            </w:pPr>
            <w:r>
              <w:t>Proposal 2.1-1: Support.</w:t>
            </w:r>
          </w:p>
          <w:p w14:paraId="1816EB52" w14:textId="4A45F2C4" w:rsidR="00EC612F" w:rsidRDefault="00EC612F" w:rsidP="00EC612F">
            <w:pPr>
              <w:spacing w:after="0"/>
              <w:rPr>
                <w:rFonts w:eastAsiaTheme="minorEastAsia" w:hint="eastAsia"/>
                <w:lang w:eastAsia="zh-CN"/>
              </w:rPr>
            </w:pPr>
            <w:r>
              <w:t>Proposal 2.1-2: Support.</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aa"/>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lastRenderedPageBreak/>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lastRenderedPageBreak/>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lastRenderedPageBreak/>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EC612F" w14:paraId="4CCA8BCF" w14:textId="77777777">
        <w:tc>
          <w:tcPr>
            <w:tcW w:w="1975" w:type="dxa"/>
          </w:tcPr>
          <w:p w14:paraId="2A80D6AA" w14:textId="64243E04" w:rsidR="00EC612F" w:rsidRDefault="00EC612F" w:rsidP="00EC612F">
            <w:pPr>
              <w:spacing w:after="0"/>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5D6C0B33" w14:textId="77777777" w:rsidR="00EC612F" w:rsidRPr="00D653B8" w:rsidRDefault="00EC612F" w:rsidP="00EC612F">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2BB7FF51" w14:textId="14F68503" w:rsidR="00EC612F" w:rsidRDefault="00EC612F" w:rsidP="00EC612F">
            <w:pPr>
              <w:spacing w:after="0"/>
            </w:pPr>
            <w:r w:rsidRPr="00D653B8">
              <w:rPr>
                <w:rFonts w:eastAsia="바탕"/>
                <w:color w:val="000000" w:themeColor="text1"/>
                <w:lang w:eastAsia="ko-KR"/>
              </w:rPr>
              <w:t>Also agree that only resulting constellations are needed whether they are designed by AI/ML or non-AI/ML (geometric shaping)</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lastRenderedPageBreak/>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EC612F" w14:paraId="2F026705" w14:textId="77777777">
        <w:tc>
          <w:tcPr>
            <w:tcW w:w="1975" w:type="dxa"/>
          </w:tcPr>
          <w:p w14:paraId="43887BEC" w14:textId="6B309673" w:rsidR="00EC612F" w:rsidRDefault="00EC612F" w:rsidP="00EC612F">
            <w:pPr>
              <w:spacing w:after="0"/>
              <w:rPr>
                <w:rFonts w:eastAsiaTheme="minorEastAsia" w:hint="eastAsia"/>
                <w:lang w:eastAsia="zh-CN"/>
              </w:rPr>
            </w:pPr>
            <w:r w:rsidRPr="00D653B8">
              <w:rPr>
                <w:rFonts w:eastAsia="바탕" w:hint="eastAsia"/>
                <w:color w:val="000000" w:themeColor="text1"/>
                <w:lang w:eastAsia="ko-KR"/>
              </w:rPr>
              <w:t>E</w:t>
            </w:r>
            <w:r w:rsidRPr="00D653B8">
              <w:rPr>
                <w:rFonts w:eastAsia="바탕"/>
                <w:color w:val="000000" w:themeColor="text1"/>
                <w:lang w:eastAsia="ko-KR"/>
              </w:rPr>
              <w:t>TRI</w:t>
            </w:r>
          </w:p>
        </w:tc>
        <w:tc>
          <w:tcPr>
            <w:tcW w:w="7877" w:type="dxa"/>
          </w:tcPr>
          <w:p w14:paraId="42089C75" w14:textId="77777777" w:rsidR="00EC612F" w:rsidRPr="00D653B8" w:rsidRDefault="00EC612F" w:rsidP="00EC612F">
            <w:pPr>
              <w:spacing w:after="0"/>
              <w:rPr>
                <w:rFonts w:eastAsia="바탕"/>
                <w:color w:val="000000" w:themeColor="text1"/>
                <w:lang w:eastAsia="ko-KR"/>
              </w:rPr>
            </w:pPr>
            <w:r w:rsidRPr="00D653B8">
              <w:rPr>
                <w:rFonts w:eastAsia="바탕"/>
                <w:color w:val="000000" w:themeColor="text1"/>
                <w:lang w:eastAsia="ko-KR"/>
              </w:rPr>
              <w:t xml:space="preserve">Support. </w:t>
            </w:r>
          </w:p>
          <w:p w14:paraId="6606D410" w14:textId="5F6716E2" w:rsidR="00EC612F" w:rsidRDefault="00EC612F" w:rsidP="00EC612F">
            <w:pPr>
              <w:spacing w:after="0"/>
              <w:rPr>
                <w:rFonts w:eastAsiaTheme="minorEastAsia" w:hint="eastAsia"/>
                <w:lang w:eastAsia="zh-CN"/>
              </w:rPr>
            </w:pPr>
            <w:r w:rsidRPr="00D653B8">
              <w:rPr>
                <w:rFonts w:eastAsia="바탕" w:hint="eastAsia"/>
                <w:color w:val="000000" w:themeColor="text1"/>
                <w:lang w:eastAsia="ko-KR"/>
              </w:rPr>
              <w:t>D</w:t>
            </w:r>
            <w:r w:rsidRPr="00D653B8">
              <w:rPr>
                <w:rFonts w:eastAsia="바탕"/>
                <w:color w:val="000000" w:themeColor="text1"/>
                <w:lang w:eastAsia="ko-KR"/>
              </w:rPr>
              <w:t>ifferent target BLER can be considered depending on use cases.</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a"/>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lastRenderedPageBreak/>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a"/>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EC612F" w14:paraId="31A357A2" w14:textId="77777777">
        <w:tc>
          <w:tcPr>
            <w:tcW w:w="1975" w:type="dxa"/>
          </w:tcPr>
          <w:p w14:paraId="5FEB5EB8" w14:textId="2FDF6EB5" w:rsidR="00EC612F" w:rsidRDefault="00EC612F" w:rsidP="00EC612F">
            <w:pPr>
              <w:spacing w:after="0"/>
              <w:rPr>
                <w:rFonts w:eastAsiaTheme="minorEastAsia" w:hint="eastAsia"/>
                <w:lang w:eastAsia="zh-CN"/>
              </w:rPr>
            </w:pPr>
            <w:r w:rsidRPr="00D653B8">
              <w:rPr>
                <w:rFonts w:eastAsia="바탕" w:hint="eastAsia"/>
                <w:color w:val="000000" w:themeColor="text1"/>
                <w:lang w:eastAsia="ko-KR"/>
              </w:rPr>
              <w:lastRenderedPageBreak/>
              <w:t>E</w:t>
            </w:r>
            <w:r w:rsidRPr="00D653B8">
              <w:rPr>
                <w:rFonts w:eastAsia="바탕"/>
                <w:color w:val="000000" w:themeColor="text1"/>
                <w:lang w:eastAsia="ko-KR"/>
              </w:rPr>
              <w:t>TRI</w:t>
            </w:r>
          </w:p>
        </w:tc>
        <w:tc>
          <w:tcPr>
            <w:tcW w:w="7877" w:type="dxa"/>
          </w:tcPr>
          <w:p w14:paraId="29A6E627" w14:textId="77777777" w:rsidR="00EC612F" w:rsidRPr="00D653B8" w:rsidRDefault="00EC612F" w:rsidP="00EC612F">
            <w:pPr>
              <w:spacing w:after="0"/>
              <w:rPr>
                <w:rFonts w:eastAsia="바탕"/>
                <w:color w:val="000000" w:themeColor="text1"/>
                <w:lang w:eastAsia="ko-KR"/>
              </w:rPr>
            </w:pPr>
            <w:r w:rsidRPr="00D653B8">
              <w:rPr>
                <w:rFonts w:eastAsia="바탕" w:hint="eastAsia"/>
                <w:color w:val="000000" w:themeColor="text1"/>
                <w:lang w:eastAsia="ko-KR"/>
              </w:rPr>
              <w:t>S</w:t>
            </w:r>
            <w:r w:rsidRPr="00D653B8">
              <w:rPr>
                <w:rFonts w:eastAsia="바탕"/>
                <w:color w:val="000000" w:themeColor="text1"/>
                <w:lang w:eastAsia="ko-KR"/>
              </w:rPr>
              <w:t>upport.</w:t>
            </w:r>
          </w:p>
          <w:p w14:paraId="639DA3D7" w14:textId="02D83C31" w:rsidR="00EC612F" w:rsidRDefault="00EC612F" w:rsidP="00EC612F">
            <w:pPr>
              <w:spacing w:after="0"/>
              <w:rPr>
                <w:rFonts w:eastAsiaTheme="minorEastAsia" w:hint="eastAsia"/>
                <w:lang w:eastAsia="zh-CN"/>
              </w:rPr>
            </w:pPr>
            <w:r w:rsidRPr="00D653B8">
              <w:rPr>
                <w:rFonts w:eastAsia="바탕" w:hint="eastAsia"/>
                <w:color w:val="000000" w:themeColor="text1"/>
                <w:lang w:eastAsia="ko-KR"/>
              </w:rPr>
              <w:t>W</w:t>
            </w:r>
            <w:r w:rsidRPr="00D653B8">
              <w:rPr>
                <w:rFonts w:eastAsia="바탕"/>
                <w:color w:val="000000" w:themeColor="text1"/>
                <w:lang w:eastAsia="ko-KR"/>
              </w:rPr>
              <w:t>e may need to observe if there is any PAPR impact when PS/GS being used (</w:t>
            </w:r>
            <w:proofErr w:type="gramStart"/>
            <w:r w:rsidRPr="00D653B8">
              <w:rPr>
                <w:rFonts w:eastAsia="바탕"/>
                <w:color w:val="000000" w:themeColor="text1"/>
                <w:lang w:eastAsia="ko-KR"/>
              </w:rPr>
              <w:t>e.g.</w:t>
            </w:r>
            <w:proofErr w:type="gramEnd"/>
            <w:r w:rsidRPr="00D653B8">
              <w:rPr>
                <w:rFonts w:eastAsia="바탕"/>
                <w:color w:val="000000" w:themeColor="text1"/>
                <w:lang w:eastAsia="ko-KR"/>
              </w:rPr>
              <w:t xml:space="preserve"> UL DFT-s-OFDM)</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BA64" w14:textId="77777777" w:rsidR="00FE6F5D" w:rsidRDefault="00FE6F5D">
      <w:r>
        <w:separator/>
      </w:r>
    </w:p>
  </w:endnote>
  <w:endnote w:type="continuationSeparator" w:id="0">
    <w:p w14:paraId="0104EC55" w14:textId="77777777" w:rsidR="00FE6F5D" w:rsidRDefault="00F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DEC6" w14:textId="77777777" w:rsidR="00FE6F5D" w:rsidRDefault="00FE6F5D">
      <w:pPr>
        <w:spacing w:after="0"/>
      </w:pPr>
      <w:r>
        <w:separator/>
      </w:r>
    </w:p>
  </w:footnote>
  <w:footnote w:type="continuationSeparator" w:id="0">
    <w:p w14:paraId="206578D4" w14:textId="77777777" w:rsidR="00FE6F5D" w:rsidRDefault="00FE6F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12"/>
  </w:num>
  <w:num w:numId="4">
    <w:abstractNumId w:val="3"/>
  </w:num>
  <w:num w:numId="5">
    <w:abstractNumId w:val="7"/>
  </w:num>
  <w:num w:numId="6">
    <w:abstractNumId w:val="15"/>
  </w:num>
  <w:num w:numId="7">
    <w:abstractNumId w:val="5"/>
  </w:num>
  <w:num w:numId="8">
    <w:abstractNumId w:val="13"/>
  </w:num>
  <w:num w:numId="9">
    <w:abstractNumId w:val="14"/>
  </w:num>
  <w:num w:numId="10">
    <w:abstractNumId w:val="6"/>
  </w:num>
  <w:num w:numId="11">
    <w:abstractNumId w:val="8"/>
  </w:num>
  <w:num w:numId="12">
    <w:abstractNumId w:val="1"/>
  </w:num>
  <w:num w:numId="13">
    <w:abstractNumId w:val="2"/>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3E79"/>
    <w:rsid w:val="00553F74"/>
    <w:rsid w:val="00554C70"/>
    <w:rsid w:val="005551BD"/>
    <w:rsid w:val="00563B46"/>
    <w:rsid w:val="0057238C"/>
    <w:rsid w:val="005751EA"/>
    <w:rsid w:val="00575E48"/>
    <w:rsid w:val="005771A1"/>
    <w:rsid w:val="00581DBC"/>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E7DEB"/>
    <w:rsid w:val="007F427A"/>
    <w:rsid w:val="007F6EA8"/>
    <w:rsid w:val="00803589"/>
    <w:rsid w:val="00816B74"/>
    <w:rsid w:val="00825023"/>
    <w:rsid w:val="00842453"/>
    <w:rsid w:val="00851822"/>
    <w:rsid w:val="00862450"/>
    <w:rsid w:val="008679B2"/>
    <w:rsid w:val="0087382D"/>
    <w:rsid w:val="00876967"/>
    <w:rsid w:val="00883CAE"/>
    <w:rsid w:val="00885689"/>
    <w:rsid w:val="00893E99"/>
    <w:rsid w:val="008A2710"/>
    <w:rsid w:val="008A4375"/>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8351B"/>
    <w:rsid w:val="00E976C5"/>
    <w:rsid w:val="00EA74FF"/>
    <w:rsid w:val="00EA7CA5"/>
    <w:rsid w:val="00EB16D6"/>
    <w:rsid w:val="00EB460F"/>
    <w:rsid w:val="00EB5E35"/>
    <w:rsid w:val="00EC38E1"/>
    <w:rsid w:val="00EC61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E6F5D"/>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467886" w:themeColor="hyperlink"/>
      <w:u w:val="single"/>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9"/>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c">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c"/>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d">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d"/>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e">
    <w:name w:val="Revision"/>
    <w:hidden/>
    <w:uiPriority w:val="99"/>
    <w:unhideWhenUsed/>
    <w:rsid w:val="00927A85"/>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888D7-E824-4F3E-BA9E-7AF7BD16551B}">
  <ds:schemaRefs>
    <ds:schemaRef ds:uri="http://schemas.openxmlformats.org/officeDocument/2006/bibliography"/>
  </ds:schemaRefs>
</ds:datastoreItem>
</file>

<file path=customXml/itemProps2.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4.xml><?xml version="1.0" encoding="utf-8"?>
<ds:datastoreItem xmlns:ds="http://schemas.openxmlformats.org/officeDocument/2006/customXml" ds:itemID="{DCF81F2E-0267-4BC7-8782-6AD89D0A99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ADMIN</cp:lastModifiedBy>
  <cp:revision>2</cp:revision>
  <dcterms:created xsi:type="dcterms:W3CDTF">2025-08-27T03:14:00Z</dcterms:created>
  <dcterms:modified xsi:type="dcterms:W3CDTF">2025-08-27T03:14:00Z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