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422EC4C9">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r>
              <w:rPr>
                <w:rFonts w:eastAsiaTheme="minorEastAsia"/>
                <w:sz w:val="21"/>
                <w:szCs w:val="21"/>
                <w:lang w:eastAsia="zh-CN"/>
              </w:rPr>
              <w:t>InterDigital</w:t>
            </w:r>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hint="eastAsia"/>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hint="eastAsia"/>
                <w:lang w:val="en-US" w:eastAsia="ko-KR"/>
              </w:rPr>
            </w:pPr>
          </w:p>
        </w:tc>
      </w:tr>
    </w:tbl>
    <w:p w14:paraId="00054CAA" w14:textId="77777777" w:rsidR="00010900" w:rsidRPr="009675CD"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OLE_LINK5"/>
            <w:r w:rsidRPr="006A4926">
              <w:rPr>
                <w:rFonts w:ascii="Times" w:eastAsia="DengXian" w:hAnsi="Times"/>
                <w:szCs w:val="24"/>
                <w:lang w:eastAsia="zh-CN"/>
              </w:rPr>
              <w:t>Device type</w:t>
            </w:r>
            <w:bookmarkEnd w:id="7"/>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66"/>
            <w:bookmarkStart w:id="9"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8"/>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_Hlk199342355"/>
            <w:bookmarkEnd w:id="9"/>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75"/>
            <w:bookmarkEnd w:id="10"/>
            <w:r w:rsidRPr="006A4926">
              <w:rPr>
                <w:rFonts w:ascii="Times" w:eastAsia="DengXian" w:hAnsi="Times"/>
                <w:szCs w:val="24"/>
                <w:lang w:eastAsia="zh-CN"/>
              </w:rPr>
              <w:t>Supp</w:t>
            </w:r>
            <w:bookmarkStart w:id="12" w:name="OLE_LINK74"/>
            <w:r w:rsidRPr="006A4926">
              <w:rPr>
                <w:rFonts w:ascii="Times" w:eastAsia="DengXian" w:hAnsi="Times"/>
                <w:szCs w:val="24"/>
                <w:lang w:eastAsia="zh-CN"/>
              </w:rPr>
              <w:t>orted maximum downlink channel bandwidth</w:t>
            </w:r>
            <w:bookmarkEnd w:id="11"/>
            <w:bookmarkEnd w:id="12"/>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3"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3"/>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4"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4"/>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_Hlk199341983"/>
            <w:r w:rsidRPr="006A4926">
              <w:rPr>
                <w:rFonts w:ascii="Times" w:eastAsia="DengXian" w:hAnsi="Times"/>
                <w:szCs w:val="24"/>
                <w:lang w:eastAsia="zh-CN"/>
              </w:rPr>
              <w:t xml:space="preserve">Supported maximum </w:t>
            </w:r>
            <w:bookmarkStart w:id="16" w:name="OLE_LINK76"/>
            <w:r w:rsidRPr="006A4926">
              <w:rPr>
                <w:rFonts w:ascii="Times" w:eastAsia="DengXian" w:hAnsi="Times"/>
                <w:szCs w:val="24"/>
                <w:lang w:eastAsia="zh-CN"/>
              </w:rPr>
              <w:t xml:space="preserve">uplink </w:t>
            </w:r>
            <w:bookmarkEnd w:id="16"/>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7" w:name="OLE_LINK77"/>
            <w:r w:rsidRPr="006A4926">
              <w:rPr>
                <w:rFonts w:ascii="Times" w:eastAsia="DengXian" w:hAnsi="Times"/>
                <w:szCs w:val="24"/>
                <w:lang w:eastAsia="zh-CN"/>
              </w:rPr>
              <w:t xml:space="preserve">100 </w:t>
            </w:r>
            <w:bookmarkEnd w:id="17"/>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5"/>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69"/>
            <w:r w:rsidRPr="006A4926">
              <w:rPr>
                <w:rFonts w:ascii="Times" w:eastAsia="DengXian" w:hAnsi="Times"/>
                <w:szCs w:val="24"/>
                <w:lang w:eastAsia="zh-CN"/>
              </w:rPr>
              <w:t xml:space="preserve">Supported maximum Uplink MIMO </w:t>
            </w:r>
            <w:bookmarkEnd w:id="18"/>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r>
              <w:rPr>
                <w:rFonts w:eastAsiaTheme="minorEastAsia"/>
                <w:sz w:val="21"/>
                <w:szCs w:val="21"/>
                <w:lang w:val="en-US" w:eastAsia="zh-CN"/>
              </w:rPr>
              <w:t>InterDigital</w:t>
            </w:r>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BodyText"/>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lastRenderedPageBreak/>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19" w:name="_Hlk207176337"/>
            <w:r>
              <w:rPr>
                <w:rFonts w:hint="eastAsia"/>
                <w:lang w:val="en-GB"/>
              </w:rPr>
              <w:t xml:space="preserve">testability </w:t>
            </w:r>
            <w:bookmarkEnd w:id="19"/>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BodyText"/>
              <w:rPr>
                <w:lang w:val="en-US"/>
              </w:rPr>
            </w:pPr>
            <w:r>
              <w:rPr>
                <w:lang w:val="en-US"/>
              </w:rPr>
              <w:t>We also want to avoid excessive numbers of UE types, not only capabilities. For example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1. Also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hint="eastAsia"/>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BodyText"/>
              <w:rPr>
                <w:rFonts w:eastAsia="Malgun Gothic" w:hint="eastAsia"/>
                <w:lang w:val="en-US" w:eastAsia="ko-KR"/>
              </w:rPr>
            </w:pP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w:t>
      </w:r>
      <w:r w:rsidR="003E4B8B">
        <w:rPr>
          <w:rFonts w:hint="eastAsia"/>
          <w:lang w:val="en-US"/>
        </w:rPr>
        <w:lastRenderedPageBreak/>
        <w:t xml:space="preserve">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r>
              <w:rPr>
                <w:rFonts w:eastAsiaTheme="minorEastAsia"/>
                <w:sz w:val="21"/>
                <w:szCs w:val="21"/>
                <w:lang w:val="en-US" w:eastAsia="zh-CN"/>
              </w:rPr>
              <w:t>InterDigital</w:t>
            </w:r>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782451">
              <w:rPr>
                <w:rFonts w:eastAsia="SimSun"/>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lastRenderedPageBreak/>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lastRenderedPageBreak/>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lastRenderedPageBreak/>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0" w:name="OLE_LINK28"/>
            <w:r w:rsidRPr="007747F6">
              <w:rPr>
                <w:rFonts w:eastAsiaTheme="minorEastAsia"/>
                <w:lang w:val="en-US" w:eastAsia="zh-CN"/>
              </w:rPr>
              <w:t xml:space="preserve">TN and </w:t>
            </w:r>
            <w:r w:rsidRPr="007747F6">
              <w:rPr>
                <w:rFonts w:eastAsiaTheme="minorEastAsia"/>
                <w:lang w:val="en-US" w:eastAsia="zh-CN"/>
              </w:rPr>
              <w:lastRenderedPageBreak/>
              <w:t>NTN</w:t>
            </w:r>
            <w:bookmarkEnd w:id="20"/>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lastRenderedPageBreak/>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r>
              <w:rPr>
                <w:rFonts w:eastAsia="Malgun Gothic"/>
                <w:sz w:val="21"/>
                <w:szCs w:val="21"/>
                <w:lang w:val="en-US" w:eastAsia="ko-KR"/>
              </w:rPr>
              <w:t>InterDigital</w:t>
            </w:r>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We also need to know what are coverage requirements for these device types</w:t>
            </w:r>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In our view, overall coverage enhancement/requirements is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lastRenderedPageBreak/>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hint="eastAsia"/>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rFonts w:hint="eastAsia"/>
                <w:sz w:val="21"/>
                <w:szCs w:val="21"/>
                <w:lang w:val="en-US" w:eastAsia="ko-KR"/>
              </w:rPr>
            </w:pP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lastRenderedPageBreak/>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1"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1"/>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r>
              <w:rPr>
                <w:rFonts w:eastAsia="Malgun Gothic"/>
                <w:sz w:val="21"/>
                <w:szCs w:val="21"/>
                <w:lang w:val="en-US" w:eastAsia="ko-KR"/>
              </w:rPr>
              <w:t>InterDigital</w:t>
            </w:r>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downselect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hint="eastAsia"/>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hint="eastAsia"/>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hint="eastAsia"/>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bl>
    <w:p w14:paraId="4F9E4C67" w14:textId="77777777" w:rsidR="009852AA" w:rsidRPr="00470F86"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w:t>
      </w:r>
      <w:r w:rsidR="00872920" w:rsidRPr="00DB75D2">
        <w:rPr>
          <w:rFonts w:hint="eastAsia"/>
          <w:highlight w:val="magenta"/>
          <w:lang w:val="en-US"/>
        </w:rPr>
        <w:lastRenderedPageBreak/>
        <w:t>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lastRenderedPageBreak/>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lastRenderedPageBreak/>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r>
              <w:rPr>
                <w:rFonts w:eastAsia="Malgun Gothic"/>
                <w:sz w:val="21"/>
                <w:szCs w:val="21"/>
                <w:lang w:val="en-US" w:eastAsia="ko-KR"/>
              </w:rPr>
              <w:t>InterDigital</w:t>
            </w:r>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 xml:space="preserve">Our general view is that NR and 6GR MRSS should be studied however 6GR signal/channel design should not be restricted by NR design, but sharing NR signal/channel would have such risk. TDM/FDM of NR and 6GR resources </w:t>
            </w:r>
            <w:r>
              <w:rPr>
                <w:rFonts w:eastAsiaTheme="minorEastAsia"/>
                <w:lang w:val="en-GB" w:eastAsia="zh-CN"/>
              </w:rPr>
              <w:lastRenderedPageBreak/>
              <w:t>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hint="eastAsia"/>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bl>
    <w:p w14:paraId="4C67F15A" w14:textId="77777777" w:rsidR="009E4A04" w:rsidRPr="009E4A04" w:rsidRDefault="009E4A04"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BodyText"/>
              <w:rPr>
                <w:lang w:val="en-US"/>
              </w:rPr>
            </w:pPr>
            <w:r w:rsidRPr="0089310D">
              <w:rPr>
                <w:lang w:val="en-US"/>
              </w:rPr>
              <w:lastRenderedPageBreak/>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lastRenderedPageBreak/>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lastRenderedPageBreak/>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r>
              <w:rPr>
                <w:rFonts w:eastAsia="Malgun Gothic" w:hint="eastAsia"/>
                <w:sz w:val="21"/>
                <w:szCs w:val="21"/>
                <w:lang w:val="en-US" w:eastAsia="ko-KR"/>
              </w:rPr>
              <w:t>InterDigital</w:t>
            </w:r>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hint="eastAsia"/>
                <w:sz w:val="21"/>
                <w:szCs w:val="21"/>
                <w:lang w:val="en-US" w:eastAsia="ko-KR"/>
              </w:rPr>
            </w:pPr>
            <w:r>
              <w:rPr>
                <w:rFonts w:eastAsia="Malgun Gothic"/>
                <w:sz w:val="21"/>
                <w:szCs w:val="21"/>
                <w:lang w:val="en-US" w:eastAsia="ko-KR"/>
              </w:rPr>
              <w:lastRenderedPageBreak/>
              <w:t>Fraunhofer</w:t>
            </w:r>
          </w:p>
        </w:tc>
        <w:tc>
          <w:tcPr>
            <w:tcW w:w="1372" w:type="dxa"/>
          </w:tcPr>
          <w:p w14:paraId="036688EC" w14:textId="5D9E113F" w:rsidR="006C3794" w:rsidRDefault="006C3794" w:rsidP="00E87A2B">
            <w:pPr>
              <w:rPr>
                <w:rFonts w:ascii="Times" w:eastAsia="Malgun Gothic" w:hAnsi="Times" w:cs="Times" w:hint="eastAsia"/>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hint="eastAsia"/>
                <w:lang w:val="en-GB" w:eastAsia="ko-KR"/>
              </w:rPr>
            </w:pPr>
          </w:p>
        </w:tc>
      </w:tr>
    </w:tbl>
    <w:p w14:paraId="1D4F4769" w14:textId="77777777" w:rsidR="00CE0885" w:rsidRPr="00BF177D"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lastRenderedPageBreak/>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lastRenderedPageBreak/>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lastRenderedPageBreak/>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r>
              <w:rPr>
                <w:rFonts w:eastAsia="Malgun Gothic" w:hint="eastAsia"/>
                <w:sz w:val="21"/>
                <w:szCs w:val="21"/>
                <w:lang w:val="en-US" w:eastAsia="ko-KR"/>
              </w:rPr>
              <w:t>InterDigital</w:t>
            </w:r>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E87A2B" w14:paraId="3FD5CA56" w14:textId="77777777" w:rsidTr="006320F2">
        <w:tc>
          <w:tcPr>
            <w:tcW w:w="1479" w:type="dxa"/>
          </w:tcPr>
          <w:p w14:paraId="589A3C26" w14:textId="2D2AD65C" w:rsidR="00E87A2B" w:rsidRPr="00E87A2B" w:rsidRDefault="00E87A2B" w:rsidP="00922C85">
            <w:pPr>
              <w:rPr>
                <w:rFonts w:eastAsia="Yu Mincho"/>
                <w:sz w:val="21"/>
                <w:szCs w:val="21"/>
                <w:lang w:val="en-US" w:eastAsia="ja-JP"/>
              </w:rPr>
            </w:pPr>
          </w:p>
        </w:tc>
        <w:tc>
          <w:tcPr>
            <w:tcW w:w="1372" w:type="dxa"/>
          </w:tcPr>
          <w:p w14:paraId="30025D31" w14:textId="64DCAB78" w:rsidR="00E87A2B" w:rsidRDefault="00E87A2B" w:rsidP="00922C85">
            <w:pPr>
              <w:rPr>
                <w:rFonts w:eastAsia="Yu Mincho"/>
                <w:sz w:val="21"/>
                <w:szCs w:val="21"/>
                <w:lang w:eastAsia="ja-JP"/>
              </w:rPr>
            </w:pPr>
          </w:p>
        </w:tc>
        <w:tc>
          <w:tcPr>
            <w:tcW w:w="6780" w:type="dxa"/>
          </w:tcPr>
          <w:p w14:paraId="65BDDD0B" w14:textId="77777777" w:rsidR="00E87A2B" w:rsidRDefault="00E87A2B" w:rsidP="00922C85">
            <w:pPr>
              <w:pStyle w:val="BodyText"/>
              <w:rPr>
                <w:lang w:val="en-GB"/>
              </w:rPr>
            </w:pP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lastRenderedPageBreak/>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lastRenderedPageBreak/>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lastRenderedPageBreak/>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lastRenderedPageBreak/>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r>
              <w:rPr>
                <w:rFonts w:eastAsia="Malgun Gothic" w:hint="eastAsia"/>
                <w:sz w:val="21"/>
                <w:szCs w:val="21"/>
                <w:lang w:val="en-US" w:eastAsia="ko-KR"/>
              </w:rPr>
              <w:t>InterDigital</w:t>
            </w:r>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hint="eastAsia"/>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hint="eastAsia"/>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hint="eastAsia"/>
                <w:lang w:val="en-GB" w:eastAsia="ko-KR"/>
              </w:rPr>
            </w:pP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lastRenderedPageBreak/>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2" w:name="_Hlk170725311"/>
            <w:r w:rsidRPr="00582A6D">
              <w:rPr>
                <w:rFonts w:eastAsia="Microsoft YaHei"/>
                <w:b w:val="0"/>
                <w:sz w:val="20"/>
                <w:szCs w:val="20"/>
                <w:lang w:val="en-GB"/>
              </w:rPr>
              <w:t xml:space="preserve">UE-perceived </w:t>
            </w:r>
            <w:bookmarkEnd w:id="22"/>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lastRenderedPageBreak/>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lastRenderedPageBreak/>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 xml:space="preserve">Fine with the proposal in general. Regarding FFS, UE SBFD is a beneficial feature for certain scenarios, where UL throughput and latency requirements </w:t>
            </w:r>
            <w:r w:rsidRPr="00AB2619">
              <w:rPr>
                <w:lang w:val="en-US"/>
              </w:rPr>
              <w:lastRenderedPageBreak/>
              <w:t>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lastRenderedPageBreak/>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r>
              <w:rPr>
                <w:rFonts w:eastAsia="Malgun Gothic" w:hint="eastAsia"/>
                <w:sz w:val="21"/>
                <w:szCs w:val="21"/>
                <w:lang w:val="en-US" w:eastAsia="ko-KR"/>
              </w:rPr>
              <w:t>InterDigital</w:t>
            </w:r>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w:t>
            </w:r>
            <w:r>
              <w:rPr>
                <w:rFonts w:eastAsiaTheme="minorEastAsia"/>
                <w:lang w:val="en-GB" w:eastAsia="zh-CN"/>
              </w:rPr>
              <w:lastRenderedPageBreak/>
              <w:t xml:space="preserve">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w:t>
            </w:r>
            <w:r>
              <w:rPr>
                <w:lang w:val="en-GB"/>
              </w:rPr>
              <w:lastRenderedPageBreak/>
              <w:t xml:space="preserve">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 xml:space="preserve">he study should instead focus on an integrated TN-NTN design between TN and NTN from the initial stage of the 6GR specifications, under the premise that such </w:t>
            </w:r>
            <w:r w:rsidRPr="00164AC7">
              <w:rPr>
                <w:lang w:val="en-GB"/>
              </w:rPr>
              <w:lastRenderedPageBreak/>
              <w:t>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lastRenderedPageBreak/>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 xml:space="preserve">Integrated NTN support should be part of the 6G design. It is important not to have deviating solutions for NTN and TN (e.g. in terms of frame structure, waveform, modulation schemes, etc) as any differences likely means delayed </w:t>
            </w:r>
            <w:r w:rsidRPr="00161B3F">
              <w:rPr>
                <w:lang w:val="en-GB"/>
              </w:rPr>
              <w:lastRenderedPageBreak/>
              <w:t>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it will affect to the frame structure design (e.g., TBoMS)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3" w:name="OLE_LINK41"/>
            <w:bookmarkStart w:id="24" w:name="OLE_LINK42"/>
            <w:r>
              <w:rPr>
                <w:lang w:val="en-GB"/>
              </w:rPr>
              <w:t xml:space="preserve">discussed in coverage part, i.e., Proposal 4.1, </w:t>
            </w:r>
            <w:bookmarkEnd w:id="23"/>
            <w:bookmarkEnd w:id="24"/>
            <w:r>
              <w:rPr>
                <w:lang w:val="en-GB"/>
              </w:rPr>
              <w:t>based on the harmonization of TN and NTN.</w:t>
            </w:r>
          </w:p>
          <w:p w14:paraId="6ABEC05C" w14:textId="77777777" w:rsidR="00F32662" w:rsidRDefault="00F32662" w:rsidP="00F32662">
            <w:pPr>
              <w:pStyle w:val="BodyText"/>
              <w:rPr>
                <w:lang w:val="en-GB"/>
              </w:rPr>
            </w:pPr>
            <w:bookmarkStart w:id="25"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6" w:name="OLE_LINK44"/>
            <w:bookmarkStart w:id="27" w:name="OLE_LINK45"/>
            <w:r w:rsidRPr="00D70197">
              <w:rPr>
                <w:lang w:val="en-GB"/>
              </w:rPr>
              <w:t>incorporated into the pre</w:t>
            </w:r>
            <w:r>
              <w:rPr>
                <w:lang w:val="en-GB"/>
              </w:rPr>
              <w:t>vious</w:t>
            </w:r>
            <w:r w:rsidRPr="00D70197">
              <w:rPr>
                <w:lang w:val="en-GB"/>
              </w:rPr>
              <w:t xml:space="preserve"> section</w:t>
            </w:r>
            <w:bookmarkEnd w:id="26"/>
            <w:bookmarkEnd w:id="27"/>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5"/>
          <w:p w14:paraId="32E6710C" w14:textId="77777777" w:rsidR="00F32662" w:rsidRDefault="00F32662" w:rsidP="00F32662">
            <w:pPr>
              <w:pStyle w:val="BodyText"/>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w:t>
            </w:r>
            <w:r>
              <w:rPr>
                <w:lang w:val="en-GB"/>
              </w:rPr>
              <w:lastRenderedPageBreak/>
              <w:t>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hint="eastAsia"/>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2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2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lastRenderedPageBreak/>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9B1D" w14:textId="77777777" w:rsidR="002339A1" w:rsidRDefault="002339A1">
      <w:pPr>
        <w:spacing w:line="240" w:lineRule="auto"/>
      </w:pPr>
      <w:r>
        <w:separator/>
      </w:r>
    </w:p>
  </w:endnote>
  <w:endnote w:type="continuationSeparator" w:id="0">
    <w:p w14:paraId="2D59E3EA" w14:textId="77777777" w:rsidR="002339A1" w:rsidRDefault="00233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6FF3" w14:textId="77777777" w:rsidR="002339A1" w:rsidRDefault="002339A1">
      <w:pPr>
        <w:spacing w:after="0"/>
      </w:pPr>
      <w:r>
        <w:separator/>
      </w:r>
    </w:p>
  </w:footnote>
  <w:footnote w:type="continuationSeparator" w:id="0">
    <w:p w14:paraId="16A29860" w14:textId="77777777" w:rsidR="002339A1" w:rsidRDefault="002339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2047216668">
    <w:abstractNumId w:val="16"/>
  </w:num>
  <w:num w:numId="2" w16cid:durableId="1781879017">
    <w:abstractNumId w:val="1"/>
  </w:num>
  <w:num w:numId="3" w16cid:durableId="1437208508">
    <w:abstractNumId w:val="0"/>
  </w:num>
  <w:num w:numId="4" w16cid:durableId="1387224083">
    <w:abstractNumId w:val="19"/>
  </w:num>
  <w:num w:numId="5" w16cid:durableId="1243880161">
    <w:abstractNumId w:val="22"/>
    <w:lvlOverride w:ilvl="0">
      <w:startOverride w:val="1"/>
    </w:lvlOverride>
  </w:num>
  <w:num w:numId="6" w16cid:durableId="1360006009">
    <w:abstractNumId w:val="23"/>
  </w:num>
  <w:num w:numId="7" w16cid:durableId="1864707421">
    <w:abstractNumId w:val="37"/>
  </w:num>
  <w:num w:numId="8" w16cid:durableId="1736976743">
    <w:abstractNumId w:val="45"/>
  </w:num>
  <w:num w:numId="9" w16cid:durableId="733745602">
    <w:abstractNumId w:val="7"/>
  </w:num>
  <w:num w:numId="10" w16cid:durableId="1859351883">
    <w:abstractNumId w:val="33"/>
  </w:num>
  <w:num w:numId="11" w16cid:durableId="530606252">
    <w:abstractNumId w:val="50"/>
  </w:num>
  <w:num w:numId="12" w16cid:durableId="1928802120">
    <w:abstractNumId w:val="20"/>
  </w:num>
  <w:num w:numId="13" w16cid:durableId="1165628669">
    <w:abstractNumId w:val="40"/>
  </w:num>
  <w:num w:numId="14" w16cid:durableId="398871648">
    <w:abstractNumId w:val="29"/>
  </w:num>
  <w:num w:numId="15" w16cid:durableId="267468666">
    <w:abstractNumId w:val="42"/>
  </w:num>
  <w:num w:numId="16" w16cid:durableId="1597592710">
    <w:abstractNumId w:val="51"/>
  </w:num>
  <w:num w:numId="17" w16cid:durableId="712460805">
    <w:abstractNumId w:val="30"/>
  </w:num>
  <w:num w:numId="18" w16cid:durableId="531070557">
    <w:abstractNumId w:val="57"/>
  </w:num>
  <w:num w:numId="19" w16cid:durableId="1912232568">
    <w:abstractNumId w:val="6"/>
  </w:num>
  <w:num w:numId="20" w16cid:durableId="161315794">
    <w:abstractNumId w:val="54"/>
  </w:num>
  <w:num w:numId="21" w16cid:durableId="1746951705">
    <w:abstractNumId w:val="38"/>
  </w:num>
  <w:num w:numId="22" w16cid:durableId="917520604">
    <w:abstractNumId w:val="9"/>
  </w:num>
  <w:num w:numId="23" w16cid:durableId="1931355951">
    <w:abstractNumId w:val="44"/>
  </w:num>
  <w:num w:numId="24" w16cid:durableId="1333296221">
    <w:abstractNumId w:val="5"/>
  </w:num>
  <w:num w:numId="25" w16cid:durableId="1387148633">
    <w:abstractNumId w:val="25"/>
  </w:num>
  <w:num w:numId="26" w16cid:durableId="1790080084">
    <w:abstractNumId w:val="14"/>
  </w:num>
  <w:num w:numId="27" w16cid:durableId="989673873">
    <w:abstractNumId w:val="28"/>
  </w:num>
  <w:num w:numId="28" w16cid:durableId="1811053691">
    <w:abstractNumId w:val="47"/>
  </w:num>
  <w:num w:numId="29" w16cid:durableId="1540627785">
    <w:abstractNumId w:val="49"/>
  </w:num>
  <w:num w:numId="30" w16cid:durableId="1859615522">
    <w:abstractNumId w:val="10"/>
  </w:num>
  <w:num w:numId="31" w16cid:durableId="1782722219">
    <w:abstractNumId w:val="48"/>
  </w:num>
  <w:num w:numId="32" w16cid:durableId="785850120">
    <w:abstractNumId w:val="56"/>
  </w:num>
  <w:num w:numId="33" w16cid:durableId="1055003777">
    <w:abstractNumId w:val="34"/>
  </w:num>
  <w:num w:numId="34" w16cid:durableId="583880551">
    <w:abstractNumId w:val="26"/>
  </w:num>
  <w:num w:numId="35" w16cid:durableId="1959725840">
    <w:abstractNumId w:val="46"/>
  </w:num>
  <w:num w:numId="36" w16cid:durableId="871039304">
    <w:abstractNumId w:val="17"/>
  </w:num>
  <w:num w:numId="37" w16cid:durableId="1392848428">
    <w:abstractNumId w:val="2"/>
  </w:num>
  <w:num w:numId="38" w16cid:durableId="1692755751">
    <w:abstractNumId w:val="21"/>
  </w:num>
  <w:num w:numId="39" w16cid:durableId="1053625130">
    <w:abstractNumId w:val="12"/>
  </w:num>
  <w:num w:numId="40" w16cid:durableId="1834295802">
    <w:abstractNumId w:val="11"/>
  </w:num>
  <w:num w:numId="41" w16cid:durableId="719481648">
    <w:abstractNumId w:val="52"/>
  </w:num>
  <w:num w:numId="42" w16cid:durableId="779110395">
    <w:abstractNumId w:val="39"/>
  </w:num>
  <w:num w:numId="43" w16cid:durableId="1899900859">
    <w:abstractNumId w:val="41"/>
  </w:num>
  <w:num w:numId="44" w16cid:durableId="1977099487">
    <w:abstractNumId w:val="13"/>
  </w:num>
  <w:num w:numId="45" w16cid:durableId="1919512439">
    <w:abstractNumId w:val="4"/>
  </w:num>
  <w:num w:numId="46" w16cid:durableId="2012369992">
    <w:abstractNumId w:val="31"/>
  </w:num>
  <w:num w:numId="47" w16cid:durableId="1523594983">
    <w:abstractNumId w:val="43"/>
  </w:num>
  <w:num w:numId="48" w16cid:durableId="155386575">
    <w:abstractNumId w:val="24"/>
  </w:num>
  <w:num w:numId="49" w16cid:durableId="2132089866">
    <w:abstractNumId w:val="32"/>
  </w:num>
  <w:num w:numId="50" w16cid:durableId="1534030837">
    <w:abstractNumId w:val="18"/>
  </w:num>
  <w:num w:numId="51" w16cid:durableId="337200363">
    <w:abstractNumId w:val="8"/>
  </w:num>
  <w:num w:numId="52" w16cid:durableId="1631746979">
    <w:abstractNumId w:val="36"/>
  </w:num>
  <w:num w:numId="53" w16cid:durableId="1861047535">
    <w:abstractNumId w:val="55"/>
  </w:num>
  <w:num w:numId="54" w16cid:durableId="1320883551">
    <w:abstractNumId w:val="53"/>
  </w:num>
  <w:num w:numId="55" w16cid:durableId="578097173">
    <w:abstractNumId w:val="3"/>
  </w:num>
  <w:num w:numId="56" w16cid:durableId="813066675">
    <w:abstractNumId w:val="35"/>
  </w:num>
  <w:num w:numId="57" w16cid:durableId="1390034611">
    <w:abstractNumId w:val="15"/>
  </w:num>
  <w:num w:numId="58" w16cid:durableId="83349639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B77063B-020D-49CD-9349-CBABDB9DF6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65</Pages>
  <Words>22155</Words>
  <Characters>139581</Characters>
  <Application>Microsoft Office Word</Application>
  <DocSecurity>0</DocSecurity>
  <Lines>1163</Lines>
  <Paragraphs>322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George, Geordie</cp:lastModifiedBy>
  <cp:revision>13</cp:revision>
  <dcterms:created xsi:type="dcterms:W3CDTF">2025-08-27T09:36:00Z</dcterms:created>
  <dcterms:modified xsi:type="dcterms:W3CDTF">2025-08-27T09:47:00Z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