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rPr>
        <w:drawing>
          <wp:inline distT="0" distB="0" distL="0" distR="0" wp14:anchorId="3F21464F" wp14:editId="6E459937">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974027" w14:paraId="5CDEB5F4" w14:textId="77777777" w:rsidTr="00FB2F1A">
        <w:tc>
          <w:tcPr>
            <w:tcW w:w="1479" w:type="dxa"/>
          </w:tcPr>
          <w:p w14:paraId="3E45DAE3" w14:textId="1325E689" w:rsidR="00974027" w:rsidRDefault="00974027" w:rsidP="00974027">
            <w:pPr>
              <w:rPr>
                <w:rFonts w:eastAsia="Malgun Gothic" w:hint="eastAsia"/>
                <w:sz w:val="21"/>
                <w:szCs w:val="21"/>
                <w:lang w:val="en-US" w:eastAsia="ko-KR"/>
              </w:rPr>
            </w:pPr>
            <w:r>
              <w:rPr>
                <w:rFonts w:eastAsiaTheme="minorEastAsia"/>
                <w:sz w:val="21"/>
                <w:szCs w:val="21"/>
                <w:lang w:val="en-US" w:eastAsia="zh-CN"/>
              </w:rPr>
              <w:t>NVIDIA</w:t>
            </w:r>
          </w:p>
        </w:tc>
        <w:tc>
          <w:tcPr>
            <w:tcW w:w="1372" w:type="dxa"/>
          </w:tcPr>
          <w:p w14:paraId="18EB0990" w14:textId="5360728A" w:rsidR="00974027" w:rsidRDefault="00974027" w:rsidP="00974027">
            <w:pPr>
              <w:rPr>
                <w:rFonts w:eastAsia="Malgun Gothic" w:hint="eastAsia"/>
                <w:sz w:val="21"/>
                <w:szCs w:val="21"/>
                <w:lang w:eastAsia="ko-KR"/>
              </w:rPr>
            </w:pPr>
            <w:r>
              <w:rPr>
                <w:rFonts w:eastAsiaTheme="minorEastAsia"/>
                <w:sz w:val="21"/>
                <w:szCs w:val="21"/>
                <w:lang w:eastAsia="zh-CN"/>
              </w:rPr>
              <w:t>Conditional Y</w:t>
            </w:r>
          </w:p>
        </w:tc>
        <w:tc>
          <w:tcPr>
            <w:tcW w:w="6780" w:type="dxa"/>
          </w:tcPr>
          <w:p w14:paraId="0BDA9DA7" w14:textId="03F2D69F" w:rsidR="00974027" w:rsidRPr="00164AC7" w:rsidRDefault="00974027" w:rsidP="00974027">
            <w:pPr>
              <w:pStyle w:val="BodyText"/>
              <w:rPr>
                <w:rFonts w:eastAsia="Malgun Gothic"/>
                <w:lang w:val="en-GB" w:eastAsia="ko-KR"/>
              </w:rPr>
            </w:pPr>
            <w:r>
              <w:rPr>
                <w:rFonts w:eastAsiaTheme="minorEastAsia"/>
                <w:lang w:val="en-GB" w:eastAsia="zh-CN"/>
              </w:rPr>
              <w:t xml:space="preserve">Design scalability should take into consideration support for emerging UL-heavy applications like immersive communications and GenAI powered apps, which may require enhanced UL capacity, coverage and data rate compared to other 6G use cases.   </w:t>
            </w: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lastRenderedPageBreak/>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974027" w14:paraId="7EA1B85F" w14:textId="77777777" w:rsidTr="00FB2F1A">
        <w:tc>
          <w:tcPr>
            <w:tcW w:w="1479" w:type="dxa"/>
          </w:tcPr>
          <w:p w14:paraId="2153DCD6" w14:textId="23788B65" w:rsidR="00974027" w:rsidRDefault="00974027" w:rsidP="00974027">
            <w:pPr>
              <w:rPr>
                <w:rFonts w:eastAsia="Malgun Gothic" w:hint="eastAsia"/>
                <w:sz w:val="21"/>
                <w:szCs w:val="21"/>
                <w:lang w:val="en-US" w:eastAsia="ko-KR"/>
              </w:rPr>
            </w:pPr>
            <w:r>
              <w:rPr>
                <w:rFonts w:eastAsiaTheme="minorEastAsia"/>
                <w:sz w:val="21"/>
                <w:szCs w:val="21"/>
                <w:lang w:val="en-US" w:eastAsia="zh-CN"/>
              </w:rPr>
              <w:t xml:space="preserve">NVIDIA </w:t>
            </w:r>
          </w:p>
        </w:tc>
        <w:tc>
          <w:tcPr>
            <w:tcW w:w="1372" w:type="dxa"/>
          </w:tcPr>
          <w:p w14:paraId="294BB4F7" w14:textId="0A156C45" w:rsidR="00974027" w:rsidRDefault="00974027" w:rsidP="00974027">
            <w:pPr>
              <w:rPr>
                <w:rFonts w:eastAsia="Malgun Gothic"/>
                <w:sz w:val="21"/>
                <w:szCs w:val="21"/>
                <w:lang w:eastAsia="ko-KR"/>
              </w:rPr>
            </w:pPr>
            <w:r>
              <w:rPr>
                <w:rFonts w:eastAsiaTheme="minorEastAsia"/>
                <w:sz w:val="21"/>
                <w:szCs w:val="21"/>
                <w:lang w:eastAsia="zh-CN"/>
              </w:rPr>
              <w:t>Conditional Y</w:t>
            </w:r>
          </w:p>
        </w:tc>
        <w:tc>
          <w:tcPr>
            <w:tcW w:w="6780" w:type="dxa"/>
          </w:tcPr>
          <w:p w14:paraId="586A3C8C" w14:textId="27C72FCA" w:rsidR="00974027" w:rsidRDefault="00974027" w:rsidP="00974027">
            <w:pPr>
              <w:rPr>
                <w:rFonts w:eastAsia="Malgun Gothic" w:hint="eastAsia"/>
                <w:lang w:val="en-US" w:eastAsia="ko-KR"/>
              </w:rPr>
            </w:pPr>
            <w:r>
              <w:rPr>
                <w:rFonts w:eastAsiaTheme="minorEastAsia"/>
                <w:lang w:eastAsia="zh-CN"/>
              </w:rPr>
              <w:t xml:space="preserve">In the study of ‘device types’, consider emerging devices for 6G that would be extensively running AI-applications on-device and/or at the edge and therefore may have different </w:t>
            </w:r>
            <w:proofErr w:type="spellStart"/>
            <w:r>
              <w:rPr>
                <w:rFonts w:eastAsiaTheme="minorEastAsia"/>
                <w:lang w:eastAsia="zh-CN"/>
              </w:rPr>
              <w:t>cpacilities</w:t>
            </w:r>
            <w:proofErr w:type="spellEnd"/>
            <w:r>
              <w:rPr>
                <w:rFonts w:eastAsiaTheme="minorEastAsia"/>
                <w:lang w:eastAsia="zh-CN"/>
              </w:rPr>
              <w:t>/requirements than conventional mobile-broadband UEs.</w:t>
            </w: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lastRenderedPageBreak/>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974027" w14:paraId="37F0BBB0" w14:textId="77777777" w:rsidTr="00E25AB6">
        <w:tc>
          <w:tcPr>
            <w:tcW w:w="1479" w:type="dxa"/>
          </w:tcPr>
          <w:p w14:paraId="46960827" w14:textId="7A357F1D" w:rsidR="00974027" w:rsidRDefault="00974027" w:rsidP="00974027">
            <w:pPr>
              <w:rPr>
                <w:rFonts w:eastAsia="Malgun Gothic" w:hint="eastAsia"/>
                <w:sz w:val="21"/>
                <w:szCs w:val="21"/>
                <w:lang w:val="en-US" w:eastAsia="ko-KR"/>
              </w:rPr>
            </w:pPr>
            <w:r>
              <w:rPr>
                <w:rFonts w:eastAsiaTheme="minorEastAsia"/>
                <w:sz w:val="21"/>
                <w:szCs w:val="21"/>
                <w:lang w:val="en-US" w:eastAsia="zh-CN"/>
              </w:rPr>
              <w:t>NVIDIA</w:t>
            </w:r>
          </w:p>
        </w:tc>
        <w:tc>
          <w:tcPr>
            <w:tcW w:w="1372" w:type="dxa"/>
          </w:tcPr>
          <w:p w14:paraId="04C3ADB8" w14:textId="72E73CB9" w:rsidR="00974027" w:rsidRDefault="00974027" w:rsidP="00974027">
            <w:pPr>
              <w:rPr>
                <w:rFonts w:eastAsia="Malgun Gothic" w:hint="eastAsia"/>
                <w:sz w:val="21"/>
                <w:szCs w:val="21"/>
                <w:lang w:eastAsia="ko-KR"/>
              </w:rPr>
            </w:pPr>
            <w:r>
              <w:rPr>
                <w:rFonts w:eastAsiaTheme="minorEastAsia"/>
                <w:sz w:val="21"/>
                <w:szCs w:val="21"/>
                <w:lang w:eastAsia="zh-CN"/>
              </w:rPr>
              <w:t>Conditional Y</w:t>
            </w:r>
          </w:p>
        </w:tc>
        <w:tc>
          <w:tcPr>
            <w:tcW w:w="6780" w:type="dxa"/>
          </w:tcPr>
          <w:p w14:paraId="61EC0E62" w14:textId="3786309E" w:rsidR="00974027" w:rsidRDefault="00974027" w:rsidP="00974027">
            <w:pPr>
              <w:pStyle w:val="BodyText"/>
              <w:rPr>
                <w:rFonts w:eastAsia="Malgun Gothic" w:hint="eastAsia"/>
                <w:lang w:val="en-GB" w:eastAsia="ko-KR"/>
              </w:rPr>
            </w:pPr>
            <w:r w:rsidRPr="00F637FF">
              <w:rPr>
                <w:rFonts w:eastAsiaTheme="minorEastAsia"/>
                <w:lang w:val="en-GB" w:eastAsia="zh-CN"/>
              </w:rPr>
              <w:t xml:space="preserve">The discussion on min. CBW needs to happen in conjunction with </w:t>
            </w:r>
            <w:r>
              <w:rPr>
                <w:rFonts w:eastAsiaTheme="minorEastAsia"/>
                <w:lang w:val="en-GB" w:eastAsia="zh-CN"/>
              </w:rPr>
              <w:t xml:space="preserve">the corresponding </w:t>
            </w:r>
            <w:r w:rsidRPr="00F637FF">
              <w:rPr>
                <w:rFonts w:eastAsiaTheme="minorEastAsia"/>
                <w:lang w:val="en-GB" w:eastAsia="zh-CN"/>
              </w:rPr>
              <w:t>supported SCS</w:t>
            </w:r>
            <w:r>
              <w:rPr>
                <w:rFonts w:eastAsiaTheme="minorEastAsia"/>
                <w:lang w:val="en-GB" w:eastAsia="zh-CN"/>
              </w:rPr>
              <w:t>(s)</w:t>
            </w:r>
            <w:r w:rsidRPr="00F637FF">
              <w:rPr>
                <w:rFonts w:eastAsiaTheme="minorEastAsia"/>
                <w:lang w:val="en-GB" w:eastAsia="zh-CN"/>
              </w:rPr>
              <w:t xml:space="preserve"> in each band</w:t>
            </w:r>
            <w:r>
              <w:rPr>
                <w:rFonts w:eastAsiaTheme="minorEastAsia"/>
                <w:lang w:val="en-GB" w:eastAsia="zh-CN"/>
              </w:rPr>
              <w:t xml:space="preserve"> and in particular, for new FR(s)</w:t>
            </w:r>
            <w:r w:rsidRPr="00F637FF">
              <w:rPr>
                <w:rFonts w:eastAsiaTheme="minorEastAsia"/>
                <w:lang w:val="en-GB" w:eastAsia="zh-CN"/>
              </w:rPr>
              <w:t xml:space="preserve">. </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lastRenderedPageBreak/>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lastRenderedPageBreak/>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974027" w14:paraId="0D8EA1CB" w14:textId="77777777" w:rsidTr="00FB2F1A">
        <w:tc>
          <w:tcPr>
            <w:tcW w:w="1479" w:type="dxa"/>
          </w:tcPr>
          <w:p w14:paraId="255F07BC" w14:textId="38CB2093" w:rsidR="00974027" w:rsidRDefault="00974027" w:rsidP="00974027">
            <w:pPr>
              <w:rPr>
                <w:rFonts w:eastAsia="Malgun Gothic" w:hint="eastAsia"/>
                <w:sz w:val="21"/>
                <w:szCs w:val="21"/>
                <w:lang w:val="en-US" w:eastAsia="ko-KR"/>
              </w:rPr>
            </w:pPr>
            <w:r>
              <w:rPr>
                <w:rFonts w:eastAsiaTheme="minorEastAsia"/>
                <w:sz w:val="21"/>
                <w:szCs w:val="21"/>
                <w:lang w:val="en-US" w:eastAsia="zh-CN"/>
              </w:rPr>
              <w:t>NVIDIA</w:t>
            </w:r>
          </w:p>
        </w:tc>
        <w:tc>
          <w:tcPr>
            <w:tcW w:w="1372" w:type="dxa"/>
          </w:tcPr>
          <w:p w14:paraId="49B86B26" w14:textId="1D1C2CA7" w:rsidR="00974027" w:rsidRDefault="00974027" w:rsidP="00974027">
            <w:pPr>
              <w:rPr>
                <w:rFonts w:eastAsia="Malgun Gothic" w:hint="eastAsia"/>
                <w:sz w:val="21"/>
                <w:szCs w:val="21"/>
                <w:lang w:eastAsia="ko-KR"/>
              </w:rPr>
            </w:pPr>
            <w:r>
              <w:rPr>
                <w:rFonts w:eastAsiaTheme="minorEastAsia"/>
                <w:sz w:val="21"/>
                <w:szCs w:val="21"/>
                <w:lang w:eastAsia="zh-CN"/>
              </w:rPr>
              <w:t xml:space="preserve">Conditional </w:t>
            </w:r>
            <w:r>
              <w:rPr>
                <w:rFonts w:eastAsiaTheme="minorEastAsia"/>
                <w:sz w:val="21"/>
                <w:szCs w:val="21"/>
                <w:lang w:eastAsia="zh-CN"/>
              </w:rPr>
              <w:t>Y</w:t>
            </w:r>
          </w:p>
        </w:tc>
        <w:tc>
          <w:tcPr>
            <w:tcW w:w="6780" w:type="dxa"/>
          </w:tcPr>
          <w:p w14:paraId="42F35EF4" w14:textId="0E6725B0" w:rsidR="00974027" w:rsidRDefault="00974027" w:rsidP="00974027">
            <w:pPr>
              <w:pStyle w:val="BodyText"/>
              <w:rPr>
                <w:rFonts w:eastAsia="Malgun Gothic" w:hint="eastAsia"/>
                <w:lang w:val="en-GB" w:eastAsia="ko-KR"/>
              </w:rPr>
            </w:pPr>
            <w:r>
              <w:rPr>
                <w:rFonts w:eastAsiaTheme="minorEastAsia"/>
                <w:lang w:val="en-GB" w:eastAsia="zh-CN"/>
              </w:rPr>
              <w:t xml:space="preserve">Aligned with China Telecom’s view that coverage enhancement techniques and target KPIs should be studied first, before determining which signals/channels to be enhanced. Also, new traffic model reflecting UL-heavy traffic and bursty patterns for growing volume of AI-traffic should be considered in evaluating UL coverage enhancement techniques and determining KPIs. </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BodyText"/>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lastRenderedPageBreak/>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lastRenderedPageBreak/>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lastRenderedPageBreak/>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974027" w14:paraId="4A76DD9B" w14:textId="77777777" w:rsidTr="00FB2F1A">
        <w:tc>
          <w:tcPr>
            <w:tcW w:w="1479" w:type="dxa"/>
          </w:tcPr>
          <w:p w14:paraId="6B3216D2" w14:textId="5C0421B2" w:rsidR="00974027" w:rsidRDefault="00974027" w:rsidP="00974027">
            <w:pPr>
              <w:rPr>
                <w:rFonts w:eastAsia="Malgun Gothic" w:hint="eastAsia"/>
                <w:sz w:val="21"/>
                <w:szCs w:val="21"/>
                <w:lang w:val="en-US" w:eastAsia="ko-KR"/>
              </w:rPr>
            </w:pPr>
            <w:r>
              <w:rPr>
                <w:rFonts w:eastAsiaTheme="minorEastAsia"/>
                <w:sz w:val="21"/>
                <w:szCs w:val="21"/>
                <w:lang w:val="en-US" w:eastAsia="zh-CN"/>
              </w:rPr>
              <w:lastRenderedPageBreak/>
              <w:t>NVIDIA</w:t>
            </w:r>
          </w:p>
        </w:tc>
        <w:tc>
          <w:tcPr>
            <w:tcW w:w="1372" w:type="dxa"/>
          </w:tcPr>
          <w:p w14:paraId="7BA25452" w14:textId="258D82E8" w:rsidR="00974027" w:rsidRDefault="00974027" w:rsidP="00974027">
            <w:pPr>
              <w:rPr>
                <w:rFonts w:eastAsia="Malgun Gothic" w:hint="eastAsia"/>
                <w:sz w:val="21"/>
                <w:szCs w:val="21"/>
                <w:lang w:eastAsia="ko-KR"/>
              </w:rPr>
            </w:pPr>
            <w:r>
              <w:rPr>
                <w:rFonts w:eastAsia="Yu Mincho"/>
                <w:sz w:val="21"/>
                <w:szCs w:val="21"/>
                <w:lang w:eastAsia="ja-JP"/>
              </w:rPr>
              <w:t>Y</w:t>
            </w:r>
          </w:p>
        </w:tc>
        <w:tc>
          <w:tcPr>
            <w:tcW w:w="6780" w:type="dxa"/>
          </w:tcPr>
          <w:p w14:paraId="1D89CC7F" w14:textId="40E3BE92" w:rsidR="00974027" w:rsidRPr="00164AC7" w:rsidRDefault="00974027" w:rsidP="00974027">
            <w:pPr>
              <w:pStyle w:val="BodyText"/>
              <w:rPr>
                <w:rFonts w:eastAsia="Malgun Gothic"/>
                <w:lang w:val="en-GB" w:eastAsia="ko-KR"/>
              </w:rPr>
            </w:pPr>
            <w:r>
              <w:rPr>
                <w:rFonts w:eastAsiaTheme="minorEastAsia"/>
                <w:lang w:val="en-GB" w:eastAsia="zh-CN"/>
              </w:rPr>
              <w:t xml:space="preserve">Signaling </w:t>
            </w:r>
            <w:proofErr w:type="spellStart"/>
            <w:r>
              <w:rPr>
                <w:rFonts w:eastAsiaTheme="minorEastAsia"/>
                <w:lang w:val="en-GB" w:eastAsia="zh-CN"/>
              </w:rPr>
              <w:t>overghead</w:t>
            </w:r>
            <w:proofErr w:type="spellEnd"/>
            <w:r>
              <w:rPr>
                <w:rFonts w:eastAsiaTheme="minorEastAsia"/>
                <w:lang w:val="en-GB" w:eastAsia="zh-CN"/>
              </w:rPr>
              <w:t xml:space="preserve"> reduction (e.g., using AI/ML-based models) should be considered as one of the key objectives in studying basic sync signal structure</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Before discussing whether to share or split, we need first to discuss the MRSS use cases, e.g. which signal/channel are going to be shared/rate mated. Once </w:t>
            </w:r>
            <w:r>
              <w:rPr>
                <w:rFonts w:eastAsiaTheme="minorEastAsia" w:hint="eastAsia"/>
                <w:lang w:val="en-GB" w:eastAsia="zh-CN"/>
              </w:rPr>
              <w:lastRenderedPageBreak/>
              <w:t>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974027" w14:paraId="4EE66A03" w14:textId="77777777" w:rsidTr="00FB2F1A">
        <w:tc>
          <w:tcPr>
            <w:tcW w:w="1479" w:type="dxa"/>
          </w:tcPr>
          <w:p w14:paraId="16DF8E7B" w14:textId="38724B20" w:rsidR="00974027" w:rsidRDefault="00974027" w:rsidP="00974027">
            <w:pPr>
              <w:rPr>
                <w:rFonts w:eastAsia="Malgun Gothic" w:hint="eastAsia"/>
                <w:sz w:val="21"/>
                <w:szCs w:val="21"/>
                <w:lang w:val="en-US" w:eastAsia="ko-KR"/>
              </w:rPr>
            </w:pPr>
            <w:r>
              <w:rPr>
                <w:rFonts w:eastAsiaTheme="minorEastAsia"/>
                <w:sz w:val="21"/>
                <w:szCs w:val="21"/>
                <w:lang w:val="en-US" w:eastAsia="zh-CN"/>
              </w:rPr>
              <w:t>NVIDIA</w:t>
            </w:r>
          </w:p>
        </w:tc>
        <w:tc>
          <w:tcPr>
            <w:tcW w:w="1372" w:type="dxa"/>
          </w:tcPr>
          <w:p w14:paraId="1969C8A5" w14:textId="535C157A" w:rsidR="00974027" w:rsidRDefault="00974027" w:rsidP="00974027">
            <w:pPr>
              <w:rPr>
                <w:rFonts w:eastAsia="Malgun Gothic" w:hint="eastAsia"/>
                <w:sz w:val="21"/>
                <w:szCs w:val="21"/>
                <w:lang w:eastAsia="ko-KR"/>
              </w:rPr>
            </w:pPr>
          </w:p>
        </w:tc>
        <w:tc>
          <w:tcPr>
            <w:tcW w:w="6780" w:type="dxa"/>
          </w:tcPr>
          <w:p w14:paraId="0A43321E" w14:textId="34F993BC" w:rsidR="00974027" w:rsidRDefault="00974027" w:rsidP="00974027">
            <w:pPr>
              <w:pStyle w:val="BodyText"/>
              <w:rPr>
                <w:rFonts w:eastAsia="Malgun Gothic" w:hint="eastAsia"/>
                <w:lang w:val="en-GB" w:eastAsia="ko-KR"/>
              </w:rPr>
            </w:pPr>
            <w:r>
              <w:rPr>
                <w:rFonts w:eastAsiaTheme="minorEastAsia"/>
                <w:lang w:val="en-GB" w:eastAsia="zh-CN"/>
              </w:rPr>
              <w:t xml:space="preserve">Agree with CMCC’s proposal. Additionally, LTE-6GR MRSS doesn’t need to be supported in our view. </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lastRenderedPageBreak/>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974027" w14:paraId="1DD06C79" w14:textId="77777777" w:rsidTr="00FB2F1A">
        <w:tc>
          <w:tcPr>
            <w:tcW w:w="1479" w:type="dxa"/>
          </w:tcPr>
          <w:p w14:paraId="72530A7F" w14:textId="7BB898A9" w:rsidR="00974027" w:rsidRDefault="00974027" w:rsidP="00974027">
            <w:pPr>
              <w:rPr>
                <w:rFonts w:eastAsia="Yu Mincho"/>
                <w:sz w:val="21"/>
                <w:szCs w:val="21"/>
                <w:lang w:val="en-US" w:eastAsia="ja-JP"/>
              </w:rPr>
            </w:pPr>
            <w:r>
              <w:rPr>
                <w:rFonts w:eastAsiaTheme="minorEastAsia"/>
                <w:sz w:val="21"/>
                <w:szCs w:val="21"/>
                <w:lang w:val="en-US" w:eastAsia="zh-CN"/>
              </w:rPr>
              <w:t>NVIDIA</w:t>
            </w:r>
          </w:p>
        </w:tc>
        <w:tc>
          <w:tcPr>
            <w:tcW w:w="1372" w:type="dxa"/>
          </w:tcPr>
          <w:p w14:paraId="76C69415" w14:textId="73C5963C" w:rsidR="00974027" w:rsidRDefault="00974027" w:rsidP="00974027">
            <w:pPr>
              <w:rPr>
                <w:rFonts w:eastAsia="Malgun Gothic"/>
                <w:sz w:val="21"/>
                <w:szCs w:val="21"/>
                <w:lang w:eastAsia="ko-KR"/>
              </w:rPr>
            </w:pPr>
            <w:r>
              <w:rPr>
                <w:rFonts w:eastAsia="Yu Mincho"/>
                <w:sz w:val="21"/>
                <w:szCs w:val="21"/>
                <w:lang w:eastAsia="ja-JP"/>
              </w:rPr>
              <w:t>Y</w:t>
            </w:r>
          </w:p>
        </w:tc>
        <w:tc>
          <w:tcPr>
            <w:tcW w:w="6780" w:type="dxa"/>
          </w:tcPr>
          <w:p w14:paraId="3B2BE3D6" w14:textId="7E216BF6" w:rsidR="00974027" w:rsidRDefault="00974027" w:rsidP="00974027">
            <w:pPr>
              <w:pStyle w:val="BodyText"/>
              <w:rPr>
                <w:lang w:val="en-GB"/>
              </w:rPr>
            </w:pPr>
            <w:r>
              <w:rPr>
                <w:rFonts w:eastAsiaTheme="minorEastAsia"/>
                <w:lang w:val="en-GB" w:eastAsia="zh-CN"/>
              </w:rPr>
              <w:t xml:space="preserve">Support a study on BWP framework simplification for 6GR under AI 11.3.2. Agree with Nokia’s view that relevance of some of the proposed topics (e.g., SCS switching) depends on the discussions under numerology (e.g., single </w:t>
            </w:r>
            <w:proofErr w:type="spellStart"/>
            <w:r>
              <w:rPr>
                <w:rFonts w:eastAsiaTheme="minorEastAsia"/>
                <w:lang w:val="en-GB" w:eastAsia="zh-CN"/>
              </w:rPr>
              <w:t>versrs</w:t>
            </w:r>
            <w:proofErr w:type="spellEnd"/>
            <w:r>
              <w:rPr>
                <w:rFonts w:eastAsiaTheme="minorEastAsia"/>
                <w:lang w:val="en-GB" w:eastAsia="zh-CN"/>
              </w:rPr>
              <w:t xml:space="preserve"> multiple SCS per band/FR). Control signaling overhead reduction should be within the scope of BEWP framework simplification study.</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116056">
              <w:rPr>
                <w:b/>
                <w:bCs/>
              </w:rPr>
              <w:t xml:space="preserve"> </w:t>
            </w:r>
            <w:r w:rsidRPr="00116056">
              <w:rPr>
                <w:b/>
                <w:bCs/>
                <w:lang w:val="en-GB"/>
              </w:rPr>
              <w:t>for RF bandwidth.</w:t>
            </w:r>
          </w:p>
        </w:tc>
      </w:tr>
      <w:tr w:rsidR="00974027" w14:paraId="0C598EAB" w14:textId="77777777" w:rsidTr="00FB2F1A">
        <w:tc>
          <w:tcPr>
            <w:tcW w:w="1479" w:type="dxa"/>
          </w:tcPr>
          <w:p w14:paraId="79AD3BD3" w14:textId="136A3755" w:rsidR="00974027" w:rsidRDefault="00974027" w:rsidP="00974027">
            <w:pPr>
              <w:rPr>
                <w:rFonts w:eastAsia="Malgun Gothic"/>
                <w:sz w:val="21"/>
                <w:szCs w:val="21"/>
                <w:lang w:val="en-US" w:eastAsia="ko-KR"/>
              </w:rPr>
            </w:pPr>
            <w:r>
              <w:rPr>
                <w:rFonts w:eastAsiaTheme="minorEastAsia"/>
                <w:sz w:val="21"/>
                <w:szCs w:val="21"/>
                <w:lang w:val="en-US" w:eastAsia="zh-CN"/>
              </w:rPr>
              <w:t>NVIDIA</w:t>
            </w:r>
          </w:p>
        </w:tc>
        <w:tc>
          <w:tcPr>
            <w:tcW w:w="1372" w:type="dxa"/>
          </w:tcPr>
          <w:p w14:paraId="05DCFA9A" w14:textId="77777777" w:rsidR="00974027" w:rsidRDefault="00974027" w:rsidP="00974027">
            <w:pPr>
              <w:rPr>
                <w:rFonts w:eastAsia="Malgun Gothic"/>
                <w:sz w:val="21"/>
                <w:szCs w:val="21"/>
                <w:lang w:eastAsia="ko-KR"/>
              </w:rPr>
            </w:pPr>
          </w:p>
        </w:tc>
        <w:tc>
          <w:tcPr>
            <w:tcW w:w="6780" w:type="dxa"/>
          </w:tcPr>
          <w:p w14:paraId="09869D9F" w14:textId="6CD97AB6" w:rsidR="00974027" w:rsidRDefault="00974027" w:rsidP="00974027">
            <w:pPr>
              <w:pStyle w:val="BodyText"/>
              <w:rPr>
                <w:rFonts w:eastAsia="Malgun Gothic"/>
                <w:lang w:val="en-GB" w:eastAsia="ko-KR"/>
              </w:rPr>
            </w:pPr>
            <w:r>
              <w:rPr>
                <w:rFonts w:eastAsiaTheme="minorEastAsia"/>
                <w:lang w:val="en-GB" w:eastAsia="zh-CN"/>
              </w:rPr>
              <w:t xml:space="preserve">Suggest discussing max. supported UE BW in conjunction with corresponding FR, duplexing scheme, and SCS. It </w:t>
            </w:r>
            <w:proofErr w:type="spellStart"/>
            <w:r>
              <w:rPr>
                <w:rFonts w:eastAsiaTheme="minorEastAsia"/>
                <w:lang w:val="en-GB" w:eastAsia="zh-CN"/>
              </w:rPr>
              <w:t>maynot</w:t>
            </w:r>
            <w:proofErr w:type="spellEnd"/>
            <w:r>
              <w:rPr>
                <w:rFonts w:eastAsiaTheme="minorEastAsia"/>
                <w:lang w:val="en-GB" w:eastAsia="zh-CN"/>
              </w:rPr>
              <w:t xml:space="preserve"> be a single number applicable for all FR/duplexing scheme/SCS. </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2A67BE" w14:paraId="614FDE3C" w14:textId="77777777" w:rsidTr="00FB2F1A">
        <w:tc>
          <w:tcPr>
            <w:tcW w:w="1479" w:type="dxa"/>
          </w:tcPr>
          <w:p w14:paraId="72D5D507" w14:textId="77777777" w:rsidR="002A67BE" w:rsidRDefault="002A67BE" w:rsidP="002A67BE">
            <w:pPr>
              <w:rPr>
                <w:rFonts w:eastAsia="Yu Mincho"/>
                <w:sz w:val="21"/>
                <w:szCs w:val="21"/>
                <w:lang w:val="en-US" w:eastAsia="ja-JP"/>
              </w:rPr>
            </w:pPr>
          </w:p>
        </w:tc>
        <w:tc>
          <w:tcPr>
            <w:tcW w:w="1372" w:type="dxa"/>
          </w:tcPr>
          <w:p w14:paraId="105A631C" w14:textId="77777777" w:rsidR="002A67BE" w:rsidRDefault="002A67BE" w:rsidP="002A67BE">
            <w:pPr>
              <w:rPr>
                <w:rFonts w:eastAsia="Yu Mincho"/>
                <w:sz w:val="21"/>
                <w:szCs w:val="21"/>
                <w:lang w:eastAsia="ja-JP"/>
              </w:rPr>
            </w:pPr>
          </w:p>
        </w:tc>
        <w:tc>
          <w:tcPr>
            <w:tcW w:w="6780" w:type="dxa"/>
          </w:tcPr>
          <w:p w14:paraId="7698DC7F" w14:textId="77777777" w:rsidR="002A67BE" w:rsidRDefault="002A67BE" w:rsidP="002A67BE">
            <w:pPr>
              <w:pStyle w:val="BodyText"/>
              <w:rPr>
                <w:lang w:val="en-US"/>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r>
        <w:rPr>
          <w:rFonts w:hint="eastAsia"/>
          <w:lang w:val="en-US"/>
        </w:rPr>
        <w:t>gNB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r>
        <w:rPr>
          <w:rFonts w:hint="eastAsia"/>
          <w:lang w:val="en-US"/>
        </w:rPr>
        <w:lastRenderedPageBreak/>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w:t>
      </w:r>
      <w:r w:rsidR="00397F02">
        <w:rPr>
          <w:rFonts w:hint="eastAsia"/>
          <w:lang w:val="en-US"/>
        </w:rPr>
        <w:lastRenderedPageBreak/>
        <w:t xml:space="preserve">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lastRenderedPageBreak/>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lastRenderedPageBreak/>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BodyText"/>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ZTE Corporation, </w:t>
            </w:r>
            <w:proofErr w:type="spellStart"/>
            <w:r w:rsidRPr="002C72ED">
              <w:rPr>
                <w:rFonts w:ascii="Arial" w:hAnsi="Arial" w:cs="Arial"/>
                <w:sz w:val="16"/>
                <w:szCs w:val="16"/>
              </w:rPr>
              <w:t>Sanechips</w:t>
            </w:r>
            <w:proofErr w:type="spellEnd"/>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Ofinno</w:t>
            </w:r>
            <w:proofErr w:type="spellEnd"/>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974027"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4842" w14:textId="77777777" w:rsidR="006639DE" w:rsidRDefault="006639DE">
      <w:pPr>
        <w:spacing w:line="240" w:lineRule="auto"/>
      </w:pPr>
      <w:r>
        <w:separator/>
      </w:r>
    </w:p>
  </w:endnote>
  <w:endnote w:type="continuationSeparator" w:id="0">
    <w:p w14:paraId="14687ADA" w14:textId="77777777" w:rsidR="006639DE" w:rsidRDefault="00663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宋体"/>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86AF" w14:textId="77777777" w:rsidR="006639DE" w:rsidRDefault="006639DE">
      <w:pPr>
        <w:spacing w:after="0"/>
      </w:pPr>
      <w:r>
        <w:separator/>
      </w:r>
    </w:p>
  </w:footnote>
  <w:footnote w:type="continuationSeparator" w:id="0">
    <w:p w14:paraId="134D495E" w14:textId="77777777" w:rsidR="006639DE" w:rsidRDefault="006639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4"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8"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3"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5"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1"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929583834">
    <w:abstractNumId w:val="14"/>
  </w:num>
  <w:num w:numId="2" w16cid:durableId="641663398">
    <w:abstractNumId w:val="1"/>
  </w:num>
  <w:num w:numId="3" w16cid:durableId="695036037">
    <w:abstractNumId w:val="0"/>
  </w:num>
  <w:num w:numId="4" w16cid:durableId="603028751">
    <w:abstractNumId w:val="5"/>
  </w:num>
  <w:num w:numId="5" w16cid:durableId="1502965314">
    <w:abstractNumId w:val="16"/>
  </w:num>
  <w:num w:numId="6" w16cid:durableId="836309475">
    <w:abstractNumId w:val="19"/>
    <w:lvlOverride w:ilvl="0">
      <w:startOverride w:val="1"/>
    </w:lvlOverride>
  </w:num>
  <w:num w:numId="7" w16cid:durableId="265843297">
    <w:abstractNumId w:val="20"/>
  </w:num>
  <w:num w:numId="8" w16cid:durableId="1735591367">
    <w:abstractNumId w:val="31"/>
  </w:num>
  <w:num w:numId="9" w16cid:durableId="1539079974">
    <w:abstractNumId w:val="40"/>
  </w:num>
  <w:num w:numId="10" w16cid:durableId="3022300">
    <w:abstractNumId w:val="7"/>
  </w:num>
  <w:num w:numId="11" w16cid:durableId="1139685349">
    <w:abstractNumId w:val="29"/>
  </w:num>
  <w:num w:numId="12" w16cid:durableId="206337120">
    <w:abstractNumId w:val="45"/>
  </w:num>
  <w:num w:numId="13" w16cid:durableId="11538581">
    <w:abstractNumId w:val="17"/>
  </w:num>
  <w:num w:numId="14" w16cid:durableId="1437407673">
    <w:abstractNumId w:val="33"/>
  </w:num>
  <w:num w:numId="15" w16cid:durableId="286476696">
    <w:abstractNumId w:val="35"/>
  </w:num>
  <w:num w:numId="16" w16cid:durableId="2113623240">
    <w:abstractNumId w:val="25"/>
  </w:num>
  <w:num w:numId="17" w16cid:durableId="848907850">
    <w:abstractNumId w:val="37"/>
  </w:num>
  <w:num w:numId="18" w16cid:durableId="1056275825">
    <w:abstractNumId w:val="46"/>
  </w:num>
  <w:num w:numId="19" w16cid:durableId="1876189984">
    <w:abstractNumId w:val="26"/>
  </w:num>
  <w:num w:numId="20" w16cid:durableId="1776168253">
    <w:abstractNumId w:val="50"/>
  </w:num>
  <w:num w:numId="21" w16cid:durableId="1181511689">
    <w:abstractNumId w:val="6"/>
  </w:num>
  <w:num w:numId="22" w16cid:durableId="751584720">
    <w:abstractNumId w:val="48"/>
  </w:num>
  <w:num w:numId="23" w16cid:durableId="245723526">
    <w:abstractNumId w:val="32"/>
  </w:num>
  <w:num w:numId="24" w16cid:durableId="179396065">
    <w:abstractNumId w:val="8"/>
  </w:num>
  <w:num w:numId="25" w16cid:durableId="1014962192">
    <w:abstractNumId w:val="39"/>
  </w:num>
  <w:num w:numId="26" w16cid:durableId="491601310">
    <w:abstractNumId w:val="4"/>
  </w:num>
  <w:num w:numId="27" w16cid:durableId="1966354416">
    <w:abstractNumId w:val="22"/>
  </w:num>
  <w:num w:numId="28" w16cid:durableId="1818835463">
    <w:abstractNumId w:val="13"/>
  </w:num>
  <w:num w:numId="29" w16cid:durableId="1379666203">
    <w:abstractNumId w:val="24"/>
  </w:num>
  <w:num w:numId="30" w16cid:durableId="656692182">
    <w:abstractNumId w:val="42"/>
  </w:num>
  <w:num w:numId="31" w16cid:durableId="1887060992">
    <w:abstractNumId w:val="44"/>
  </w:num>
  <w:num w:numId="32" w16cid:durableId="921374723">
    <w:abstractNumId w:val="9"/>
  </w:num>
  <w:num w:numId="33" w16cid:durableId="1920824344">
    <w:abstractNumId w:val="43"/>
  </w:num>
  <w:num w:numId="34" w16cid:durableId="1646544233">
    <w:abstractNumId w:val="49"/>
  </w:num>
  <w:num w:numId="35" w16cid:durableId="1169448137">
    <w:abstractNumId w:val="30"/>
  </w:num>
  <w:num w:numId="36" w16cid:durableId="801846574">
    <w:abstractNumId w:val="23"/>
  </w:num>
  <w:num w:numId="37" w16cid:durableId="713776255">
    <w:abstractNumId w:val="41"/>
  </w:num>
  <w:num w:numId="38" w16cid:durableId="924144366">
    <w:abstractNumId w:val="15"/>
  </w:num>
  <w:num w:numId="39" w16cid:durableId="13574270">
    <w:abstractNumId w:val="2"/>
  </w:num>
  <w:num w:numId="40" w16cid:durableId="2050106934">
    <w:abstractNumId w:val="18"/>
  </w:num>
  <w:num w:numId="41" w16cid:durableId="657342374">
    <w:abstractNumId w:val="11"/>
  </w:num>
  <w:num w:numId="42" w16cid:durableId="1927110921">
    <w:abstractNumId w:val="10"/>
  </w:num>
  <w:num w:numId="43" w16cid:durableId="1748306460">
    <w:abstractNumId w:val="47"/>
  </w:num>
  <w:num w:numId="44" w16cid:durableId="1409813373">
    <w:abstractNumId w:val="34"/>
  </w:num>
  <w:num w:numId="45" w16cid:durableId="149639802">
    <w:abstractNumId w:val="36"/>
  </w:num>
  <w:num w:numId="46" w16cid:durableId="1598488640">
    <w:abstractNumId w:val="12"/>
  </w:num>
  <w:num w:numId="47" w16cid:durableId="119346164">
    <w:abstractNumId w:val="3"/>
  </w:num>
  <w:num w:numId="48" w16cid:durableId="1164056265">
    <w:abstractNumId w:val="27"/>
  </w:num>
  <w:num w:numId="49" w16cid:durableId="959872374">
    <w:abstractNumId w:val="38"/>
  </w:num>
  <w:num w:numId="50" w16cid:durableId="1752040656">
    <w:abstractNumId w:val="21"/>
  </w:num>
  <w:num w:numId="51" w16cid:durableId="16424516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7BC"/>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9DE"/>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027"/>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styleId="UnresolvedMention">
    <w:name w:val="Unresolved Mention"/>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13</TotalTime>
  <Pages>32</Pages>
  <Words>12386</Words>
  <Characters>70601</Characters>
  <Application>Microsoft Office Word</Application>
  <DocSecurity>0</DocSecurity>
  <Lines>588</Lines>
  <Paragraphs>165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Lopamudra Kundu</cp:lastModifiedBy>
  <cp:revision>4</cp:revision>
  <dcterms:created xsi:type="dcterms:W3CDTF">2025-08-26T08:37:00Z</dcterms:created>
  <dcterms:modified xsi:type="dcterms:W3CDTF">2025-08-26T08:53:00Z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