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3CCB0" w14:textId="7BA08297" w:rsidR="00CF7A8C" w:rsidRPr="002B7B35" w:rsidRDefault="009332AD">
      <w:pPr>
        <w:widowControl w:val="0"/>
        <w:tabs>
          <w:tab w:val="right" w:pos="10206"/>
        </w:tabs>
        <w:spacing w:after="0" w:afterAutospacing="0"/>
        <w:rPr>
          <w:rFonts w:ascii="Arial" w:eastAsiaTheme="minorEastAsia"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23</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002B7B35" w:rsidRPr="002B7B35">
        <w:rPr>
          <w:rFonts w:ascii="Arial" w:eastAsia="MS Mincho" w:hAnsi="Arial" w:cs="Arial"/>
          <w:b/>
          <w:sz w:val="28"/>
          <w:szCs w:val="28"/>
          <w:lang w:val="en-US"/>
        </w:rPr>
        <w:t>R1-250917</w:t>
      </w:r>
      <w:r w:rsidR="002B7B35">
        <w:rPr>
          <w:rFonts w:ascii="Arial" w:eastAsiaTheme="minorEastAsia" w:hAnsi="Arial" w:cs="Arial" w:hint="eastAsia"/>
          <w:b/>
          <w:sz w:val="28"/>
          <w:szCs w:val="28"/>
          <w:lang w:val="en-US" w:eastAsia="zh-CN"/>
        </w:rPr>
        <w:t>6</w:t>
      </w:r>
    </w:p>
    <w:p w14:paraId="5D58D996" w14:textId="77777777" w:rsidR="00CF7A8C" w:rsidRDefault="009332AD">
      <w:pPr>
        <w:pStyle w:val="aa"/>
        <w:spacing w:after="0"/>
        <w:rPr>
          <w:rFonts w:eastAsia="宋体" w:cs="Arial"/>
          <w:sz w:val="28"/>
          <w:szCs w:val="28"/>
          <w:lang w:val="en-US" w:eastAsia="zh-CN"/>
        </w:rPr>
      </w:pPr>
      <w:r>
        <w:rPr>
          <w:rFonts w:eastAsia="宋体" w:cs="Arial" w:hint="eastAsia"/>
          <w:sz w:val="28"/>
          <w:szCs w:val="28"/>
          <w:lang w:val="en-US" w:eastAsia="zh-CN"/>
        </w:rPr>
        <w:t>Dallas, USA, Nov 17</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- 21</w:t>
      </w:r>
      <w:r>
        <w:rPr>
          <w:rFonts w:eastAsia="宋体" w:cs="Arial" w:hint="eastAsia"/>
          <w:sz w:val="28"/>
          <w:szCs w:val="28"/>
          <w:vertAlign w:val="superscript"/>
          <w:lang w:val="en-US" w:eastAsia="zh-CN"/>
        </w:rPr>
        <w:t>st</w:t>
      </w:r>
      <w:r>
        <w:rPr>
          <w:rFonts w:eastAsia="宋体" w:cs="Arial" w:hint="eastAsia"/>
          <w:sz w:val="28"/>
          <w:szCs w:val="28"/>
          <w:lang w:val="en-US" w:eastAsia="zh-CN"/>
        </w:rPr>
        <w:t>, 2025</w:t>
      </w:r>
    </w:p>
    <w:p w14:paraId="4A9AFE90" w14:textId="77777777" w:rsidR="00CF7A8C" w:rsidRDefault="009332AD">
      <w:pPr>
        <w:tabs>
          <w:tab w:val="left" w:pos="1985"/>
        </w:tabs>
        <w:spacing w:after="0" w:afterAutospacing="0"/>
        <w:ind w:left="1985" w:hangingChars="706" w:hanging="1985"/>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3724BD98" w14:textId="77777777"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w:t>
      </w:r>
      <w:r>
        <w:rPr>
          <w:rFonts w:ascii="Arial" w:eastAsia="宋体" w:hAnsi="Arial" w:cs="Arial" w:hint="eastAsia"/>
          <w:b/>
          <w:sz w:val="28"/>
          <w:szCs w:val="28"/>
          <w:lang w:val="en-US" w:eastAsia="zh-CN"/>
        </w:rPr>
        <w:t>other</w:t>
      </w:r>
      <w:r>
        <w:rPr>
          <w:rFonts w:ascii="Arial" w:hAnsi="Arial" w:cs="Arial" w:hint="eastAsia"/>
          <w:b/>
          <w:sz w:val="28"/>
          <w:szCs w:val="28"/>
          <w:lang w:val="en-US"/>
        </w:rPr>
        <w:t xml:space="preserve"> procedures</w:t>
      </w:r>
    </w:p>
    <w:p w14:paraId="178A3D8C" w14:textId="77777777"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宋体" w:hAnsi="Arial" w:cs="Arial" w:hint="eastAsia"/>
          <w:b/>
          <w:sz w:val="28"/>
          <w:szCs w:val="28"/>
          <w:lang w:val="en-US" w:eastAsia="zh-CN"/>
        </w:rPr>
        <w:t>10.3.2.3</w:t>
      </w:r>
    </w:p>
    <w:p w14:paraId="2D67E8B8" w14:textId="77777777" w:rsidR="00CF7A8C" w:rsidRDefault="009332AD">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0657B1EA" w14:textId="77777777" w:rsidR="00CF7A8C" w:rsidRDefault="009332AD">
      <w:pPr>
        <w:pStyle w:val="1"/>
        <w:spacing w:after="180"/>
        <w:rPr>
          <w:lang w:val="en-US"/>
        </w:rPr>
      </w:pPr>
      <w:r>
        <w:rPr>
          <w:lang w:val="en-US"/>
        </w:rPr>
        <w:t>Introduction</w:t>
      </w:r>
      <w:bookmarkEnd w:id="1"/>
    </w:p>
    <w:p w14:paraId="6D511407" w14:textId="77777777" w:rsidR="00CF7A8C" w:rsidRDefault="009332AD">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p>
    <w:tbl>
      <w:tblPr>
        <w:tblStyle w:val="ab"/>
        <w:tblW w:w="0" w:type="auto"/>
        <w:tblLook w:val="04A0" w:firstRow="1" w:lastRow="0" w:firstColumn="1" w:lastColumn="0" w:noHBand="0" w:noVBand="1"/>
      </w:tblPr>
      <w:tblGrid>
        <w:gridCol w:w="9954"/>
      </w:tblGrid>
      <w:tr w:rsidR="00CF7A8C" w14:paraId="6F68FD93" w14:textId="77777777">
        <w:tc>
          <w:tcPr>
            <w:tcW w:w="10180" w:type="dxa"/>
          </w:tcPr>
          <w:p w14:paraId="5A7A4F52" w14:textId="77777777" w:rsidR="00CF7A8C" w:rsidRDefault="009332AD">
            <w:pPr>
              <w:numPr>
                <w:ilvl w:val="0"/>
                <w:numId w:val="5"/>
              </w:numPr>
              <w:overflowPunct w:val="0"/>
              <w:autoSpaceDE w:val="0"/>
              <w:autoSpaceDN w:val="0"/>
              <w:adjustRightInd w:val="0"/>
              <w:snapToGrid/>
              <w:spacing w:before="80" w:after="80"/>
              <w:ind w:left="357" w:hanging="357"/>
              <w:contextualSpacing/>
              <w:jc w:val="left"/>
              <w:textAlignment w:val="baseline"/>
              <w:rPr>
                <w:rFonts w:eastAsia="等线"/>
                <w:sz w:val="20"/>
                <w:lang w:val="en-US" w:eastAsia="en-US"/>
              </w:rPr>
            </w:pPr>
            <w:r>
              <w:rPr>
                <w:rFonts w:eastAsia="等线" w:hint="eastAsia"/>
                <w:sz w:val="20"/>
                <w:lang w:val="en-US" w:eastAsia="en-US"/>
              </w:rPr>
              <w:t>Study necessary and feasible changes to the Rel-19 A-IoT specifications to support A-IoT in outdoor scenarios under the following conditions [RAN1-led]:</w:t>
            </w:r>
          </w:p>
          <w:p w14:paraId="2141E385"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Deployment scenario 4 with topology 1 with no external carrier wave.</w:t>
            </w:r>
          </w:p>
          <w:p w14:paraId="77C219EA"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Traffic types DO-DTT, DT, DO-A.</w:t>
            </w:r>
          </w:p>
          <w:p w14:paraId="6C69137A"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Representative use cases rUC5 (outdoor inventory), rUC6 (outdoor sensor), and rUC8 (outdoor command).</w:t>
            </w:r>
          </w:p>
          <w:p w14:paraId="161D17B3"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Assumption that A-IoT BS readers are deployed on the same sites as existing outdoor NR macro BSs.</w:t>
            </w:r>
          </w:p>
          <w:p w14:paraId="7522E28D"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FR1 licensed spectrum in FDD in-band to NR and in standalone bands, with R2D in DL spectrum and D2R in UL spectrum.</w:t>
            </w:r>
          </w:p>
          <w:p w14:paraId="565A21B9"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Assumption of the same air interface for Device 2b and Device C.</w:t>
            </w:r>
          </w:p>
          <w:p w14:paraId="5ACCA2A1" w14:textId="77777777" w:rsidR="00CF7A8C" w:rsidRDefault="009332AD">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bookmarkStart w:id="3" w:name="_Hlk200381346"/>
            <w:r>
              <w:rPr>
                <w:rFonts w:eastAsia="等线" w:hint="eastAsia"/>
                <w:sz w:val="20"/>
                <w:lang w:eastAsia="en-GB"/>
              </w:rPr>
              <w:t xml:space="preserve">Take into account the aspects reported in Clause 6.10 </w:t>
            </w:r>
            <w:r>
              <w:rPr>
                <w:rFonts w:eastAsia="等线" w:hint="eastAsia"/>
                <w:sz w:val="20"/>
                <w:lang w:eastAsia="en-GB"/>
              </w:rPr>
              <w:t>“</w:t>
            </w:r>
            <w:r>
              <w:rPr>
                <w:rFonts w:eastAsia="等线" w:hint="eastAsia"/>
                <w:sz w:val="20"/>
                <w:lang w:eastAsia="en-GB"/>
              </w:rPr>
              <w:t>DO-A assessment</w:t>
            </w:r>
            <w:r>
              <w:rPr>
                <w:rFonts w:eastAsia="等线" w:hint="eastAsia"/>
                <w:sz w:val="20"/>
                <w:lang w:eastAsia="en-GB"/>
              </w:rPr>
              <w:t>”</w:t>
            </w:r>
            <w:r>
              <w:rPr>
                <w:rFonts w:eastAsia="等线" w:hint="eastAsia"/>
                <w:sz w:val="20"/>
                <w:lang w:eastAsia="en-GB"/>
              </w:rPr>
              <w:t xml:space="preserve"> and Clause 6.1.1.7 </w:t>
            </w:r>
            <w:r>
              <w:rPr>
                <w:rFonts w:eastAsia="等线" w:hint="eastAsia"/>
                <w:sz w:val="20"/>
                <w:lang w:eastAsia="en-GB"/>
              </w:rPr>
              <w:t>“</w:t>
            </w:r>
            <w:r>
              <w:rPr>
                <w:rFonts w:eastAsia="等线" w:hint="eastAsia"/>
                <w:sz w:val="20"/>
                <w:lang w:eastAsia="en-GB"/>
              </w:rPr>
              <w:t>CFO calibration signal for device 2b</w:t>
            </w:r>
            <w:r>
              <w:rPr>
                <w:rFonts w:eastAsia="等线" w:hint="eastAsia"/>
                <w:sz w:val="20"/>
                <w:lang w:eastAsia="en-GB"/>
              </w:rPr>
              <w:t>”</w:t>
            </w:r>
            <w:r>
              <w:rPr>
                <w:rFonts w:eastAsia="等线" w:hint="eastAsia"/>
                <w:sz w:val="20"/>
                <w:lang w:eastAsia="en-GB"/>
              </w:rPr>
              <w:t xml:space="preserve"> of TR 38.769</w:t>
            </w:r>
            <w:bookmarkEnd w:id="3"/>
          </w:p>
          <w:p w14:paraId="7787CDF5"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val="en-US" w:eastAsia="zh-CN"/>
              </w:rPr>
              <w:t>[...]</w:t>
            </w:r>
          </w:p>
          <w:p w14:paraId="2FF5172E" w14:textId="77777777" w:rsidR="00CF7A8C" w:rsidRDefault="009332AD">
            <w:pPr>
              <w:overflowPunct w:val="0"/>
              <w:autoSpaceDE w:val="0"/>
              <w:autoSpaceDN w:val="0"/>
              <w:adjustRightInd w:val="0"/>
              <w:snapToGrid/>
              <w:spacing w:before="80" w:after="80" w:afterAutospacing="0"/>
              <w:ind w:left="357"/>
              <w:jc w:val="left"/>
              <w:textAlignment w:val="baseline"/>
              <w:rPr>
                <w:rFonts w:eastAsia="等线"/>
                <w:sz w:val="20"/>
                <w:lang w:val="en-US" w:eastAsia="zh-CN"/>
              </w:rPr>
            </w:pPr>
            <w:r>
              <w:rPr>
                <w:rFonts w:eastAsia="等线" w:hint="eastAsia"/>
                <w:sz w:val="20"/>
                <w:lang w:val="en-US" w:eastAsia="zh-CN"/>
              </w:rPr>
              <w:t>[...]</w:t>
            </w:r>
          </w:p>
          <w:p w14:paraId="68871E32" w14:textId="77777777" w:rsidR="00CF7A8C" w:rsidRDefault="009332AD">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hint="eastAsia"/>
                <w:sz w:val="20"/>
                <w:lang w:eastAsia="en-GB"/>
              </w:rPr>
              <w:t>This objective includes:</w:t>
            </w:r>
          </w:p>
          <w:p w14:paraId="229E3FE1" w14:textId="77777777" w:rsidR="00CF7A8C" w:rsidRDefault="009332AD">
            <w:pPr>
              <w:overflowPunct w:val="0"/>
              <w:autoSpaceDE w:val="0"/>
              <w:autoSpaceDN w:val="0"/>
              <w:adjustRightInd w:val="0"/>
              <w:snapToGrid/>
              <w:spacing w:before="80" w:after="80" w:afterAutospacing="0"/>
              <w:ind w:left="360"/>
              <w:jc w:val="left"/>
              <w:textAlignment w:val="baseline"/>
              <w:rPr>
                <w:rFonts w:eastAsia="等线"/>
                <w:b/>
                <w:bCs/>
                <w:sz w:val="20"/>
                <w:u w:val="single"/>
                <w:lang w:eastAsia="en-GB"/>
              </w:rPr>
            </w:pPr>
            <w:r>
              <w:rPr>
                <w:rFonts w:eastAsia="等线" w:hint="eastAsia"/>
                <w:b/>
                <w:bCs/>
                <w:sz w:val="20"/>
                <w:u w:val="single"/>
                <w:lang w:eastAsia="en-GB"/>
              </w:rPr>
              <w:t>RAN1-led</w:t>
            </w:r>
          </w:p>
          <w:p w14:paraId="2C055ACE"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necessary and feasible changes to the Rel-19 air interface to support the above scenarios</w:t>
            </w:r>
          </w:p>
          <w:p w14:paraId="64794FEC" w14:textId="77777777" w:rsidR="00CF7A8C" w:rsidRDefault="009332AD">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Air interface for device 2b/C studied for outdoor will be reused for supporting device 2b/C in indoor scenarios</w:t>
            </w:r>
          </w:p>
          <w:p w14:paraId="1CFC0EB1"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applicability and necessity of Device 2b and Device C to the above scenarios, assuming similar device architectures for Device 2b and Device C.</w:t>
            </w:r>
          </w:p>
          <w:p w14:paraId="0CCC5CBE"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While providing clear differentiation with existing 3GPP LPWA IoT technology and the features of 6G relevant to IoT, study outcomes should include achievable cell edge data rate assuming</w:t>
            </w:r>
          </w:p>
          <w:p w14:paraId="170EA098" w14:textId="77777777" w:rsidR="00CF7A8C" w:rsidRDefault="009332AD">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lastRenderedPageBreak/>
              <w:t>Maximum distance between Reader and Device of 50-500 m</w:t>
            </w:r>
          </w:p>
          <w:p w14:paraId="2733AA35" w14:textId="77777777" w:rsidR="00CF7A8C" w:rsidRDefault="009332AD">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between -3 dBm and +5 dBm for device C</w:t>
            </w:r>
          </w:p>
          <w:p w14:paraId="04157592" w14:textId="77777777" w:rsidR="00CF7A8C" w:rsidRDefault="009332AD">
            <w:pPr>
              <w:numPr>
                <w:ilvl w:val="2"/>
                <w:numId w:val="6"/>
              </w:numPr>
              <w:overflowPunct w:val="0"/>
              <w:autoSpaceDE w:val="0"/>
              <w:autoSpaceDN w:val="0"/>
              <w:adjustRightInd w:val="0"/>
              <w:snapToGrid/>
              <w:spacing w:before="80" w:after="80" w:afterAutospacing="0"/>
              <w:ind w:left="2694" w:hanging="354"/>
              <w:jc w:val="left"/>
              <w:textAlignment w:val="baseline"/>
              <w:rPr>
                <w:rFonts w:eastAsia="等线"/>
                <w:sz w:val="20"/>
                <w:lang w:eastAsia="en-GB"/>
              </w:rPr>
            </w:pPr>
            <w:r>
              <w:rPr>
                <w:rFonts w:eastAsia="等线" w:hint="eastAsia"/>
                <w:sz w:val="20"/>
                <w:lang w:eastAsia="en-GB"/>
              </w:rPr>
              <w:t>RAN1 to recommend feasible values within this range</w:t>
            </w:r>
          </w:p>
          <w:p w14:paraId="464C0C00" w14:textId="77777777" w:rsidR="00CF7A8C" w:rsidRDefault="009332AD">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of -20 dBm and -10 dBm for device 2b</w:t>
            </w:r>
          </w:p>
          <w:p w14:paraId="6E752B0C" w14:textId="77777777" w:rsidR="00CF7A8C" w:rsidRDefault="009332AD">
            <w:pPr>
              <w:overflowPunct w:val="0"/>
              <w:autoSpaceDE w:val="0"/>
              <w:autoSpaceDN w:val="0"/>
              <w:adjustRightInd w:val="0"/>
              <w:snapToGrid/>
              <w:spacing w:before="80" w:after="80" w:afterAutospacing="0"/>
              <w:ind w:left="1440"/>
              <w:jc w:val="left"/>
              <w:textAlignment w:val="baseline"/>
              <w:rPr>
                <w:rFonts w:eastAsia="等线"/>
                <w:sz w:val="20"/>
                <w:lang w:eastAsia="en-GB"/>
              </w:rPr>
            </w:pPr>
            <w:r>
              <w:rPr>
                <w:rFonts w:eastAsia="等线" w:hint="eastAsia"/>
                <w:sz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20015D67" w14:textId="77777777" w:rsidR="00CF7A8C" w:rsidRDefault="009332AD">
            <w:pPr>
              <w:numPr>
                <w:ilvl w:val="0"/>
                <w:numId w:val="6"/>
              </w:numPr>
              <w:overflowPunct w:val="0"/>
              <w:autoSpaceDE w:val="0"/>
              <w:autoSpaceDN w:val="0"/>
              <w:adjustRightInd w:val="0"/>
              <w:snapToGrid/>
              <w:spacing w:before="80" w:after="80" w:afterAutospacing="0"/>
              <w:jc w:val="left"/>
              <w:textAlignment w:val="baseline"/>
              <w:rPr>
                <w:rFonts w:eastAsia="宋体"/>
                <w:lang w:val="en-US" w:eastAsia="zh-CN"/>
              </w:rPr>
            </w:pPr>
            <w:r>
              <w:rPr>
                <w:rFonts w:eastAsia="等线" w:hint="eastAsia"/>
                <w:sz w:val="20"/>
                <w:lang w:val="en-US" w:eastAsia="zh-CN"/>
              </w:rPr>
              <w:t>[...]</w:t>
            </w:r>
          </w:p>
        </w:tc>
      </w:tr>
    </w:tbl>
    <w:p w14:paraId="29D4E358" w14:textId="2F979A6E" w:rsidR="00CF7A8C" w:rsidRDefault="009332AD">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procedures for DO-A for Device 2b and Device C in Rel-20 A-IoT.</w:t>
      </w:r>
    </w:p>
    <w:p w14:paraId="67227305" w14:textId="77777777" w:rsidR="00CF7A8C" w:rsidRDefault="009332AD">
      <w:pPr>
        <w:pStyle w:val="1"/>
        <w:spacing w:after="180"/>
        <w:rPr>
          <w:lang w:val="en-US"/>
        </w:rPr>
      </w:pPr>
      <w:r>
        <w:rPr>
          <w:lang w:val="en-US"/>
        </w:rPr>
        <w:t>Discussion</w:t>
      </w:r>
    </w:p>
    <w:p w14:paraId="379C4CB8" w14:textId="77777777" w:rsidR="00CF7A8C" w:rsidRDefault="009332AD">
      <w:pPr>
        <w:pStyle w:val="2"/>
        <w:spacing w:after="180"/>
        <w:rPr>
          <w:lang w:val="en-US" w:eastAsia="zh-CN"/>
        </w:rPr>
      </w:pPr>
      <w:bookmarkStart w:id="4" w:name="_Ref18388"/>
      <w:r>
        <w:rPr>
          <w:rFonts w:hint="eastAsia"/>
          <w:lang w:val="en-US" w:eastAsia="zh-CN"/>
        </w:rPr>
        <w:t>Support of DO-A traffic</w:t>
      </w:r>
      <w:bookmarkEnd w:id="4"/>
    </w:p>
    <w:p w14:paraId="72E65814" w14:textId="6E9D4528" w:rsidR="00CF7A8C" w:rsidRDefault="009F5D6C">
      <w:pPr>
        <w:pStyle w:val="3"/>
        <w:spacing w:after="180"/>
        <w:rPr>
          <w:lang w:val="en-US" w:eastAsia="zh-CN"/>
        </w:rPr>
      </w:pPr>
      <w:r>
        <w:rPr>
          <w:rFonts w:eastAsiaTheme="minorEastAsia" w:hint="eastAsia"/>
          <w:sz w:val="24"/>
          <w:szCs w:val="24"/>
          <w:lang w:val="en-US" w:eastAsia="zh-CN"/>
        </w:rPr>
        <w:t>DO-A</w:t>
      </w:r>
      <w:r w:rsidR="00CC1321">
        <w:rPr>
          <w:rFonts w:eastAsiaTheme="minorEastAsia" w:hint="eastAsia"/>
          <w:sz w:val="24"/>
          <w:szCs w:val="24"/>
          <w:lang w:val="en-US" w:eastAsia="zh-CN"/>
        </w:rPr>
        <w:t xml:space="preserve"> resource allocation</w:t>
      </w:r>
    </w:p>
    <w:p w14:paraId="0237F14F"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w:t>
      </w:r>
    </w:p>
    <w:tbl>
      <w:tblPr>
        <w:tblStyle w:val="ab"/>
        <w:tblW w:w="0" w:type="auto"/>
        <w:tblLook w:val="04A0" w:firstRow="1" w:lastRow="0" w:firstColumn="1" w:lastColumn="0" w:noHBand="0" w:noVBand="1"/>
      </w:tblPr>
      <w:tblGrid>
        <w:gridCol w:w="9954"/>
      </w:tblGrid>
      <w:tr w:rsidR="00CF7A8C" w14:paraId="42C85928" w14:textId="77777777">
        <w:tc>
          <w:tcPr>
            <w:tcW w:w="10180" w:type="dxa"/>
          </w:tcPr>
          <w:p w14:paraId="37311B99" w14:textId="77777777" w:rsidR="00CF7A8C" w:rsidRDefault="009332AD">
            <w:pPr>
              <w:snapToGrid/>
              <w:spacing w:after="0" w:afterAutospacing="0"/>
              <w:jc w:val="left"/>
              <w:rPr>
                <w:rFonts w:ascii="Times" w:eastAsia="宋体" w:hAnsi="Times" w:cs="Times"/>
                <w:b/>
                <w:sz w:val="20"/>
                <w:szCs w:val="24"/>
                <w:lang w:val="en-US" w:eastAsia="ko-KR"/>
              </w:rPr>
            </w:pPr>
            <w:r>
              <w:rPr>
                <w:rFonts w:ascii="Times" w:eastAsia="宋体" w:hAnsi="Times" w:cs="Times"/>
                <w:b/>
                <w:sz w:val="20"/>
                <w:szCs w:val="24"/>
                <w:highlight w:val="green"/>
                <w:lang w:val="en-US" w:eastAsia="ko-KR"/>
              </w:rPr>
              <w:t>Agreement</w:t>
            </w:r>
          </w:p>
          <w:p w14:paraId="71FC8364" w14:textId="77777777" w:rsidR="00CF7A8C" w:rsidRDefault="009332AD">
            <w:pPr>
              <w:snapToGrid/>
              <w:spacing w:after="0" w:afterAutospacing="0"/>
              <w:jc w:val="left"/>
              <w:rPr>
                <w:rFonts w:ascii="Times" w:eastAsia="宋体" w:hAnsi="Times" w:cs="Times"/>
                <w:sz w:val="21"/>
                <w:szCs w:val="21"/>
                <w:lang w:val="en-US" w:eastAsia="ko-KR"/>
              </w:rPr>
            </w:pPr>
            <w:r>
              <w:rPr>
                <w:rFonts w:ascii="Times" w:eastAsia="宋体" w:hAnsi="Times" w:cs="Times" w:hint="eastAsia"/>
                <w:sz w:val="21"/>
                <w:szCs w:val="21"/>
                <w:lang w:val="en-US" w:eastAsia="ko-KR"/>
              </w:rPr>
              <w:t xml:space="preserve">Study the following aspects to support DO-A </w:t>
            </w:r>
            <w:r>
              <w:rPr>
                <w:rFonts w:ascii="Times" w:eastAsia="宋体" w:hAnsi="Times" w:cs="Times"/>
                <w:sz w:val="21"/>
                <w:szCs w:val="21"/>
                <w:lang w:val="en-US" w:eastAsia="ko-KR"/>
              </w:rPr>
              <w:t xml:space="preserve">traffic </w:t>
            </w:r>
            <w:r>
              <w:rPr>
                <w:rFonts w:ascii="Times" w:eastAsia="Batang" w:hAnsi="Times"/>
                <w:sz w:val="21"/>
                <w:szCs w:val="21"/>
                <w:lang w:eastAsia="ko-KR"/>
              </w:rPr>
              <w:t>(periodic and event-triggered)</w:t>
            </w:r>
            <w:r>
              <w:rPr>
                <w:rFonts w:ascii="Times" w:eastAsia="宋体" w:hAnsi="Times" w:cs="Times"/>
                <w:sz w:val="21"/>
                <w:szCs w:val="21"/>
                <w:lang w:val="en-US" w:eastAsia="ko-KR"/>
              </w:rPr>
              <w:t xml:space="preserve"> for Device 2b and for Device C </w:t>
            </w:r>
            <w:r>
              <w:rPr>
                <w:rFonts w:ascii="Times" w:eastAsia="宋体" w:hAnsi="Times" w:cs="Times" w:hint="eastAsia"/>
                <w:sz w:val="21"/>
                <w:szCs w:val="21"/>
                <w:lang w:val="en-US" w:eastAsia="ko-KR"/>
              </w:rPr>
              <w:t>in Rel-20.</w:t>
            </w:r>
          </w:p>
          <w:p w14:paraId="7F4976C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Timing and frequency synchronization for DO-A transmission</w:t>
            </w:r>
          </w:p>
          <w:p w14:paraId="405DCBD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Resource allocation/determination method for DO-A transmission</w:t>
            </w:r>
          </w:p>
          <w:p w14:paraId="6960D495" w14:textId="77777777" w:rsidR="00CF7A8C" w:rsidRDefault="009332AD">
            <w:pPr>
              <w:numPr>
                <w:ilvl w:val="0"/>
                <w:numId w:val="7"/>
              </w:numPr>
              <w:overflowPunct w:val="0"/>
              <w:autoSpaceDE w:val="0"/>
              <w:autoSpaceDN w:val="0"/>
              <w:adjustRightInd w:val="0"/>
              <w:spacing w:after="180"/>
              <w:contextualSpacing/>
              <w:textAlignment w:val="baseline"/>
              <w:rPr>
                <w:rFonts w:eastAsia="宋体"/>
                <w:lang w:eastAsia="zh-CN"/>
              </w:rPr>
            </w:pPr>
            <w:r>
              <w:rPr>
                <w:rFonts w:ascii="Times" w:eastAsia="Batang" w:hAnsi="Times"/>
                <w:sz w:val="21"/>
                <w:szCs w:val="21"/>
                <w:lang w:eastAsia="ko-KR"/>
              </w:rPr>
              <w:t>Configuration/</w:t>
            </w:r>
            <w:proofErr w:type="spellStart"/>
            <w:r>
              <w:rPr>
                <w:rFonts w:ascii="Times" w:eastAsia="Batang" w:hAnsi="Times"/>
                <w:sz w:val="21"/>
                <w:szCs w:val="21"/>
                <w:lang w:eastAsia="ko-KR"/>
              </w:rPr>
              <w:t>signaling</w:t>
            </w:r>
            <w:proofErr w:type="spellEnd"/>
            <w:r>
              <w:rPr>
                <w:rFonts w:ascii="Times" w:eastAsia="Batang" w:hAnsi="Times"/>
                <w:sz w:val="21"/>
                <w:szCs w:val="21"/>
                <w:lang w:eastAsia="ko-KR"/>
              </w:rPr>
              <w:t xml:space="preserve"> of necessary information</w:t>
            </w:r>
          </w:p>
        </w:tc>
      </w:tr>
    </w:tbl>
    <w:p w14:paraId="1B112521"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 xml:space="preserve">One possible approach to support DO-A traffic is to configure periodic D2R resources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such that devices can perform CBRA procedure upon DO-A data arrival (with a delay depending on the time density of the configured D2R resources) at higher layers, i.e. similarly to the steps of </w:t>
      </w:r>
      <w:r>
        <w:rPr>
          <w:rFonts w:eastAsia="宋体"/>
          <w:lang w:val="en-US" w:eastAsia="zh-CN"/>
        </w:rPr>
        <w:t>“</w:t>
      </w:r>
      <w:r>
        <w:rPr>
          <w:rFonts w:eastAsia="宋体" w:hint="eastAsia"/>
          <w:lang w:val="en-US" w:eastAsia="zh-CN"/>
        </w:rPr>
        <w:t>CBRA</w:t>
      </w:r>
      <w:r>
        <w:rPr>
          <w:rFonts w:eastAsia="宋体"/>
          <w:lang w:val="en-US" w:eastAsia="zh-CN"/>
        </w:rPr>
        <w:t>”</w:t>
      </w:r>
      <w:r>
        <w:rPr>
          <w:rFonts w:eastAsia="宋体" w:hint="eastAsia"/>
          <w:lang w:val="en-US" w:eastAsia="zh-CN"/>
        </w:rPr>
        <w:t xml:space="preserve"> for 5G </w:t>
      </w:r>
      <w:proofErr w:type="spellStart"/>
      <w:r>
        <w:rPr>
          <w:rFonts w:eastAsia="宋体" w:hint="eastAsia"/>
          <w:lang w:val="en-US" w:eastAsia="zh-CN"/>
        </w:rPr>
        <w:t>eMBB</w:t>
      </w:r>
      <w:proofErr w:type="spellEnd"/>
      <w:r>
        <w:rPr>
          <w:rFonts w:eastAsia="宋体" w:hint="eastAsia"/>
          <w:lang w:val="en-US" w:eastAsia="zh-CN"/>
        </w:rPr>
        <w:t xml:space="preserve">. The main problem of this approach is the need for excessive D2R resources configured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such that collision of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from different devices </w:t>
      </w:r>
      <w:proofErr w:type="spellStart"/>
      <w:r>
        <w:rPr>
          <w:rFonts w:eastAsia="宋体" w:hint="eastAsia"/>
          <w:lang w:val="en-US" w:eastAsia="zh-CN"/>
        </w:rPr>
        <w:t>dose</w:t>
      </w:r>
      <w:proofErr w:type="spellEnd"/>
      <w:r>
        <w:rPr>
          <w:rFonts w:eastAsia="宋体" w:hint="eastAsia"/>
          <w:lang w:val="en-US" w:eastAsia="zh-CN"/>
        </w:rPr>
        <w:t xml:space="preserve"> not matter as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does not serve any purpose other than triggering A-IoT paging; timing for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can thus be quite flexible, e.g. it can be any time within a time window (e.g. following an R2D transmission).</w:t>
      </w:r>
    </w:p>
    <w:p w14:paraId="7BCA3568" w14:textId="77777777" w:rsidR="00CF7A8C" w:rsidRDefault="009332AD">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hint="eastAsia"/>
          <w:lang w:val="en-US" w:eastAsia="zh-CN"/>
        </w:rPr>
        <w:lastRenderedPageBreak/>
        <w:t>For Device 2b and Device C, both periodic and event-triggered DO-A traffic can be supported by using an autonomously triggered D2R transmission to trigger A-IoT paging.</w:t>
      </w:r>
    </w:p>
    <w:p w14:paraId="176FCF7E" w14:textId="77777777" w:rsidR="00CF7A8C" w:rsidRDefault="009332AD">
      <w:pPr>
        <w:widowControl w:val="0"/>
        <w:numPr>
          <w:ilvl w:val="3"/>
          <w:numId w:val="9"/>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3777E03A" w14:textId="77777777" w:rsidR="00CF7A8C" w:rsidRDefault="009332AD">
      <w:pPr>
        <w:widowControl w:val="0"/>
        <w:numPr>
          <w:ilvl w:val="3"/>
          <w:numId w:val="9"/>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4AEC306E" w14:textId="77777777" w:rsidR="00CF7A8C" w:rsidRDefault="009332AD">
      <w:pPr>
        <w:pStyle w:val="3"/>
        <w:spacing w:after="180"/>
        <w:rPr>
          <w:sz w:val="24"/>
          <w:szCs w:val="24"/>
          <w:lang w:val="en-US" w:eastAsia="zh-CN"/>
        </w:rPr>
      </w:pPr>
      <w:r>
        <w:rPr>
          <w:rFonts w:hint="eastAsia"/>
          <w:sz w:val="24"/>
          <w:szCs w:val="24"/>
          <w:lang w:val="en-US" w:eastAsia="zh-CN"/>
        </w:rPr>
        <w:t>First D2R transmission for DO-A</w:t>
      </w:r>
    </w:p>
    <w:p w14:paraId="771A3479"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p>
    <w:tbl>
      <w:tblPr>
        <w:tblStyle w:val="ab"/>
        <w:tblW w:w="0" w:type="auto"/>
        <w:tblLook w:val="04A0" w:firstRow="1" w:lastRow="0" w:firstColumn="1" w:lastColumn="0" w:noHBand="0" w:noVBand="1"/>
      </w:tblPr>
      <w:tblGrid>
        <w:gridCol w:w="9954"/>
      </w:tblGrid>
      <w:tr w:rsidR="00CF7A8C" w14:paraId="74629A3D" w14:textId="77777777">
        <w:tc>
          <w:tcPr>
            <w:tcW w:w="10180" w:type="dxa"/>
          </w:tcPr>
          <w:p w14:paraId="00B448B1" w14:textId="77777777" w:rsidR="00CF7A8C" w:rsidRDefault="009332AD">
            <w:pPr>
              <w:snapToGrid/>
              <w:spacing w:after="0" w:afterAutospacing="0"/>
              <w:jc w:val="left"/>
              <w:rPr>
                <w:rFonts w:ascii="Times" w:eastAsia="等线" w:hAnsi="Times"/>
                <w:b/>
                <w:bCs/>
                <w:sz w:val="20"/>
                <w:szCs w:val="24"/>
                <w:lang w:val="en-US" w:eastAsia="zh-CN"/>
              </w:rPr>
            </w:pPr>
            <w:r>
              <w:rPr>
                <w:rFonts w:ascii="Times" w:eastAsia="等线" w:hAnsi="Times"/>
                <w:b/>
                <w:bCs/>
                <w:sz w:val="20"/>
                <w:szCs w:val="24"/>
                <w:highlight w:val="green"/>
                <w:lang w:val="en-US" w:eastAsia="zh-CN"/>
              </w:rPr>
              <w:t>Agreement</w:t>
            </w:r>
          </w:p>
          <w:p w14:paraId="6D3526FC" w14:textId="77777777" w:rsidR="00CF7A8C" w:rsidRPr="00693BE1" w:rsidRDefault="009332AD">
            <w:pPr>
              <w:snapToGrid/>
              <w:spacing w:after="0" w:afterAutospacing="0"/>
              <w:jc w:val="left"/>
              <w:rPr>
                <w:rFonts w:ascii="Times" w:eastAsia="Batang" w:hAnsi="Times"/>
                <w:sz w:val="20"/>
                <w:lang w:eastAsia="ko-KR"/>
              </w:rPr>
            </w:pPr>
            <w:r w:rsidRPr="00693BE1">
              <w:rPr>
                <w:rFonts w:ascii="Times" w:eastAsia="宋体" w:hAnsi="Times" w:hint="eastAsia"/>
                <w:sz w:val="20"/>
                <w:lang w:eastAsia="ko-KR"/>
              </w:rPr>
              <w:t xml:space="preserve">For </w:t>
            </w:r>
            <w:r w:rsidRPr="00693BE1">
              <w:rPr>
                <w:rFonts w:ascii="Times" w:eastAsia="Batang" w:hAnsi="Times"/>
                <w:sz w:val="20"/>
                <w:lang w:eastAsia="ko-KR"/>
              </w:rPr>
              <w:t>the content of the first D2R transmission for DO-A for Device 2b and for Device C, study the following options:</w:t>
            </w:r>
          </w:p>
          <w:p w14:paraId="6BFC1FB6" w14:textId="77777777" w:rsidR="00CF7A8C" w:rsidRPr="00693BE1" w:rsidRDefault="009332AD">
            <w:pPr>
              <w:numPr>
                <w:ilvl w:val="0"/>
                <w:numId w:val="7"/>
              </w:numPr>
              <w:overflowPunct w:val="0"/>
              <w:autoSpaceDE w:val="0"/>
              <w:autoSpaceDN w:val="0"/>
              <w:adjustRightInd w:val="0"/>
              <w:contextualSpacing/>
              <w:textAlignment w:val="baseline"/>
              <w:rPr>
                <w:rFonts w:ascii="Times" w:eastAsia="Batang" w:hAnsi="Times"/>
                <w:sz w:val="20"/>
                <w:lang w:eastAsia="ko-KR"/>
              </w:rPr>
            </w:pPr>
            <w:r w:rsidRPr="00693BE1">
              <w:rPr>
                <w:rFonts w:ascii="Times" w:eastAsia="Batang" w:hAnsi="Times"/>
                <w:sz w:val="20"/>
                <w:lang w:eastAsia="ko-KR"/>
              </w:rPr>
              <w:t>Option</w:t>
            </w:r>
            <w:r w:rsidRPr="00693BE1">
              <w:rPr>
                <w:rFonts w:ascii="Times" w:eastAsia="Batang" w:hAnsi="Times" w:hint="eastAsia"/>
                <w:sz w:val="20"/>
                <w:lang w:eastAsia="ko-KR"/>
              </w:rPr>
              <w:t xml:space="preserve"> 1</w:t>
            </w:r>
            <w:r w:rsidRPr="00693BE1">
              <w:rPr>
                <w:rFonts w:ascii="Times" w:eastAsia="Batang" w:hAnsi="Times"/>
                <w:sz w:val="20"/>
                <w:lang w:eastAsia="ko-KR"/>
              </w:rPr>
              <w:t>: Msg1-like content</w:t>
            </w:r>
          </w:p>
          <w:p w14:paraId="2173776B" w14:textId="77777777" w:rsidR="00CF7A8C" w:rsidRPr="00693BE1" w:rsidRDefault="009332AD">
            <w:pPr>
              <w:numPr>
                <w:ilvl w:val="0"/>
                <w:numId w:val="7"/>
              </w:numPr>
              <w:overflowPunct w:val="0"/>
              <w:autoSpaceDE w:val="0"/>
              <w:autoSpaceDN w:val="0"/>
              <w:adjustRightInd w:val="0"/>
              <w:contextualSpacing/>
              <w:textAlignment w:val="baseline"/>
              <w:rPr>
                <w:rFonts w:ascii="Times" w:eastAsia="Batang" w:hAnsi="Times"/>
                <w:sz w:val="20"/>
                <w:lang w:eastAsia="ko-KR"/>
              </w:rPr>
            </w:pPr>
            <w:r w:rsidRPr="00693BE1">
              <w:rPr>
                <w:rFonts w:ascii="Times" w:eastAsia="Batang" w:hAnsi="Times"/>
                <w:sz w:val="20"/>
                <w:lang w:eastAsia="ko-KR"/>
              </w:rPr>
              <w:t>Option 2: DO-A data payload</w:t>
            </w:r>
          </w:p>
          <w:p w14:paraId="57522C04" w14:textId="77777777" w:rsidR="00CF7A8C" w:rsidRPr="00693BE1" w:rsidRDefault="009332AD">
            <w:pPr>
              <w:numPr>
                <w:ilvl w:val="1"/>
                <w:numId w:val="7"/>
              </w:numPr>
              <w:overflowPunct w:val="0"/>
              <w:autoSpaceDE w:val="0"/>
              <w:autoSpaceDN w:val="0"/>
              <w:adjustRightInd w:val="0"/>
              <w:contextualSpacing/>
              <w:textAlignment w:val="baseline"/>
              <w:rPr>
                <w:rFonts w:ascii="Times" w:eastAsia="Batang" w:hAnsi="Times"/>
                <w:sz w:val="20"/>
                <w:lang w:eastAsia="ko-KR"/>
              </w:rPr>
            </w:pPr>
            <w:r w:rsidRPr="00693BE1">
              <w:rPr>
                <w:rFonts w:ascii="Times" w:eastAsia="Batang" w:hAnsi="Times"/>
                <w:sz w:val="20"/>
                <w:lang w:eastAsia="ko-KR"/>
              </w:rPr>
              <w:t>FFS: with or without device ID</w:t>
            </w:r>
          </w:p>
          <w:p w14:paraId="3CF38391" w14:textId="477BA79B" w:rsidR="00CF7A8C" w:rsidRPr="00693BE1" w:rsidRDefault="009332AD" w:rsidP="00693BE1">
            <w:pPr>
              <w:numPr>
                <w:ilvl w:val="0"/>
                <w:numId w:val="7"/>
              </w:numPr>
              <w:overflowPunct w:val="0"/>
              <w:autoSpaceDE w:val="0"/>
              <w:autoSpaceDN w:val="0"/>
              <w:adjustRightInd w:val="0"/>
              <w:contextualSpacing/>
              <w:textAlignment w:val="baseline"/>
              <w:rPr>
                <w:rFonts w:ascii="Times" w:eastAsia="Batang" w:hAnsi="Times"/>
                <w:szCs w:val="24"/>
                <w:lang w:eastAsia="ko-KR"/>
              </w:rPr>
            </w:pPr>
            <w:r w:rsidRPr="00693BE1">
              <w:rPr>
                <w:rFonts w:ascii="Times" w:eastAsia="Batang" w:hAnsi="Times"/>
                <w:sz w:val="20"/>
                <w:lang w:eastAsia="ko-KR"/>
              </w:rPr>
              <w:t>Option 3: DO-A scheduling request</w:t>
            </w:r>
          </w:p>
        </w:tc>
      </w:tr>
    </w:tbl>
    <w:p w14:paraId="22299B7B"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 xml:space="preserve">A solution similar to Option 2 was already studied for the random access procedure in the Rel-19 SI for A-IoT, and was captured in TR 38.868, see </w:t>
      </w:r>
      <w:r>
        <w:rPr>
          <w:rFonts w:eastAsia="宋体"/>
          <w:lang w:val="en-US" w:eastAsia="zh-CN"/>
        </w:rPr>
        <w:t>“Solution 2: A-IoT Msg1 with data”</w:t>
      </w:r>
      <w:r>
        <w:rPr>
          <w:rFonts w:eastAsia="宋体" w:hint="eastAsia"/>
          <w:lang w:val="en-US" w:eastAsia="zh-CN"/>
        </w:rPr>
        <w:t xml:space="preserve"> in Step 2 in clause 6.3.4. The solution was eventually not adopted in Rel-19 WI for A-IoT due to e.g. increased collision probability and wastage of overall radio resources. We don</w:t>
      </w:r>
      <w:r>
        <w:rPr>
          <w:rFonts w:eastAsia="宋体"/>
          <w:lang w:val="en-US" w:eastAsia="zh-CN"/>
        </w:rPr>
        <w:t>’</w:t>
      </w:r>
      <w:r>
        <w:rPr>
          <w:rFonts w:eastAsia="宋体" w:hint="eastAsia"/>
          <w:lang w:val="en-US" w:eastAsia="zh-CN"/>
        </w:rPr>
        <w:t>t think any further study of such a solution will bring any changes comparing to Rel-19.</w:t>
      </w:r>
    </w:p>
    <w:p w14:paraId="5B481942" w14:textId="77777777" w:rsidR="00CF7A8C" w:rsidRDefault="009332AD">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the content of the first D2R transmission for DO-A for Device 2b and for Device C,</w:t>
      </w:r>
    </w:p>
    <w:p w14:paraId="760510BF" w14:textId="77777777" w:rsidR="00CF7A8C" w:rsidRDefault="009332AD">
      <w:pPr>
        <w:widowControl w:val="0"/>
        <w:numPr>
          <w:ilvl w:val="3"/>
          <w:numId w:val="9"/>
        </w:numPr>
        <w:snapToGrid/>
        <w:spacing w:after="0" w:afterAutospacing="0"/>
        <w:rPr>
          <w:rFonts w:eastAsia="宋体"/>
          <w:lang w:val="en-US" w:eastAsia="zh-CN"/>
        </w:rPr>
      </w:pPr>
      <w:r>
        <w:rPr>
          <w:rFonts w:eastAsia="宋体" w:hint="eastAsia"/>
          <w:lang w:val="en-US" w:eastAsia="zh-CN"/>
        </w:rPr>
        <w:t>RAN1 to consider excluding Option 2: DO-A data payload.</w:t>
      </w:r>
    </w:p>
    <w:p w14:paraId="7CEE4B99" w14:textId="39C996BF" w:rsidR="00E2425C" w:rsidRDefault="00E2425C" w:rsidP="00E2425C">
      <w:pPr>
        <w:widowControl w:val="0"/>
        <w:tabs>
          <w:tab w:val="left" w:pos="420"/>
        </w:tabs>
        <w:snapToGrid/>
        <w:spacing w:after="0" w:afterAutospacing="0"/>
        <w:rPr>
          <w:rFonts w:eastAsia="宋体"/>
          <w:lang w:val="en-US" w:eastAsia="zh-CN"/>
        </w:rPr>
      </w:pPr>
    </w:p>
    <w:p w14:paraId="57682D30" w14:textId="5CBD09EC" w:rsidR="009F5D6C" w:rsidRPr="009F5D6C" w:rsidRDefault="009F5D6C" w:rsidP="009F5D6C">
      <w:pPr>
        <w:widowControl w:val="0"/>
        <w:tabs>
          <w:tab w:val="left" w:pos="420"/>
        </w:tabs>
        <w:snapToGrid/>
        <w:spacing w:after="0" w:afterAutospacing="0"/>
        <w:rPr>
          <w:rFonts w:eastAsia="宋体"/>
          <w:lang w:val="en-US" w:eastAsia="zh-CN"/>
        </w:rPr>
      </w:pPr>
      <w:r w:rsidRPr="009F5D6C">
        <w:rPr>
          <w:rFonts w:eastAsia="宋体"/>
          <w:lang w:val="en-US" w:eastAsia="zh-CN"/>
        </w:rPr>
        <w:t>Considering that the residual CFO and SFO still exhibit noticeable differences in magnitude between device 2b and device C, this leads to significantly different requirements on guard</w:t>
      </w:r>
      <w:r w:rsidR="00CC1321">
        <w:rPr>
          <w:rFonts w:eastAsia="宋体" w:hint="eastAsia"/>
          <w:lang w:val="en-US" w:eastAsia="zh-CN"/>
        </w:rPr>
        <w:t>-</w:t>
      </w:r>
      <w:r w:rsidRPr="009F5D6C">
        <w:rPr>
          <w:rFonts w:eastAsia="宋体"/>
          <w:lang w:val="en-US" w:eastAsia="zh-CN"/>
        </w:rPr>
        <w:t xml:space="preserve">band and time-jitter tolerance for the resource allocation of the first D2R transmission. Therefore, it may be worth studying whether these two device types should be distinguished early in the procedure or allocated </w:t>
      </w:r>
      <w:r>
        <w:rPr>
          <w:rFonts w:eastAsia="宋体" w:hint="eastAsia"/>
          <w:lang w:val="en-US" w:eastAsia="zh-CN"/>
        </w:rPr>
        <w:t xml:space="preserve">shared </w:t>
      </w:r>
      <w:r w:rsidRPr="009F5D6C">
        <w:rPr>
          <w:rFonts w:eastAsia="宋体"/>
          <w:lang w:val="en-US" w:eastAsia="zh-CN"/>
        </w:rPr>
        <w:t>resources for D2R transmission.</w:t>
      </w:r>
    </w:p>
    <w:p w14:paraId="45E44951" w14:textId="0CF7E15A" w:rsidR="009F5D6C" w:rsidRDefault="009F5D6C" w:rsidP="009F5D6C">
      <w:pPr>
        <w:widowControl w:val="0"/>
        <w:numPr>
          <w:ilvl w:val="0"/>
          <w:numId w:val="8"/>
        </w:numPr>
        <w:tabs>
          <w:tab w:val="left" w:pos="1418"/>
        </w:tabs>
        <w:snapToGrid/>
        <w:spacing w:before="240" w:after="0" w:afterAutospacing="0"/>
        <w:ind w:left="1440" w:hanging="1440"/>
        <w:rPr>
          <w:rFonts w:eastAsia="宋体"/>
          <w:lang w:val="en-US" w:eastAsia="zh-CN"/>
        </w:rPr>
      </w:pPr>
      <w:r w:rsidRPr="009F5D6C">
        <w:rPr>
          <w:rFonts w:eastAsia="宋体"/>
          <w:lang w:val="en-US" w:eastAsia="zh-CN"/>
        </w:rPr>
        <w:t xml:space="preserve">Study whether the resource allocation for the first D2R transmission should be shared </w:t>
      </w:r>
      <w:r w:rsidR="00D21234">
        <w:rPr>
          <w:rFonts w:eastAsia="宋体" w:hint="eastAsia"/>
          <w:lang w:val="en-US" w:eastAsia="zh-CN"/>
        </w:rPr>
        <w:t>for</w:t>
      </w:r>
      <w:r w:rsidRPr="009F5D6C">
        <w:rPr>
          <w:rFonts w:eastAsia="宋体"/>
          <w:lang w:val="en-US" w:eastAsia="zh-CN"/>
        </w:rPr>
        <w:t xml:space="preserve"> two device types or </w:t>
      </w:r>
      <w:r w:rsidR="00D21234">
        <w:rPr>
          <w:rFonts w:eastAsia="宋体" w:hint="eastAsia"/>
          <w:lang w:val="en-US" w:eastAsia="zh-CN"/>
        </w:rPr>
        <w:t xml:space="preserve">can be </w:t>
      </w:r>
      <w:r w:rsidRPr="009F5D6C">
        <w:rPr>
          <w:rFonts w:eastAsia="宋体"/>
          <w:lang w:val="en-US" w:eastAsia="zh-CN"/>
        </w:rPr>
        <w:t>provided separately.</w:t>
      </w:r>
    </w:p>
    <w:p w14:paraId="3D7C6A4B" w14:textId="77777777" w:rsidR="009F5D6C" w:rsidRDefault="009F5D6C" w:rsidP="009F5D6C">
      <w:pPr>
        <w:widowControl w:val="0"/>
        <w:tabs>
          <w:tab w:val="left" w:pos="420"/>
        </w:tabs>
        <w:snapToGrid/>
        <w:spacing w:after="0" w:afterAutospacing="0"/>
        <w:rPr>
          <w:rFonts w:eastAsia="宋体"/>
          <w:lang w:val="en-US" w:eastAsia="zh-CN"/>
        </w:rPr>
      </w:pPr>
    </w:p>
    <w:p w14:paraId="0CE1E78A" w14:textId="77777777" w:rsidR="00CF7A8C" w:rsidRDefault="009332AD">
      <w:pPr>
        <w:pStyle w:val="1"/>
        <w:spacing w:after="180"/>
        <w:rPr>
          <w:lang w:val="en-US"/>
        </w:rPr>
      </w:pPr>
      <w:r>
        <w:rPr>
          <w:lang w:val="en-US"/>
        </w:rPr>
        <w:t>Conclusion</w:t>
      </w:r>
    </w:p>
    <w:p w14:paraId="517C6423" w14:textId="7D8D9346" w:rsidR="00CF7A8C" w:rsidRDefault="009332AD">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procedures for DO-A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40FAB75A" w14:textId="77777777" w:rsidR="00CC1321" w:rsidRDefault="00CC1321" w:rsidP="00CC1321">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lastRenderedPageBreak/>
        <w:t>For Device 2b and Device C, both periodic and event-triggered DO-A traffic can be supported by using an autonomously triggered D2R transmission to trigger A-IoT paging.</w:t>
      </w:r>
    </w:p>
    <w:p w14:paraId="6D58D102" w14:textId="77777777" w:rsidR="00CC1321" w:rsidRDefault="00CC1321" w:rsidP="00CC1321">
      <w:pPr>
        <w:widowControl w:val="0"/>
        <w:numPr>
          <w:ilvl w:val="3"/>
          <w:numId w:val="9"/>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0357275A" w14:textId="77777777" w:rsidR="00CC1321" w:rsidRDefault="00CC1321" w:rsidP="00CC1321">
      <w:pPr>
        <w:widowControl w:val="0"/>
        <w:numPr>
          <w:ilvl w:val="3"/>
          <w:numId w:val="9"/>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7A8E18E6" w14:textId="77777777" w:rsidR="00CC1321" w:rsidRDefault="00CC1321" w:rsidP="00CC1321">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the content of the first D2R transmission for DO-A for Device 2b and for Device C,</w:t>
      </w:r>
    </w:p>
    <w:p w14:paraId="385E2F02" w14:textId="77777777" w:rsidR="00CC1321" w:rsidRDefault="00CC1321" w:rsidP="00CC1321">
      <w:pPr>
        <w:widowControl w:val="0"/>
        <w:numPr>
          <w:ilvl w:val="3"/>
          <w:numId w:val="9"/>
        </w:numPr>
        <w:snapToGrid/>
        <w:spacing w:after="0" w:afterAutospacing="0"/>
        <w:rPr>
          <w:rFonts w:eastAsia="宋体"/>
          <w:lang w:val="en-US" w:eastAsia="zh-CN"/>
        </w:rPr>
      </w:pPr>
      <w:r>
        <w:rPr>
          <w:rFonts w:eastAsia="宋体" w:hint="eastAsia"/>
          <w:lang w:val="en-US" w:eastAsia="zh-CN"/>
        </w:rPr>
        <w:t>RAN1 to consider excluding Option 2: DO-A data payload.</w:t>
      </w:r>
    </w:p>
    <w:p w14:paraId="63023D03" w14:textId="2B7E3266" w:rsidR="00CC1321" w:rsidRDefault="00CC1321" w:rsidP="00CC1321">
      <w:pPr>
        <w:widowControl w:val="0"/>
        <w:numPr>
          <w:ilvl w:val="0"/>
          <w:numId w:val="10"/>
        </w:numPr>
        <w:tabs>
          <w:tab w:val="left" w:pos="1418"/>
        </w:tabs>
        <w:snapToGrid/>
        <w:spacing w:before="240" w:after="0" w:afterAutospacing="0"/>
        <w:ind w:left="1440" w:hanging="1440"/>
        <w:rPr>
          <w:rFonts w:eastAsia="宋体"/>
          <w:lang w:val="en-US" w:eastAsia="zh-CN"/>
        </w:rPr>
      </w:pPr>
      <w:r w:rsidRPr="009F5D6C">
        <w:rPr>
          <w:rFonts w:eastAsia="宋体"/>
          <w:lang w:val="en-US" w:eastAsia="zh-CN"/>
        </w:rPr>
        <w:t xml:space="preserve">Study whether the resource allocation for the first D2R transmission should be shared </w:t>
      </w:r>
      <w:r w:rsidR="00D21234">
        <w:rPr>
          <w:rFonts w:eastAsia="宋体" w:hint="eastAsia"/>
          <w:lang w:val="en-US" w:eastAsia="zh-CN"/>
        </w:rPr>
        <w:t xml:space="preserve">for </w:t>
      </w:r>
      <w:r w:rsidRPr="009F5D6C">
        <w:rPr>
          <w:rFonts w:eastAsia="宋体"/>
          <w:lang w:val="en-US" w:eastAsia="zh-CN"/>
        </w:rPr>
        <w:t xml:space="preserve"> two device types or </w:t>
      </w:r>
      <w:r w:rsidR="00D21234">
        <w:rPr>
          <w:rFonts w:eastAsia="宋体" w:hint="eastAsia"/>
          <w:lang w:val="en-US" w:eastAsia="zh-CN"/>
        </w:rPr>
        <w:t xml:space="preserve">can be </w:t>
      </w:r>
      <w:r w:rsidRPr="009F5D6C">
        <w:rPr>
          <w:rFonts w:eastAsia="宋体"/>
          <w:lang w:val="en-US" w:eastAsia="zh-CN"/>
        </w:rPr>
        <w:t>provided separately.</w:t>
      </w:r>
    </w:p>
    <w:p w14:paraId="1B5CA4F3" w14:textId="50B81497" w:rsidR="00CF7A8C" w:rsidRDefault="00CF7A8C">
      <w:pPr>
        <w:spacing w:beforeLines="50" w:before="180" w:beforeAutospacing="1" w:afterLines="50" w:after="180" w:afterAutospacing="0"/>
        <w:rPr>
          <w:rFonts w:eastAsia="宋体"/>
          <w:lang w:val="en-US" w:eastAsia="zh-CN"/>
        </w:rPr>
      </w:pPr>
    </w:p>
    <w:p w14:paraId="3A8B8601" w14:textId="77777777" w:rsidR="00CF7A8C" w:rsidRDefault="009332AD">
      <w:pPr>
        <w:pStyle w:val="1"/>
        <w:spacing w:after="180"/>
        <w:rPr>
          <w:lang w:val="en-US"/>
        </w:rPr>
      </w:pPr>
      <w:r>
        <w:rPr>
          <w:lang w:val="en-US"/>
        </w:rPr>
        <w:t>References</w:t>
      </w:r>
    </w:p>
    <w:p w14:paraId="15A0A24B" w14:textId="77777777" w:rsidR="00CF7A8C" w:rsidRDefault="009332A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24764504"/>
      <w:r>
        <w:rPr>
          <w:rFonts w:eastAsia="MS Mincho" w:hint="eastAsia"/>
          <w:lang w:val="en-US" w:eastAsia="en-GB"/>
        </w:rPr>
        <w:t>RP-252964</w:t>
      </w:r>
      <w:r>
        <w:rPr>
          <w:rFonts w:eastAsia="MS Mincho"/>
          <w:lang w:val="en-US" w:eastAsia="en-GB"/>
        </w:rPr>
        <w:t>, “</w:t>
      </w:r>
      <w:r>
        <w:rPr>
          <w:rFonts w:eastAsia="MS Mincho" w:hint="eastAsia"/>
          <w:lang w:val="en-US" w:eastAsia="en-GB"/>
        </w:rPr>
        <w:t>Revised SID: Study on enhancements for solutions for Ambient IoT (Internet of Things) in NR outdoor for active devices</w:t>
      </w:r>
      <w:r>
        <w:rPr>
          <w:rFonts w:eastAsia="MS Mincho"/>
          <w:lang w:val="en-US" w:eastAsia="en-GB"/>
        </w:rPr>
        <w:t xml:space="preserve">”, </w:t>
      </w:r>
      <w:r>
        <w:rPr>
          <w:rFonts w:eastAsia="MS Mincho" w:hint="eastAsia"/>
          <w:lang w:val="en-US" w:eastAsia="en-GB"/>
        </w:rPr>
        <w:t>LG Electronics</w:t>
      </w:r>
      <w:r>
        <w:rPr>
          <w:rFonts w:eastAsia="MS Mincho"/>
          <w:lang w:val="en-US" w:eastAsia="en-GB"/>
        </w:rPr>
        <w:t>, RAN#10</w:t>
      </w:r>
      <w:r>
        <w:rPr>
          <w:rFonts w:eastAsia="宋体" w:hint="eastAsia"/>
          <w:lang w:val="en-US" w:eastAsia="zh-CN"/>
        </w:rPr>
        <w:t>9</w:t>
      </w:r>
      <w:r>
        <w:rPr>
          <w:rFonts w:eastAsia="MS Mincho"/>
          <w:lang w:val="en-US" w:eastAsia="en-GB"/>
        </w:rPr>
        <w:t>.</w:t>
      </w:r>
      <w:bookmarkEnd w:id="5"/>
    </w:p>
    <w:p w14:paraId="4E7EC720" w14:textId="77777777" w:rsidR="00CF7A8C" w:rsidRDefault="009332A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3969"/>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w:t>
      </w:r>
      <w:bookmarkEnd w:id="6"/>
    </w:p>
    <w:p w14:paraId="70A9F315" w14:textId="77777777" w:rsidR="00CF7A8C" w:rsidRDefault="009332A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7278"/>
      <w:r>
        <w:rPr>
          <w:rFonts w:eastAsia="MS Mincho" w:hint="eastAsia"/>
          <w:lang w:val="en-US" w:eastAsia="en-GB"/>
        </w:rPr>
        <w:t>RP-252894</w:t>
      </w:r>
      <w:r>
        <w:rPr>
          <w:rFonts w:eastAsia="MS Mincho"/>
          <w:lang w:val="en-US" w:eastAsia="en-GB"/>
        </w:rPr>
        <w:t>, “</w:t>
      </w:r>
      <w:r>
        <w:rPr>
          <w:rFonts w:eastAsia="MS Mincho" w:hint="eastAsia"/>
          <w:lang w:val="en-US" w:eastAsia="en-GB"/>
        </w:rPr>
        <w:t>Revised WI: Solutions for Ambient IoT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7"/>
    </w:p>
    <w:p w14:paraId="42DF7260" w14:textId="77777777" w:rsidR="00CF7A8C" w:rsidRDefault="009332A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24008"/>
      <w:r>
        <w:rPr>
          <w:rFonts w:eastAsia="MS Mincho" w:hint="eastAsia"/>
          <w:lang w:val="en-US" w:eastAsia="en-GB"/>
        </w:rPr>
        <w:t xml:space="preserve">RP-240826: </w:t>
      </w:r>
      <w:r>
        <w:rPr>
          <w:rFonts w:eastAsia="宋体"/>
          <w:lang w:val="en-US" w:eastAsia="zh-CN"/>
        </w:rPr>
        <w:t>“</w:t>
      </w:r>
      <w:r>
        <w:rPr>
          <w:rFonts w:eastAsia="MS Mincho" w:hint="eastAsia"/>
          <w:lang w:val="en-US" w:eastAsia="en-GB"/>
        </w:rPr>
        <w:t>Revised SID: Study on solutions for Ambient IoT (Internet of Things) in NR</w:t>
      </w:r>
      <w:r>
        <w:rPr>
          <w:rFonts w:eastAsia="宋体"/>
          <w:lang w:val="en-US" w:eastAsia="zh-CN"/>
        </w:rPr>
        <w:t>”</w:t>
      </w:r>
      <w:r>
        <w:rPr>
          <w:rFonts w:eastAsia="MS Mincho" w:hint="eastAsia"/>
          <w:lang w:val="en-US" w:eastAsia="en-GB"/>
        </w:rPr>
        <w:t>.</w:t>
      </w:r>
      <w:bookmarkEnd w:id="8"/>
    </w:p>
    <w:p w14:paraId="1133AF8F" w14:textId="77777777" w:rsidR="00CF7A8C" w:rsidRDefault="00CF7A8C"/>
    <w:sectPr w:rsidR="00CF7A8C">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C849" w14:textId="77777777" w:rsidR="00130CF1" w:rsidRDefault="00130CF1">
      <w:pPr>
        <w:spacing w:after="0"/>
      </w:pPr>
      <w:r>
        <w:separator/>
      </w:r>
    </w:p>
  </w:endnote>
  <w:endnote w:type="continuationSeparator" w:id="0">
    <w:p w14:paraId="632F0306" w14:textId="77777777" w:rsidR="00130CF1" w:rsidRDefault="00130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E99C" w14:textId="0CD4617F" w:rsidR="00CF7A8C" w:rsidRDefault="009332AD">
    <w:pPr>
      <w:pStyle w:val="a9"/>
      <w:jc w:val="center"/>
    </w:pPr>
    <w:r>
      <w:rPr>
        <w:b/>
      </w:rPr>
      <w:fldChar w:fldCharType="begin"/>
    </w:r>
    <w:r>
      <w:rPr>
        <w:b/>
      </w:rPr>
      <w:instrText>PAGE</w:instrText>
    </w:r>
    <w:r>
      <w:rPr>
        <w:b/>
      </w:rPr>
      <w:fldChar w:fldCharType="separate"/>
    </w:r>
    <w:r w:rsidR="00693BE1">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C5A8" w14:textId="77777777" w:rsidR="00130CF1" w:rsidRDefault="00130CF1">
      <w:pPr>
        <w:spacing w:after="0"/>
      </w:pPr>
      <w:r>
        <w:separator/>
      </w:r>
    </w:p>
  </w:footnote>
  <w:footnote w:type="continuationSeparator" w:id="0">
    <w:p w14:paraId="764FEF46" w14:textId="77777777" w:rsidR="00130CF1" w:rsidRDefault="00130C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A2D7" w14:textId="77777777" w:rsidR="00CF7A8C" w:rsidRDefault="00CF7A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625F1193"/>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num w:numId="1" w16cid:durableId="935284257">
    <w:abstractNumId w:val="7"/>
  </w:num>
  <w:num w:numId="2" w16cid:durableId="212039506">
    <w:abstractNumId w:val="1"/>
  </w:num>
  <w:num w:numId="3" w16cid:durableId="1256016386">
    <w:abstractNumId w:val="2"/>
  </w:num>
  <w:num w:numId="4" w16cid:durableId="1142500530">
    <w:abstractNumId w:val="8"/>
  </w:num>
  <w:num w:numId="5" w16cid:durableId="1958292090">
    <w:abstractNumId w:val="0"/>
  </w:num>
  <w:num w:numId="6" w16cid:durableId="611128204">
    <w:abstractNumId w:val="3"/>
  </w:num>
  <w:num w:numId="7" w16cid:durableId="302082745">
    <w:abstractNumId w:val="5"/>
  </w:num>
  <w:num w:numId="8" w16cid:durableId="790981185">
    <w:abstractNumId w:val="6"/>
  </w:num>
  <w:num w:numId="9" w16cid:durableId="536967514">
    <w:abstractNumId w:val="9"/>
  </w:num>
  <w:num w:numId="10" w16cid:durableId="1958488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65A9"/>
    <w:rsid w:val="000C61A1"/>
    <w:rsid w:val="000C753C"/>
    <w:rsid w:val="00130CF1"/>
    <w:rsid w:val="00131081"/>
    <w:rsid w:val="00132A78"/>
    <w:rsid w:val="001516A0"/>
    <w:rsid w:val="0017082B"/>
    <w:rsid w:val="001724A0"/>
    <w:rsid w:val="00183B4B"/>
    <w:rsid w:val="00193F7A"/>
    <w:rsid w:val="001A02A8"/>
    <w:rsid w:val="001A767A"/>
    <w:rsid w:val="00225B13"/>
    <w:rsid w:val="002579B3"/>
    <w:rsid w:val="002804C7"/>
    <w:rsid w:val="002B7B35"/>
    <w:rsid w:val="002D233F"/>
    <w:rsid w:val="002D5214"/>
    <w:rsid w:val="002E119A"/>
    <w:rsid w:val="002F0AB2"/>
    <w:rsid w:val="00301D43"/>
    <w:rsid w:val="0033458C"/>
    <w:rsid w:val="00342FE8"/>
    <w:rsid w:val="00356619"/>
    <w:rsid w:val="0037359D"/>
    <w:rsid w:val="003E3BAD"/>
    <w:rsid w:val="003F1BB8"/>
    <w:rsid w:val="003F4108"/>
    <w:rsid w:val="0040363B"/>
    <w:rsid w:val="00403CD6"/>
    <w:rsid w:val="004420D9"/>
    <w:rsid w:val="004455B5"/>
    <w:rsid w:val="00450704"/>
    <w:rsid w:val="00474E8B"/>
    <w:rsid w:val="004874D5"/>
    <w:rsid w:val="004A5A7E"/>
    <w:rsid w:val="004B399E"/>
    <w:rsid w:val="0052397A"/>
    <w:rsid w:val="00523DBE"/>
    <w:rsid w:val="0054112B"/>
    <w:rsid w:val="00567643"/>
    <w:rsid w:val="00571122"/>
    <w:rsid w:val="00582606"/>
    <w:rsid w:val="005E6EBB"/>
    <w:rsid w:val="006010E5"/>
    <w:rsid w:val="0061437A"/>
    <w:rsid w:val="00637B55"/>
    <w:rsid w:val="00670945"/>
    <w:rsid w:val="00693BE1"/>
    <w:rsid w:val="006A6636"/>
    <w:rsid w:val="006B06C2"/>
    <w:rsid w:val="006E0C43"/>
    <w:rsid w:val="006F3E18"/>
    <w:rsid w:val="0070356C"/>
    <w:rsid w:val="007224F2"/>
    <w:rsid w:val="00766308"/>
    <w:rsid w:val="00770C63"/>
    <w:rsid w:val="00772197"/>
    <w:rsid w:val="007A48FC"/>
    <w:rsid w:val="007B42DB"/>
    <w:rsid w:val="007F662E"/>
    <w:rsid w:val="0080110F"/>
    <w:rsid w:val="008061DA"/>
    <w:rsid w:val="00812B98"/>
    <w:rsid w:val="00826E73"/>
    <w:rsid w:val="00833587"/>
    <w:rsid w:val="008335FC"/>
    <w:rsid w:val="00855DDC"/>
    <w:rsid w:val="008C74ED"/>
    <w:rsid w:val="009121BB"/>
    <w:rsid w:val="009172EA"/>
    <w:rsid w:val="009332AD"/>
    <w:rsid w:val="009412B9"/>
    <w:rsid w:val="0095592C"/>
    <w:rsid w:val="009637E3"/>
    <w:rsid w:val="0097076F"/>
    <w:rsid w:val="009F3898"/>
    <w:rsid w:val="009F5D6C"/>
    <w:rsid w:val="00A6466A"/>
    <w:rsid w:val="00A770A4"/>
    <w:rsid w:val="00AF3235"/>
    <w:rsid w:val="00B0227E"/>
    <w:rsid w:val="00B20F54"/>
    <w:rsid w:val="00B27957"/>
    <w:rsid w:val="00B31D34"/>
    <w:rsid w:val="00B70030"/>
    <w:rsid w:val="00B95B6E"/>
    <w:rsid w:val="00C3548C"/>
    <w:rsid w:val="00C36B03"/>
    <w:rsid w:val="00C4624C"/>
    <w:rsid w:val="00C53987"/>
    <w:rsid w:val="00C74513"/>
    <w:rsid w:val="00C9137D"/>
    <w:rsid w:val="00C93438"/>
    <w:rsid w:val="00C9566F"/>
    <w:rsid w:val="00CA1860"/>
    <w:rsid w:val="00CC1321"/>
    <w:rsid w:val="00CF3293"/>
    <w:rsid w:val="00CF7A8C"/>
    <w:rsid w:val="00D02040"/>
    <w:rsid w:val="00D21234"/>
    <w:rsid w:val="00D24D00"/>
    <w:rsid w:val="00D25986"/>
    <w:rsid w:val="00D374A2"/>
    <w:rsid w:val="00D46D22"/>
    <w:rsid w:val="00D61F3E"/>
    <w:rsid w:val="00DB6575"/>
    <w:rsid w:val="00DD5BB0"/>
    <w:rsid w:val="00DE1E2A"/>
    <w:rsid w:val="00DF26C3"/>
    <w:rsid w:val="00DF2E77"/>
    <w:rsid w:val="00E2425C"/>
    <w:rsid w:val="00E47191"/>
    <w:rsid w:val="00E54F8C"/>
    <w:rsid w:val="00E551D9"/>
    <w:rsid w:val="00E77D83"/>
    <w:rsid w:val="00F03BEF"/>
    <w:rsid w:val="00F133B3"/>
    <w:rsid w:val="00F302D0"/>
    <w:rsid w:val="00F4229E"/>
    <w:rsid w:val="00F57504"/>
    <w:rsid w:val="00F66377"/>
    <w:rsid w:val="00F77A2B"/>
    <w:rsid w:val="00F9165D"/>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856685"/>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731A94"/>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4F6141"/>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BB5544"/>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F6ED9"/>
  <w15:docId w15:val="{8C87DD86-D02D-4602-A306-FA490A65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pPr>
      <w:jc w:val="left"/>
    </w:pPr>
  </w:style>
  <w:style w:type="paragraph" w:styleId="20">
    <w:name w:val="List 2"/>
    <w:basedOn w:val="a6"/>
    <w:qFormat/>
    <w:pPr>
      <w:ind w:left="851"/>
    </w:pPr>
  </w:style>
  <w:style w:type="paragraph" w:styleId="a6">
    <w:name w:val="List"/>
    <w:basedOn w:val="a0"/>
    <w:qFormat/>
    <w:pPr>
      <w:ind w:left="568" w:hanging="284"/>
    </w:pPr>
  </w:style>
  <w:style w:type="paragraph" w:styleId="a7">
    <w:name w:val="Balloon Text"/>
    <w:basedOn w:val="a0"/>
    <w:link w:val="a8"/>
    <w:qFormat/>
    <w:pPr>
      <w:spacing w:after="0"/>
    </w:pPr>
    <w:rPr>
      <w:sz w:val="18"/>
      <w:szCs w:val="18"/>
    </w:rPr>
  </w:style>
  <w:style w:type="paragraph" w:styleId="a9">
    <w:name w:val="footer"/>
    <w:basedOn w:val="a0"/>
    <w:uiPriority w:val="99"/>
    <w:qFormat/>
    <w:pPr>
      <w:tabs>
        <w:tab w:val="center" w:pos="4252"/>
        <w:tab w:val="right" w:pos="8504"/>
      </w:tabs>
    </w:pPr>
  </w:style>
  <w:style w:type="paragraph" w:styleId="aa">
    <w:name w:val="header"/>
    <w:basedOn w:val="a0"/>
    <w:uiPriority w:val="99"/>
    <w:qFormat/>
    <w:pPr>
      <w:widowControl w:val="0"/>
    </w:pPr>
    <w:rPr>
      <w:rFonts w:ascii="Arial" w:eastAsia="MS Mincho" w:hAnsi="Arial"/>
      <w:b/>
      <w:sz w:val="18"/>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8">
    <w:name w:val="批注框文本 字符"/>
    <w:basedOn w:val="a1"/>
    <w:link w:val="a7"/>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6"/>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character" w:styleId="af">
    <w:name w:val="annotation reference"/>
    <w:basedOn w:val="a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4</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14</cp:revision>
  <dcterms:created xsi:type="dcterms:W3CDTF">2023-12-27T23:54:00Z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85FACE9897794C12986C81F9FA085E1E_13</vt:lpwstr>
  </property>
  <property fmtid="{D5CDD505-2E9C-101B-9397-08002B2CF9AE}" pid="4" name="KSOTemplateDocerSaveRecord">
    <vt:lpwstr>eyJoZGlkIjoiNjg5YTE3M2RiMjhjZDUyY2MxZjU4MzFhNTRmNWZiNWEiLCJ1c2VySWQiOiI0NDM1NzkyNzAifQ==</vt:lpwstr>
  </property>
</Properties>
</file>