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b/>
          <w:bCs/>
          <w:sz w:val="22"/>
          <w:szCs w:val="22"/>
        </w:rPr>
        <w:t>2</w:t>
      </w:r>
      <w:r>
        <w:rPr>
          <w:rFonts w:hint="eastAsia"/>
          <w:b/>
          <w:bCs/>
          <w:sz w:val="22"/>
          <w:szCs w:val="22"/>
        </w:rPr>
        <w:t>3</w:t>
      </w:r>
      <w:r>
        <w:rPr>
          <w:b/>
          <w:bCs/>
          <w:sz w:val="22"/>
          <w:szCs w:val="22"/>
          <w:lang w:eastAsia="ja-JP"/>
        </w:rPr>
        <w:tab/>
      </w:r>
      <w:r>
        <w:rPr>
          <w:b/>
          <w:bCs/>
          <w:sz w:val="22"/>
          <w:szCs w:val="22"/>
          <w:lang w:eastAsia="ja-JP"/>
        </w:rPr>
        <w:tab/>
      </w:r>
      <w:r>
        <w:rPr>
          <w:b/>
          <w:bCs/>
          <w:sz w:val="22"/>
          <w:szCs w:val="22"/>
          <w:lang w:eastAsia="ja-JP"/>
        </w:rPr>
        <w:t xml:space="preserve">                                   R1-25</w:t>
      </w:r>
      <w:r>
        <w:rPr>
          <w:rFonts w:hint="eastAsia"/>
          <w:b/>
          <w:bCs/>
          <w:sz w:val="22"/>
          <w:szCs w:val="22"/>
        </w:rPr>
        <w:t>0</w:t>
      </w:r>
      <w:r>
        <w:rPr>
          <w:rFonts w:hint="eastAsia"/>
          <w:b/>
          <w:bCs/>
          <w:sz w:val="22"/>
          <w:szCs w:val="22"/>
          <w:lang w:eastAsia="ja-JP"/>
        </w:rPr>
        <w:t>8814</w:t>
      </w:r>
    </w:p>
    <w:p>
      <w:pPr>
        <w:spacing w:before="120" w:after="120"/>
        <w:rPr>
          <w:b/>
          <w:bCs/>
          <w:sz w:val="22"/>
          <w:szCs w:val="22"/>
        </w:rPr>
      </w:pPr>
      <w:r>
        <w:rPr>
          <w:rFonts w:hint="eastAsia"/>
          <w:b/>
          <w:bCs/>
          <w:sz w:val="22"/>
          <w:szCs w:val="22"/>
          <w:lang w:val="de-DE"/>
        </w:rPr>
        <w:t>Dallas, USA, Nov 17</w:t>
      </w:r>
      <w:r>
        <w:rPr>
          <w:rFonts w:hint="eastAsia"/>
          <w:b/>
          <w:bCs/>
          <w:sz w:val="22"/>
          <w:szCs w:val="22"/>
          <w:vertAlign w:val="superscript"/>
          <w:lang w:val="de-DE"/>
        </w:rPr>
        <w:t>th</w:t>
      </w:r>
      <w:r>
        <w:rPr>
          <w:rFonts w:hint="eastAsia"/>
          <w:b/>
          <w:bCs/>
          <w:sz w:val="22"/>
          <w:szCs w:val="22"/>
        </w:rPr>
        <w:t xml:space="preserve"> - </w:t>
      </w:r>
      <w:r>
        <w:rPr>
          <w:rFonts w:hint="eastAsia"/>
          <w:b/>
          <w:bCs/>
          <w:sz w:val="22"/>
          <w:szCs w:val="22"/>
          <w:lang w:val="de-DE"/>
        </w:rPr>
        <w:t>21</w:t>
      </w:r>
      <w:r>
        <w:rPr>
          <w:rFonts w:hint="eastAsia"/>
          <w:b/>
          <w:bCs/>
          <w:sz w:val="22"/>
          <w:szCs w:val="22"/>
          <w:vertAlign w:val="superscript"/>
          <w:lang w:val="de-DE"/>
        </w:rPr>
        <w:t>st</w:t>
      </w:r>
      <w:r>
        <w:rPr>
          <w:rFonts w:hint="eastAsia"/>
          <w:b/>
          <w:bCs/>
          <w:sz w:val="22"/>
          <w:szCs w:val="22"/>
          <w:lang w:val="de-DE"/>
        </w:rPr>
        <w:t>, 202</w:t>
      </w:r>
      <w:r>
        <w:rPr>
          <w:rFonts w:hint="eastAsia"/>
          <w:b/>
          <w:bCs/>
          <w:sz w:val="22"/>
          <w:szCs w:val="22"/>
          <w:lang w:eastAsia="ja-JP"/>
        </w:rPr>
        <w:t>5</w:t>
      </w:r>
    </w:p>
    <w:p>
      <w:pPr>
        <w:tabs>
          <w:tab w:val="left" w:pos="1985"/>
        </w:tabs>
        <w:spacing w:before="240" w:beforeLines="100" w:after="120"/>
        <w:rPr>
          <w:b/>
          <w:sz w:val="22"/>
          <w:szCs w:val="22"/>
        </w:rPr>
      </w:pPr>
      <w:r>
        <w:rPr>
          <w:b/>
          <w:sz w:val="22"/>
          <w:szCs w:val="22"/>
        </w:rPr>
        <w:t xml:space="preserve">Title: </w:t>
      </w:r>
      <w:r>
        <w:rPr>
          <w:b/>
          <w:sz w:val="22"/>
          <w:szCs w:val="22"/>
        </w:rPr>
        <w:tab/>
      </w:r>
      <w:r>
        <w:rPr>
          <w:rFonts w:hint="eastAsia"/>
          <w:b/>
          <w:sz w:val="22"/>
          <w:szCs w:val="22"/>
        </w:rPr>
        <w:t>Discussion on remaining issues of Rel-19 NES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Corporation,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8.5</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Introduction</w:t>
      </w:r>
    </w:p>
    <w:p>
      <w:pPr>
        <w:spacing w:before="120" w:after="120"/>
      </w:pPr>
      <w:r>
        <w:rPr>
          <w:szCs w:val="21"/>
          <w:lang w:bidi="ar"/>
        </w:rPr>
        <w:t xml:space="preserve">In this contribution, </w:t>
      </w:r>
      <w:r>
        <w:rPr>
          <w:rFonts w:hint="eastAsia"/>
          <w:szCs w:val="21"/>
          <w:lang w:bidi="ar"/>
        </w:rPr>
        <w:t>discussion on</w:t>
      </w:r>
      <w:r>
        <w:rPr>
          <w:szCs w:val="21"/>
          <w:lang w:bidi="ar"/>
        </w:rPr>
        <w:t xml:space="preserve"> </w:t>
      </w:r>
      <w:r>
        <w:rPr>
          <w:rFonts w:hint="eastAsia"/>
          <w:szCs w:val="21"/>
        </w:rPr>
        <w:t>network energy saving for NR are</w:t>
      </w:r>
      <w:r>
        <w:rPr>
          <w:szCs w:val="21"/>
          <w:lang w:bidi="ar"/>
        </w:rPr>
        <w:t xml:space="preserve"> provided.</w:t>
      </w:r>
    </w:p>
    <w:p>
      <w:pPr>
        <w:pStyle w:val="2"/>
        <w:spacing w:before="120" w:after="120"/>
        <w:ind w:left="0"/>
        <w:rPr>
          <w:rFonts w:ascii="Times New Roman" w:hAnsi="Times New Roman"/>
        </w:rPr>
      </w:pPr>
      <w:r>
        <w:rPr>
          <w:rFonts w:hint="eastAsia" w:ascii="Times New Roman" w:hAnsi="Times New Roman" w:eastAsia="宋体"/>
          <w:b/>
          <w:bCs/>
          <w:sz w:val="24"/>
          <w:szCs w:val="24"/>
        </w:rPr>
        <w:t>Discussion on on-demand SSB for SCell</w:t>
      </w:r>
      <w:r>
        <w:rPr>
          <w:rFonts w:ascii="Times New Roman" w:hAnsi="Times New Roman" w:eastAsia="宋体"/>
          <w:b/>
          <w:bCs/>
          <w:sz w:val="24"/>
          <w:szCs w:val="24"/>
        </w:rPr>
        <w:t xml:space="preserve"> </w:t>
      </w:r>
      <w:r>
        <w:rPr>
          <w:rFonts w:ascii="Times New Roman" w:hAnsi="Times New Roman" w:eastAsia="宋体"/>
          <w:b/>
          <w:bCs/>
          <w:sz w:val="28"/>
          <w:szCs w:val="28"/>
        </w:rPr>
        <w:t xml:space="preserve"> </w:t>
      </w:r>
      <w:r>
        <w:rPr>
          <w:rFonts w:ascii="Times New Roman" w:hAnsi="Times New Roman" w:eastAsia="宋体"/>
        </w:rPr>
        <w:t xml:space="preserve"> </w:t>
      </w:r>
      <w:bookmarkStart w:id="0" w:name="_Toc82"/>
      <w:bookmarkEnd w:id="0"/>
      <w:bookmarkStart w:id="1" w:name="_Toc29089"/>
      <w:bookmarkEnd w:id="1"/>
      <w:bookmarkStart w:id="2" w:name="_Toc525"/>
      <w:bookmarkEnd w:id="2"/>
      <w:bookmarkStart w:id="3" w:name="_Toc29400"/>
      <w:bookmarkEnd w:id="3"/>
    </w:p>
    <w:p>
      <w:pPr>
        <w:widowControl w:val="0"/>
        <w:spacing w:before="120" w:after="120"/>
        <w:rPr>
          <w:szCs w:val="21"/>
        </w:rPr>
      </w:pPr>
      <w:r>
        <w:rPr>
          <w:rFonts w:hint="eastAsia"/>
          <w:szCs w:val="21"/>
        </w:rPr>
        <w:t>In 3GPP RAN1#122b meeting, OD-SSB collision handling was discussed and the following proposal was summarized.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4"/>
              <w:spacing w:after="120"/>
              <w:ind w:left="720" w:hanging="720"/>
              <w:rPr>
                <w:sz w:val="21"/>
                <w:szCs w:val="21"/>
                <w:u w:val="single"/>
                <w:lang w:eastAsia="ko-KR"/>
              </w:rPr>
            </w:pPr>
            <w:r>
              <w:rPr>
                <w:rFonts w:hint="eastAsia"/>
                <w:sz w:val="21"/>
                <w:szCs w:val="21"/>
                <w:highlight w:val="cyan"/>
                <w:u w:val="single"/>
                <w:lang w:eastAsia="ko-KR"/>
              </w:rPr>
              <w:t>Proposal #8-2a</w:t>
            </w:r>
            <w:r>
              <w:rPr>
                <w:sz w:val="21"/>
                <w:szCs w:val="21"/>
                <w:highlight w:val="cyan"/>
                <w:u w:val="single"/>
                <w:lang w:eastAsia="ko-KR"/>
              </w:rPr>
              <w:t>:</w:t>
            </w:r>
          </w:p>
          <w:p>
            <w:pPr>
              <w:spacing w:before="120" w:after="120"/>
              <w:contextualSpacing/>
              <w:rPr>
                <w:rFonts w:cs="Arial"/>
                <w:szCs w:val="21"/>
                <w:lang w:eastAsia="ko-KR"/>
              </w:rPr>
            </w:pPr>
            <w:r>
              <w:rPr>
                <w:szCs w:val="21"/>
                <w:lang w:eastAsia="ko-KR"/>
              </w:rPr>
              <w:t>For a cell supporting on-demand SSB SCell operation, the following features consider “</w:t>
            </w:r>
            <w:r>
              <w:rPr>
                <w:b/>
                <w:bCs/>
                <w:szCs w:val="21"/>
                <w:lang w:eastAsia="ko-KR"/>
              </w:rPr>
              <w:t>OD-SSB</w:t>
            </w:r>
            <w:r>
              <w:rPr>
                <w:rFonts w:hint="eastAsia"/>
                <w:b/>
                <w:bCs/>
                <w:szCs w:val="21"/>
                <w:lang w:eastAsia="ko-KR"/>
              </w:rPr>
              <w:t xml:space="preserve"> based on </w:t>
            </w:r>
            <w:r>
              <w:rPr>
                <w:rFonts w:hint="eastAsia"/>
                <w:b/>
                <w:bCs/>
                <w:i/>
                <w:iCs/>
                <w:szCs w:val="21"/>
                <w:lang w:eastAsia="ko-KR"/>
              </w:rPr>
              <w:t>od-ssb-config</w:t>
            </w:r>
            <w:r>
              <w:rPr>
                <w:szCs w:val="21"/>
                <w:lang w:eastAsia="ko-KR"/>
              </w:rPr>
              <w:t>” same as legacy SSB transmission.</w:t>
            </w:r>
          </w:p>
          <w:p>
            <w:pPr>
              <w:pStyle w:val="40"/>
              <w:numPr>
                <w:ilvl w:val="0"/>
                <w:numId w:val="5"/>
              </w:numPr>
              <w:spacing w:after="120"/>
              <w:rPr>
                <w:sz w:val="21"/>
                <w:szCs w:val="21"/>
                <w:lang w:eastAsia="ko-KR"/>
              </w:rPr>
            </w:pPr>
            <w:r>
              <w:rPr>
                <w:sz w:val="21"/>
                <w:szCs w:val="21"/>
                <w:lang w:eastAsia="ko-KR"/>
              </w:rPr>
              <w:t>PUSCH available slot counting (as described in Clause 6.1.2.1 of TS 38.214)</w:t>
            </w:r>
          </w:p>
          <w:p>
            <w:pPr>
              <w:pStyle w:val="40"/>
              <w:numPr>
                <w:ilvl w:val="0"/>
                <w:numId w:val="5"/>
              </w:numPr>
              <w:spacing w:after="120"/>
              <w:rPr>
                <w:sz w:val="21"/>
                <w:szCs w:val="21"/>
                <w:lang w:eastAsia="ko-KR"/>
              </w:rPr>
            </w:pPr>
            <w:r>
              <w:rPr>
                <w:sz w:val="21"/>
                <w:szCs w:val="21"/>
                <w:lang w:eastAsia="ko-KR"/>
              </w:rPr>
              <w:t>PUSCH transmissions, e.g., repetition types A and B, TBoMS, CG-PUSCH (as described in Clause 6.1.2.3 of TS 38.214)</w:t>
            </w:r>
          </w:p>
          <w:p>
            <w:pPr>
              <w:pStyle w:val="40"/>
              <w:numPr>
                <w:ilvl w:val="0"/>
                <w:numId w:val="5"/>
              </w:numPr>
              <w:spacing w:after="120"/>
              <w:rPr>
                <w:sz w:val="21"/>
                <w:szCs w:val="21"/>
                <w:lang w:eastAsia="ko-KR"/>
              </w:rPr>
            </w:pPr>
            <w:r>
              <w:rPr>
                <w:sz w:val="21"/>
                <w:szCs w:val="21"/>
                <w:lang w:eastAsia="ko-KR"/>
              </w:rPr>
              <w:t>Multi-PUSCH scheduling by a single DCI (as described in Clauses 6.1 and 6.1.2.1 of TS 38.214)</w:t>
            </w:r>
          </w:p>
          <w:p>
            <w:pPr>
              <w:pStyle w:val="40"/>
              <w:numPr>
                <w:ilvl w:val="0"/>
                <w:numId w:val="5"/>
              </w:numPr>
              <w:spacing w:after="120"/>
              <w:rPr>
                <w:sz w:val="21"/>
                <w:szCs w:val="21"/>
                <w:lang w:eastAsia="ko-KR"/>
              </w:rPr>
            </w:pPr>
            <w:r>
              <w:rPr>
                <w:sz w:val="21"/>
                <w:szCs w:val="21"/>
                <w:lang w:eastAsia="ko-KR"/>
              </w:rPr>
              <w:t>PUCCH repetition (as described in Clause 9.2.6 of TS 38.213)</w:t>
            </w:r>
          </w:p>
          <w:p>
            <w:pPr>
              <w:pStyle w:val="40"/>
              <w:numPr>
                <w:ilvl w:val="0"/>
                <w:numId w:val="5"/>
              </w:numPr>
              <w:spacing w:after="120"/>
              <w:rPr>
                <w:sz w:val="21"/>
                <w:szCs w:val="21"/>
                <w:lang w:eastAsia="ko-KR"/>
              </w:rPr>
            </w:pPr>
            <w:r>
              <w:rPr>
                <w:sz w:val="21"/>
                <w:szCs w:val="21"/>
                <w:lang w:eastAsia="ko-KR"/>
              </w:rPr>
              <w:t>PUCCH deferral (as described in Clause 9.2.5.4 of TS 38.213)</w:t>
            </w:r>
          </w:p>
          <w:p>
            <w:pPr>
              <w:pStyle w:val="40"/>
              <w:numPr>
                <w:ilvl w:val="0"/>
                <w:numId w:val="5"/>
              </w:numPr>
              <w:spacing w:after="120"/>
              <w:rPr>
                <w:sz w:val="21"/>
                <w:szCs w:val="21"/>
                <w:lang w:eastAsia="ko-KR"/>
              </w:rPr>
            </w:pPr>
            <w:r>
              <w:rPr>
                <w:sz w:val="21"/>
                <w:szCs w:val="21"/>
                <w:lang w:eastAsia="ko-KR"/>
              </w:rPr>
              <w:t>UTO-UCI (as described in Clause 9.3.1 of TS 38.214)</w:t>
            </w:r>
          </w:p>
          <w:p>
            <w:pPr>
              <w:pStyle w:val="40"/>
              <w:numPr>
                <w:ilvl w:val="0"/>
                <w:numId w:val="5"/>
              </w:numPr>
              <w:spacing w:after="120"/>
              <w:rPr>
                <w:sz w:val="21"/>
                <w:szCs w:val="21"/>
                <w:lang w:eastAsia="ko-KR"/>
              </w:rPr>
            </w:pPr>
            <w:r>
              <w:rPr>
                <w:rFonts w:hint="eastAsia"/>
                <w:sz w:val="21"/>
                <w:szCs w:val="21"/>
                <w:lang w:eastAsia="ko-KR"/>
              </w:rPr>
              <w:t>CPU occupancy (as described in Clause 5.2.1.6 of TS 38.214)</w:t>
            </w:r>
          </w:p>
          <w:p>
            <w:pPr>
              <w:spacing w:before="120" w:after="120"/>
              <w:contextualSpacing/>
              <w:rPr>
                <w:szCs w:val="21"/>
                <w:lang w:eastAsia="ko-KR"/>
              </w:rPr>
            </w:pPr>
            <w:r>
              <w:rPr>
                <w:rFonts w:hint="eastAsia"/>
                <w:szCs w:val="21"/>
                <w:lang w:eastAsia="ko-KR"/>
              </w:rPr>
              <w:t xml:space="preserve">, where </w:t>
            </w:r>
            <w:r>
              <w:rPr>
                <w:szCs w:val="21"/>
                <w:lang w:eastAsia="ko-KR"/>
              </w:rPr>
              <w:t>“</w:t>
            </w:r>
            <w:r>
              <w:rPr>
                <w:b/>
                <w:bCs/>
                <w:szCs w:val="21"/>
                <w:lang w:eastAsia="ko-KR"/>
              </w:rPr>
              <w:t>OD-SSB</w:t>
            </w:r>
            <w:r>
              <w:rPr>
                <w:rFonts w:hint="eastAsia"/>
                <w:b/>
                <w:bCs/>
                <w:szCs w:val="21"/>
                <w:lang w:eastAsia="ko-KR"/>
              </w:rPr>
              <w:t xml:space="preserve"> based on </w:t>
            </w:r>
            <w:r>
              <w:rPr>
                <w:rFonts w:hint="eastAsia"/>
                <w:b/>
                <w:bCs/>
                <w:i/>
                <w:iCs/>
                <w:szCs w:val="21"/>
                <w:lang w:eastAsia="ko-KR"/>
              </w:rPr>
              <w:t>od-ssb-config</w:t>
            </w:r>
            <w:r>
              <w:rPr>
                <w:szCs w:val="21"/>
                <w:lang w:eastAsia="ko-KR"/>
              </w:rPr>
              <w:t>”</w:t>
            </w:r>
            <w:r>
              <w:rPr>
                <w:rFonts w:hint="eastAsia"/>
                <w:szCs w:val="21"/>
                <w:lang w:eastAsia="ko-KR"/>
              </w:rPr>
              <w:t xml:space="preserve"> implies</w:t>
            </w:r>
          </w:p>
          <w:p>
            <w:pPr>
              <w:pStyle w:val="40"/>
              <w:numPr>
                <w:ilvl w:val="0"/>
                <w:numId w:val="5"/>
              </w:numPr>
              <w:spacing w:after="120"/>
              <w:rPr>
                <w:sz w:val="21"/>
                <w:szCs w:val="21"/>
                <w:lang w:eastAsia="ko-KR"/>
              </w:rPr>
            </w:pPr>
            <w:r>
              <w:rPr>
                <w:rFonts w:hint="eastAsia"/>
                <w:sz w:val="21"/>
                <w:szCs w:val="21"/>
                <w:lang w:eastAsia="ko-KR"/>
              </w:rPr>
              <w:t xml:space="preserve">Alt 1: </w:t>
            </w:r>
            <w:r>
              <w:rPr>
                <w:sz w:val="21"/>
                <w:szCs w:val="21"/>
                <w:lang w:eastAsia="ko-KR"/>
              </w:rPr>
              <w:t>OD-SSB transmission indicated by RRC/MAC CE (i.e., as described in Clause 4.4 of TS 38.213)</w:t>
            </w:r>
          </w:p>
          <w:p>
            <w:pPr>
              <w:pStyle w:val="40"/>
              <w:numPr>
                <w:ilvl w:val="0"/>
                <w:numId w:val="5"/>
              </w:numPr>
              <w:spacing w:after="120"/>
              <w:rPr>
                <w:sz w:val="21"/>
                <w:szCs w:val="21"/>
              </w:rPr>
            </w:pPr>
            <w:r>
              <w:rPr>
                <w:rFonts w:hint="eastAsia"/>
                <w:sz w:val="21"/>
                <w:szCs w:val="21"/>
                <w:lang w:eastAsia="ko-KR"/>
              </w:rPr>
              <w:t xml:space="preserve">Alt 2: </w:t>
            </w:r>
            <w:r>
              <w:rPr>
                <w:sz w:val="21"/>
                <w:szCs w:val="21"/>
                <w:lang w:eastAsia="ko-KR"/>
              </w:rPr>
              <w:t xml:space="preserve">OD-SSB </w:t>
            </w:r>
            <w:r>
              <w:rPr>
                <w:rFonts w:hint="eastAsia"/>
                <w:sz w:val="21"/>
                <w:szCs w:val="21"/>
                <w:lang w:eastAsia="ko-KR"/>
              </w:rPr>
              <w:t>occasions determined by</w:t>
            </w:r>
            <w:r>
              <w:rPr>
                <w:rFonts w:hint="eastAsia" w:eastAsia="Malgun Gothic"/>
                <w:sz w:val="21"/>
                <w:szCs w:val="21"/>
                <w:lang w:eastAsia="ko-KR"/>
              </w:rPr>
              <w:t xml:space="preserve"> </w:t>
            </w:r>
            <w:r>
              <w:rPr>
                <w:sz w:val="21"/>
                <w:szCs w:val="21"/>
                <w:lang w:eastAsia="ko-KR"/>
              </w:rPr>
              <w:t xml:space="preserve">all the SSB indices configured by </w:t>
            </w:r>
            <w:r>
              <w:rPr>
                <w:rFonts w:hint="eastAsia"/>
                <w:sz w:val="21"/>
                <w:szCs w:val="21"/>
                <w:lang w:eastAsia="ko-KR"/>
              </w:rPr>
              <w:t xml:space="preserve">all configured value(s) of </w:t>
            </w:r>
            <w:r>
              <w:rPr>
                <w:i/>
                <w:iCs/>
                <w:sz w:val="21"/>
                <w:szCs w:val="21"/>
                <w:lang w:eastAsia="ko-KR"/>
              </w:rPr>
              <w:t>od-ssb-PositionsInBurst</w:t>
            </w:r>
            <w:r>
              <w:rPr>
                <w:rFonts w:hint="eastAsia"/>
                <w:sz w:val="21"/>
                <w:szCs w:val="21"/>
                <w:lang w:eastAsia="ko-KR"/>
              </w:rPr>
              <w:t xml:space="preserve"> in RRC</w:t>
            </w:r>
          </w:p>
        </w:tc>
      </w:tr>
    </w:tbl>
    <w:p>
      <w:pPr>
        <w:widowControl w:val="0"/>
        <w:spacing w:before="120" w:after="120"/>
        <w:rPr>
          <w:szCs w:val="21"/>
        </w:rPr>
      </w:pPr>
      <w:r>
        <w:rPr>
          <w:rFonts w:hint="eastAsia"/>
          <w:szCs w:val="21"/>
        </w:rPr>
        <w:t>In last meeting, it</w:t>
      </w:r>
      <w:r>
        <w:rPr>
          <w:szCs w:val="21"/>
        </w:rPr>
        <w:t>’</w:t>
      </w:r>
      <w:r>
        <w:rPr>
          <w:rFonts w:hint="eastAsia"/>
          <w:szCs w:val="21"/>
        </w:rPr>
        <w:t xml:space="preserve">s the common understanding that this issue needs to be resolved. And the UE procedures for OD-SSB can be </w:t>
      </w:r>
      <w:r>
        <w:rPr>
          <w:szCs w:val="21"/>
          <w:lang w:eastAsia="ko-KR"/>
        </w:rPr>
        <w:t xml:space="preserve">same as </w:t>
      </w:r>
      <w:r>
        <w:rPr>
          <w:rFonts w:hint="eastAsia"/>
          <w:szCs w:val="21"/>
        </w:rPr>
        <w:t xml:space="preserve">that of </w:t>
      </w:r>
      <w:r>
        <w:rPr>
          <w:szCs w:val="21"/>
          <w:lang w:eastAsia="ko-KR"/>
        </w:rPr>
        <w:t>legacy SSB</w:t>
      </w:r>
      <w:r>
        <w:rPr>
          <w:szCs w:val="21"/>
        </w:rPr>
        <w:t>.</w:t>
      </w:r>
      <w:r>
        <w:rPr>
          <w:rFonts w:hint="eastAsia"/>
          <w:szCs w:val="21"/>
        </w:rPr>
        <w:t xml:space="preserve"> </w:t>
      </w:r>
    </w:p>
    <w:p>
      <w:pPr>
        <w:widowControl w:val="0"/>
        <w:spacing w:before="120" w:after="120"/>
        <w:rPr>
          <w:szCs w:val="21"/>
        </w:rPr>
      </w:pPr>
      <w:r>
        <w:rPr>
          <w:rFonts w:hint="eastAsia"/>
          <w:szCs w:val="21"/>
        </w:rPr>
        <w:t xml:space="preserve">Besides, in TS 38.213 [1], the OD-SSB based on </w:t>
      </w:r>
      <w:r>
        <w:rPr>
          <w:rFonts w:hint="eastAsia"/>
          <w:i/>
          <w:iCs/>
          <w:szCs w:val="21"/>
        </w:rPr>
        <w:t>od-ssb-config</w:t>
      </w:r>
      <w:r>
        <w:rPr>
          <w:rFonts w:hint="eastAsia"/>
          <w:szCs w:val="21"/>
        </w:rPr>
        <w:t xml:space="preserve"> is interpreted as OD-SSB transmission indicated by RRC/MAC CE. To ensure consistent understanding among different specification and different chapters, this interpretation can also be adopted when handling OD-SSB collision issues. Therefore, Alt 1 in the proposal #8-2 is preferred.</w:t>
      </w:r>
    </w:p>
    <w:p>
      <w:pPr>
        <w:widowControl w:val="0"/>
        <w:spacing w:before="120" w:after="120"/>
        <w:rPr>
          <w:szCs w:val="21"/>
        </w:rPr>
      </w:pPr>
      <w:r>
        <w:rPr>
          <w:rFonts w:hint="eastAsia"/>
          <w:szCs w:val="21"/>
        </w:rPr>
        <w:t>In TS 38.214 [2], the UE procedures for</w:t>
      </w:r>
      <w:r>
        <w:rPr>
          <w:color w:val="000000"/>
        </w:rPr>
        <w:t xml:space="preserve"> </w:t>
      </w:r>
      <w:r>
        <w:rPr>
          <w:rFonts w:hint="eastAsia"/>
          <w:color w:val="000000"/>
        </w:rPr>
        <w:t>processing an</w:t>
      </w:r>
      <w:r>
        <w:rPr>
          <w:rFonts w:hint="eastAsia"/>
          <w:szCs w:val="21"/>
        </w:rPr>
        <w:t xml:space="preserve"> SS/PBCH block (e.g., the symbol(s) of an SS/PBCH block occupied, etc.) refers to an SS/PBCH block with index provided by </w:t>
      </w:r>
      <w:r>
        <w:rPr>
          <w:rFonts w:hint="eastAsia"/>
          <w:i/>
          <w:iCs/>
          <w:szCs w:val="21"/>
        </w:rPr>
        <w:t>ssb-PositionsInBurst</w:t>
      </w:r>
      <w:r>
        <w:rPr>
          <w:rFonts w:hint="eastAsia"/>
          <w:szCs w:val="21"/>
        </w:rPr>
        <w:t xml:space="preserve">. When </w:t>
      </w:r>
      <w:r>
        <w:rPr>
          <w:rFonts w:eastAsia="Batang"/>
          <w:i/>
          <w:iCs/>
          <w:lang w:eastAsia="ko-KR"/>
        </w:rPr>
        <w:t>od-ssb-config</w:t>
      </w:r>
      <w:r>
        <w:rPr>
          <w:rFonts w:hint="eastAsia"/>
          <w:szCs w:val="21"/>
        </w:rPr>
        <w:t xml:space="preserve"> is configured, the</w:t>
      </w:r>
      <w:r>
        <w:t xml:space="preserve"> indexes of transmitted SS/PBCH blocks</w:t>
      </w:r>
      <w:r>
        <w:rPr>
          <w:rFonts w:hint="eastAsia"/>
          <w:szCs w:val="21"/>
        </w:rPr>
        <w:t xml:space="preserve"> can also be provided by </w:t>
      </w:r>
      <w:r>
        <w:rPr>
          <w:i/>
          <w:iCs/>
        </w:rPr>
        <w:t>od-ssb-PositionsInBurst</w:t>
      </w:r>
      <w:r>
        <w:rPr>
          <w:rFonts w:hint="eastAsia"/>
          <w:szCs w:val="21"/>
        </w:rPr>
        <w:t>. Therefore</w:t>
      </w:r>
      <w:r>
        <w:rPr>
          <w:szCs w:val="21"/>
        </w:rPr>
        <w:t>,</w:t>
      </w:r>
      <w:r>
        <w:rPr>
          <w:rFonts w:hint="eastAsia"/>
          <w:szCs w:val="21"/>
        </w:rPr>
        <w:t xml:space="preserve"> the following Text proposal#1 should be adopted in TS 38.214.</w:t>
      </w:r>
    </w:p>
    <w:p>
      <w:pPr>
        <w:widowControl w:val="0"/>
        <w:spacing w:before="120" w:after="120"/>
        <w:rPr>
          <w:b/>
          <w:bCs/>
        </w:rPr>
      </w:pPr>
      <w:r>
        <w:rPr>
          <w:rFonts w:hint="eastAsia"/>
          <w:b/>
          <w:bCs/>
        </w:rPr>
        <w:t>T</w:t>
      </w:r>
      <w:r>
        <w:rPr>
          <w:b/>
          <w:bCs/>
        </w:rPr>
        <w:t>ext proposal#</w:t>
      </w:r>
      <w:r>
        <w:rPr>
          <w:rFonts w:hint="eastAsia"/>
          <w:b/>
          <w:bCs/>
        </w:rPr>
        <w:t>1</w:t>
      </w:r>
      <w:r>
        <w:rPr>
          <w:b/>
          <w:bCs/>
        </w:rPr>
        <w:t>:</w:t>
      </w:r>
    </w:p>
    <w:p>
      <w:pPr>
        <w:widowControl w:val="0"/>
        <w:spacing w:before="120" w:after="120"/>
      </w:pPr>
      <w:r>
        <w:rPr>
          <w:b/>
        </w:rPr>
        <w:t>Change reason:</w:t>
      </w:r>
      <w:r>
        <w:t xml:space="preserve"> </w:t>
      </w:r>
      <w:r>
        <w:rPr>
          <w:rFonts w:hint="eastAsia"/>
        </w:rPr>
        <w:t xml:space="preserve">Clarify the UE procedure for </w:t>
      </w:r>
      <w:r>
        <w:rPr>
          <w:color w:val="000000"/>
        </w:rPr>
        <w:t>transmitting the</w:t>
      </w:r>
      <w:r>
        <w:t xml:space="preserve"> physical uplink shared channel</w:t>
      </w:r>
      <w:r>
        <w:rPr>
          <w:rFonts w:hint="eastAsia"/>
        </w:rPr>
        <w:t xml:space="preserve"> when </w:t>
      </w:r>
      <w:r>
        <w:rPr>
          <w:rFonts w:eastAsia="Batang"/>
          <w:i/>
          <w:iCs/>
          <w:lang w:eastAsia="ko-KR"/>
        </w:rPr>
        <w:t>od-ssb-config</w:t>
      </w:r>
      <w:r>
        <w:rPr>
          <w:rFonts w:hint="eastAsia"/>
          <w:szCs w:val="21"/>
        </w:rPr>
        <w:t xml:space="preserve"> is configured</w:t>
      </w:r>
      <w:r>
        <w:t xml:space="preserve">. </w:t>
      </w:r>
    </w:p>
    <w:p>
      <w:pPr>
        <w:widowControl w:val="0"/>
        <w:spacing w:before="120" w:after="120"/>
      </w:pPr>
      <w:r>
        <w:rPr>
          <w:b/>
        </w:rPr>
        <w:t>Change summary:</w:t>
      </w:r>
      <w:r>
        <w:t xml:space="preserve"> T</w:t>
      </w:r>
      <w:r>
        <w:rPr>
          <w:rFonts w:hint="eastAsia"/>
        </w:rPr>
        <w:t xml:space="preserve">he UE procedure for </w:t>
      </w:r>
      <w:r>
        <w:t>transmitting the physical uplink shared channel</w:t>
      </w:r>
      <w:r>
        <w:rPr>
          <w:rFonts w:hint="eastAsia"/>
        </w:rPr>
        <w:t xml:space="preserve"> related to </w:t>
      </w:r>
      <w:r>
        <w:rPr>
          <w:rFonts w:hint="eastAsia"/>
          <w:szCs w:val="21"/>
        </w:rPr>
        <w:t xml:space="preserve">an SS/PBCH block with index provided by </w:t>
      </w:r>
      <w:r>
        <w:rPr>
          <w:rFonts w:hint="eastAsia"/>
          <w:i/>
          <w:iCs/>
          <w:szCs w:val="21"/>
        </w:rPr>
        <w:t>od-ssb-PositionsInBurst</w:t>
      </w:r>
      <w:r>
        <w:rPr>
          <w:rFonts w:hint="eastAsia"/>
          <w:szCs w:val="21"/>
        </w:rPr>
        <w:t xml:space="preserve"> is same as that of SS/PBCH block with index provided by </w:t>
      </w:r>
      <w:r>
        <w:rPr>
          <w:rFonts w:hint="eastAsia"/>
          <w:i/>
          <w:iCs/>
          <w:szCs w:val="21"/>
        </w:rPr>
        <w:t>ssb-PositionsInBurst</w:t>
      </w:r>
      <w:r>
        <w:t>.</w:t>
      </w:r>
    </w:p>
    <w:p>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 xml:space="preserve">The UE procedure for </w:t>
      </w:r>
      <w:r>
        <w:t>transmitting the physical uplink shared channel</w:t>
      </w:r>
      <w:r>
        <w:rPr>
          <w:rFonts w:hint="eastAsia"/>
        </w:rPr>
        <w:t xml:space="preserve"> when </w:t>
      </w:r>
      <w:r>
        <w:rPr>
          <w:rFonts w:eastAsia="Batang"/>
          <w:i/>
          <w:iCs/>
          <w:lang w:eastAsia="ko-KR"/>
        </w:rPr>
        <w:t>od-ssb-config</w:t>
      </w:r>
      <w:r>
        <w:rPr>
          <w:rFonts w:hint="eastAsia"/>
          <w:szCs w:val="21"/>
        </w:rPr>
        <w:t xml:space="preserve"> is configured</w:t>
      </w:r>
      <w:r>
        <w:rPr>
          <w:rFonts w:hint="eastAsia"/>
        </w:rPr>
        <w:t xml:space="preserve"> is not clear</w:t>
      </w:r>
      <w:r>
        <w:rPr>
          <w:sz w:val="22"/>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widowControl w:val="0"/>
              <w:spacing w:before="120" w:after="120"/>
              <w:rPr>
                <w:sz w:val="22"/>
              </w:rPr>
            </w:pPr>
            <w:r>
              <w:rPr>
                <w:rFonts w:hint="eastAsia"/>
                <w:sz w:val="22"/>
              </w:rPr>
              <w:t>T</w:t>
            </w:r>
            <w:r>
              <w:rPr>
                <w:sz w:val="22"/>
              </w:rPr>
              <w:t>S 38.21</w:t>
            </w:r>
            <w:r>
              <w:rPr>
                <w:rFonts w:hint="eastAsia"/>
                <w:sz w:val="22"/>
              </w:rPr>
              <w:t>4</w:t>
            </w:r>
            <w:r>
              <w:rPr>
                <w:sz w:val="22"/>
              </w:rPr>
              <w:t xml:space="preserve"> V19.</w:t>
            </w:r>
            <w:r>
              <w:rPr>
                <w:rFonts w:hint="eastAsia"/>
                <w:sz w:val="22"/>
              </w:rPr>
              <w:t>1</w:t>
            </w:r>
            <w:r>
              <w:rPr>
                <w:sz w:val="22"/>
              </w:rPr>
              <w:t>.0 [</w:t>
            </w:r>
            <w:r>
              <w:rPr>
                <w:rFonts w:hint="eastAsia"/>
                <w:sz w:val="22"/>
              </w:rPr>
              <w:t>2</w:t>
            </w:r>
            <w:r>
              <w:rPr>
                <w:sz w:val="22"/>
              </w:rPr>
              <w:t>]</w:t>
            </w:r>
          </w:p>
          <w:p>
            <w:pPr>
              <w:widowControl w:val="0"/>
              <w:spacing w:before="120" w:after="120"/>
              <w:rPr>
                <w:b/>
                <w:sz w:val="22"/>
              </w:rPr>
            </w:pPr>
            <w:r>
              <w:rPr>
                <w:rFonts w:hint="eastAsia"/>
                <w:b/>
                <w:sz w:val="22"/>
              </w:rPr>
              <w:t>6</w:t>
            </w:r>
            <w:r>
              <w:rPr>
                <w:b/>
                <w:sz w:val="22"/>
              </w:rPr>
              <w:t>.1</w:t>
            </w:r>
            <w:r>
              <w:rPr>
                <w:rFonts w:hint="eastAsia"/>
                <w:b/>
                <w:sz w:val="22"/>
              </w:rPr>
              <w:t xml:space="preserve"> UE procedure for transmitting the physical uplink shared channel</w:t>
            </w:r>
          </w:p>
          <w:p>
            <w:pPr>
              <w:keepNext/>
              <w:keepLines/>
              <w:widowControl w:val="0"/>
              <w:overflowPunct w:val="0"/>
              <w:spacing w:before="120" w:after="120"/>
              <w:textAlignment w:val="baseline"/>
              <w:rPr>
                <w:color w:val="FF0000"/>
                <w:u w:val="single"/>
              </w:rPr>
            </w:pPr>
            <w:r>
              <w:rPr>
                <w:rFonts w:hint="eastAsia"/>
                <w:color w:val="FF0000"/>
                <w:u w:val="single"/>
              </w:rPr>
              <w:t xml:space="preserve">When </w:t>
            </w:r>
            <w:r>
              <w:rPr>
                <w:rFonts w:eastAsia="Batang"/>
                <w:i/>
                <w:iCs/>
                <w:color w:val="FF0000"/>
                <w:u w:val="single"/>
                <w:lang w:eastAsia="ko-KR"/>
              </w:rPr>
              <w:t>od-ssb-config</w:t>
            </w:r>
            <w:r>
              <w:rPr>
                <w:rFonts w:hint="eastAsia"/>
                <w:color w:val="FF0000"/>
                <w:szCs w:val="21"/>
                <w:u w:val="single"/>
              </w:rPr>
              <w:t xml:space="preserve"> is configured, the UE procedure in this clause 6.1 applies by </w:t>
            </w:r>
            <w:r>
              <w:rPr>
                <w:color w:val="FF0000"/>
                <w:u w:val="single"/>
              </w:rPr>
              <w:t xml:space="preserve">replacing </w:t>
            </w:r>
            <w:r>
              <w:rPr>
                <w:rFonts w:hint="eastAsia"/>
                <w:i/>
                <w:iCs/>
                <w:color w:val="FF0000"/>
                <w:szCs w:val="21"/>
                <w:u w:val="single"/>
              </w:rPr>
              <w:t>ssb-PositionsInBurst</w:t>
            </w:r>
            <w:r>
              <w:rPr>
                <w:rFonts w:hint="eastAsia"/>
                <w:color w:val="FF0000"/>
                <w:u w:val="single"/>
              </w:rPr>
              <w:t xml:space="preserve"> or </w:t>
            </w:r>
            <w:r>
              <w:rPr>
                <w:rFonts w:hint="eastAsia"/>
                <w:i/>
                <w:iCs/>
                <w:color w:val="FF0000"/>
                <w:szCs w:val="21"/>
                <w:u w:val="single"/>
              </w:rPr>
              <w:t>od-ssb-PositionsInBurst</w:t>
            </w:r>
            <w:r>
              <w:rPr>
                <w:color w:val="FF0000"/>
                <w:u w:val="single"/>
              </w:rPr>
              <w:t xml:space="preserve"> with </w:t>
            </w:r>
            <w:r>
              <w:rPr>
                <w:rFonts w:hint="eastAsia"/>
                <w:i/>
                <w:iCs/>
                <w:color w:val="FF0000"/>
                <w:szCs w:val="21"/>
                <w:u w:val="single"/>
              </w:rPr>
              <w:t xml:space="preserve">ssb-PositionsInBurst </w:t>
            </w:r>
            <w:r>
              <w:rPr>
                <w:color w:val="FF0000"/>
                <w:u w:val="single"/>
              </w:rPr>
              <w:t>in all the notations and texts, when applicable.</w:t>
            </w:r>
            <w:r>
              <w:rPr>
                <w:rFonts w:hint="eastAsia"/>
                <w:color w:val="FF0000"/>
                <w:szCs w:val="21"/>
                <w:u w:val="single"/>
              </w:rPr>
              <w:t xml:space="preserve"> </w:t>
            </w:r>
          </w:p>
          <w:p>
            <w:pPr>
              <w:keepNext/>
              <w:keepLines/>
              <w:widowControl w:val="0"/>
              <w:overflowPunct w:val="0"/>
              <w:spacing w:before="120" w:after="120"/>
              <w:textAlignment w:val="baseline"/>
              <w:rPr>
                <w:rFonts w:eastAsia="等线"/>
                <w:bCs/>
                <w:kern w:val="0"/>
              </w:rPr>
            </w:pPr>
            <w:r>
              <w:rPr>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rPr>
              <w:t xml:space="preserve"> </w:t>
            </w:r>
            <w:r>
              <w:rPr>
                <w:i/>
              </w:rPr>
              <w:t>configuredGrantConfig</w:t>
            </w:r>
            <w:r>
              <w:rPr>
                <w:i/>
                <w:iCs/>
                <w:color w:val="000000"/>
              </w:rPr>
              <w:t xml:space="preserve"> </w:t>
            </w:r>
            <w:r>
              <w:rPr>
                <w:iCs/>
                <w:color w:val="000000"/>
              </w:rPr>
              <w:t xml:space="preserve">including </w:t>
            </w:r>
            <w:r>
              <w:rPr>
                <w:i/>
              </w:rPr>
              <w:t>rrc-ConfiguredUplinkGrant</w:t>
            </w:r>
            <w:r>
              <w:rPr>
                <w:color w:val="00000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Pr>
                <w:i/>
                <w:color w:val="000000"/>
              </w:rPr>
              <w:t>configuredGrantConfig</w:t>
            </w:r>
            <w:r>
              <w:rPr>
                <w:color w:val="000000"/>
              </w:rPr>
              <w:t xml:space="preserve"> not including </w:t>
            </w:r>
            <w:r>
              <w:rPr>
                <w:i/>
              </w:rPr>
              <w:t>rrc-ConfiguredUplinkGrant</w:t>
            </w:r>
            <w:r>
              <w:rPr>
                <w:color w:val="000000"/>
              </w:rPr>
              <w:t xml:space="preserve">. If </w:t>
            </w:r>
            <w:r>
              <w:rPr>
                <w:i/>
                <w:color w:val="000000"/>
              </w:rPr>
              <w:t>configuredGrantConfigToAddModList</w:t>
            </w:r>
            <w:r>
              <w:rPr>
                <w:color w:val="000000"/>
              </w:rPr>
              <w:t xml:space="preserve"> is configured, more than one configured grant configuration of configured grant Type 1 and/or configured grant Type 2 may be active at the same time on an active BWP of a serving cell.</w:t>
            </w:r>
            <w:bookmarkStart w:id="11" w:name="_GoBack"/>
            <w:bookmarkEnd w:id="11"/>
          </w:p>
          <w:p>
            <w:pPr>
              <w:widowControl w:val="0"/>
              <w:spacing w:before="120" w:after="120"/>
              <w:jc w:val="center"/>
              <w:rPr>
                <w:color w:val="C00000"/>
                <w:sz w:val="22"/>
              </w:rPr>
            </w:pPr>
            <w:r>
              <w:rPr>
                <w:color w:val="FF0000"/>
                <w:sz w:val="22"/>
              </w:rPr>
              <w:t>&lt;Omit&gt;</w:t>
            </w:r>
          </w:p>
        </w:tc>
      </w:tr>
    </w:tbl>
    <w:p>
      <w:pPr>
        <w:spacing w:before="120" w:after="120"/>
      </w:pPr>
    </w:p>
    <w:p>
      <w:pPr>
        <w:pStyle w:val="63"/>
        <w:spacing w:before="120" w:after="120"/>
        <w:rPr>
          <w:lang w:val="en-US" w:eastAsia="zh-CN"/>
        </w:rPr>
      </w:pPr>
      <w:bookmarkStart w:id="4" w:name="_Toc213404556"/>
      <w:bookmarkStart w:id="5" w:name="_Toc308"/>
      <w:bookmarkStart w:id="6" w:name="_Toc21398"/>
      <w:r>
        <w:rPr>
          <w:lang w:val="en-US" w:eastAsia="zh-CN"/>
        </w:rPr>
        <w:t xml:space="preserve">Adopt text proposal#1 for clause </w:t>
      </w:r>
      <w:r>
        <w:rPr>
          <w:rFonts w:hint="eastAsia"/>
          <w:lang w:val="en-US" w:eastAsia="zh-CN"/>
        </w:rPr>
        <w:t xml:space="preserve">6.1 </w:t>
      </w:r>
      <w:r>
        <w:rPr>
          <w:lang w:val="en-US" w:eastAsia="zh-CN"/>
        </w:rPr>
        <w:t>of TS 38.21</w:t>
      </w:r>
      <w:r>
        <w:rPr>
          <w:rFonts w:hint="eastAsia"/>
          <w:lang w:val="en-US" w:eastAsia="zh-CN"/>
        </w:rPr>
        <w:t>4.</w:t>
      </w:r>
      <w:bookmarkEnd w:id="4"/>
      <w:bookmarkEnd w:id="5"/>
      <w:bookmarkEnd w:id="6"/>
    </w:p>
    <w:p>
      <w:pPr>
        <w:spacing w:before="120" w:after="120"/>
      </w:pPr>
      <w:r>
        <w:rPr>
          <w:rFonts w:hint="eastAsia"/>
        </w:rPr>
        <w:t xml:space="preserve">In TS 38.213, a similar case occurs. For UE procedure for reporting control information, only the </w:t>
      </w:r>
      <w:r>
        <w:rPr>
          <w:rFonts w:hint="eastAsia"/>
          <w:szCs w:val="21"/>
        </w:rPr>
        <w:t xml:space="preserve">SS/PBCH block with index provided by </w:t>
      </w:r>
      <w:r>
        <w:rPr>
          <w:rFonts w:hint="eastAsia"/>
          <w:i/>
          <w:iCs/>
          <w:szCs w:val="21"/>
        </w:rPr>
        <w:t>ssb-PositionsInBurst</w:t>
      </w:r>
      <w:r>
        <w:rPr>
          <w:rFonts w:hint="eastAsia"/>
          <w:szCs w:val="21"/>
        </w:rPr>
        <w:t xml:space="preserve"> is specified. Therefore, the following Text proposal#2 should be adopted in TS 38.214.</w:t>
      </w:r>
    </w:p>
    <w:p>
      <w:pPr>
        <w:widowControl w:val="0"/>
        <w:spacing w:before="120" w:after="120"/>
        <w:rPr>
          <w:b/>
          <w:bCs/>
        </w:rPr>
      </w:pPr>
      <w:r>
        <w:rPr>
          <w:rFonts w:hint="eastAsia"/>
          <w:b/>
          <w:bCs/>
        </w:rPr>
        <w:t>T</w:t>
      </w:r>
      <w:r>
        <w:rPr>
          <w:b/>
          <w:bCs/>
        </w:rPr>
        <w:t>ext proposal#</w:t>
      </w:r>
      <w:r>
        <w:rPr>
          <w:rFonts w:hint="eastAsia"/>
          <w:b/>
          <w:bCs/>
        </w:rPr>
        <w:t>2</w:t>
      </w:r>
      <w:r>
        <w:rPr>
          <w:b/>
          <w:bCs/>
        </w:rPr>
        <w:t>:</w:t>
      </w:r>
    </w:p>
    <w:p>
      <w:pPr>
        <w:widowControl w:val="0"/>
        <w:spacing w:before="120" w:after="120"/>
      </w:pPr>
      <w:r>
        <w:rPr>
          <w:b/>
        </w:rPr>
        <w:t>Change reason:</w:t>
      </w:r>
      <w:r>
        <w:t xml:space="preserve"> </w:t>
      </w:r>
      <w:r>
        <w:rPr>
          <w:rFonts w:hint="eastAsia"/>
        </w:rPr>
        <w:t xml:space="preserve">Clarify the UE procedure for reporting control information when </w:t>
      </w:r>
      <w:r>
        <w:rPr>
          <w:rFonts w:eastAsia="Batang"/>
          <w:i/>
          <w:iCs/>
          <w:lang w:eastAsia="ko-KR"/>
        </w:rPr>
        <w:t>od-ssb-config</w:t>
      </w:r>
      <w:r>
        <w:rPr>
          <w:rFonts w:hint="eastAsia"/>
          <w:szCs w:val="21"/>
        </w:rPr>
        <w:t xml:space="preserve"> is configured</w:t>
      </w:r>
      <w:r>
        <w:t xml:space="preserve">. </w:t>
      </w:r>
    </w:p>
    <w:p>
      <w:pPr>
        <w:widowControl w:val="0"/>
        <w:spacing w:before="120" w:after="120"/>
      </w:pPr>
      <w:r>
        <w:rPr>
          <w:b/>
        </w:rPr>
        <w:t>Change summary:</w:t>
      </w:r>
      <w:r>
        <w:t xml:space="preserve"> T</w:t>
      </w:r>
      <w:r>
        <w:rPr>
          <w:rFonts w:hint="eastAsia"/>
        </w:rPr>
        <w:t xml:space="preserve">he UE procedure for reporting control information related to </w:t>
      </w:r>
      <w:r>
        <w:rPr>
          <w:rFonts w:hint="eastAsia"/>
          <w:szCs w:val="21"/>
        </w:rPr>
        <w:t xml:space="preserve">an SS/PBCH block with index provided by </w:t>
      </w:r>
      <w:r>
        <w:rPr>
          <w:rFonts w:hint="eastAsia"/>
          <w:i/>
          <w:iCs/>
          <w:szCs w:val="21"/>
        </w:rPr>
        <w:t>od-ssb-PositionsInBurst</w:t>
      </w:r>
      <w:r>
        <w:rPr>
          <w:rFonts w:hint="eastAsia"/>
          <w:szCs w:val="21"/>
        </w:rPr>
        <w:t xml:space="preserve"> is same as that of SS/PBCH block with index provided by </w:t>
      </w:r>
      <w:r>
        <w:rPr>
          <w:rFonts w:hint="eastAsia"/>
          <w:i/>
          <w:iCs/>
          <w:szCs w:val="21"/>
        </w:rPr>
        <w:t>ssb-PositionsInBurst</w:t>
      </w:r>
      <w:r>
        <w:t>.</w:t>
      </w:r>
    </w:p>
    <w:p>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 xml:space="preserve">The UE procedure for reporting control information when </w:t>
      </w:r>
      <w:r>
        <w:rPr>
          <w:rFonts w:eastAsia="Batang"/>
          <w:i/>
          <w:iCs/>
          <w:lang w:eastAsia="ko-KR"/>
        </w:rPr>
        <w:t>od-ssb-config</w:t>
      </w:r>
      <w:r>
        <w:rPr>
          <w:rFonts w:hint="eastAsia"/>
          <w:szCs w:val="21"/>
        </w:rPr>
        <w:t xml:space="preserve"> is configured</w:t>
      </w:r>
      <w:r>
        <w:rPr>
          <w:rFonts w:hint="eastAsia"/>
        </w:rPr>
        <w:t xml:space="preserve"> is not clear</w:t>
      </w:r>
      <w:r>
        <w:rPr>
          <w:sz w:val="22"/>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widowControl w:val="0"/>
              <w:spacing w:before="120" w:after="120"/>
              <w:rPr>
                <w:sz w:val="22"/>
              </w:rPr>
            </w:pPr>
            <w:r>
              <w:rPr>
                <w:rFonts w:hint="eastAsia"/>
                <w:sz w:val="22"/>
              </w:rPr>
              <w:t>T</w:t>
            </w:r>
            <w:r>
              <w:rPr>
                <w:sz w:val="22"/>
              </w:rPr>
              <w:t>S 38.21</w:t>
            </w:r>
            <w:r>
              <w:rPr>
                <w:rFonts w:hint="eastAsia"/>
                <w:sz w:val="22"/>
              </w:rPr>
              <w:t>3</w:t>
            </w:r>
            <w:r>
              <w:rPr>
                <w:sz w:val="22"/>
              </w:rPr>
              <w:t xml:space="preserve"> V19.</w:t>
            </w:r>
            <w:r>
              <w:rPr>
                <w:rFonts w:hint="eastAsia"/>
                <w:sz w:val="22"/>
              </w:rPr>
              <w:t>1</w:t>
            </w:r>
            <w:r>
              <w:rPr>
                <w:sz w:val="22"/>
              </w:rPr>
              <w:t>.0 [</w:t>
            </w:r>
            <w:r>
              <w:rPr>
                <w:rFonts w:hint="eastAsia"/>
                <w:sz w:val="22"/>
              </w:rPr>
              <w:t>1</w:t>
            </w:r>
            <w:r>
              <w:rPr>
                <w:sz w:val="22"/>
              </w:rPr>
              <w:t>]</w:t>
            </w:r>
          </w:p>
          <w:p>
            <w:pPr>
              <w:widowControl w:val="0"/>
              <w:spacing w:before="120" w:after="120"/>
              <w:rPr>
                <w:b/>
                <w:sz w:val="22"/>
              </w:rPr>
            </w:pPr>
            <w:r>
              <w:rPr>
                <w:rFonts w:hint="eastAsia"/>
                <w:b/>
                <w:sz w:val="22"/>
              </w:rPr>
              <w:t>9 UE procedure for reporting control information</w:t>
            </w:r>
          </w:p>
          <w:p>
            <w:pPr>
              <w:keepNext/>
              <w:keepLines/>
              <w:widowControl w:val="0"/>
              <w:overflowPunct w:val="0"/>
              <w:spacing w:before="120" w:after="120"/>
              <w:textAlignment w:val="baseline"/>
              <w:rPr>
                <w:color w:val="FF0000"/>
                <w:u w:val="single"/>
              </w:rPr>
            </w:pPr>
            <w:r>
              <w:rPr>
                <w:rFonts w:hint="eastAsia"/>
                <w:color w:val="FF0000"/>
                <w:u w:val="single"/>
              </w:rPr>
              <w:t xml:space="preserve">When </w:t>
            </w:r>
            <w:r>
              <w:rPr>
                <w:rFonts w:eastAsia="Batang"/>
                <w:i/>
                <w:iCs/>
                <w:color w:val="FF0000"/>
                <w:u w:val="single"/>
                <w:lang w:eastAsia="ko-KR"/>
              </w:rPr>
              <w:t>od-ssb-config</w:t>
            </w:r>
            <w:r>
              <w:rPr>
                <w:rFonts w:hint="eastAsia"/>
                <w:color w:val="FF0000"/>
                <w:szCs w:val="21"/>
                <w:u w:val="single"/>
              </w:rPr>
              <w:t xml:space="preserve"> is configured, the UE procedure in this clause 9 applies by </w:t>
            </w:r>
            <w:r>
              <w:rPr>
                <w:color w:val="FF0000"/>
                <w:u w:val="single"/>
              </w:rPr>
              <w:t xml:space="preserve">replacing </w:t>
            </w:r>
            <w:r>
              <w:rPr>
                <w:rFonts w:hint="eastAsia"/>
                <w:i/>
                <w:iCs/>
                <w:color w:val="FF0000"/>
                <w:szCs w:val="21"/>
                <w:u w:val="single"/>
              </w:rPr>
              <w:t>ssb-PositionsInBurst</w:t>
            </w:r>
            <w:r>
              <w:rPr>
                <w:rFonts w:hint="eastAsia"/>
                <w:color w:val="FF0000"/>
                <w:u w:val="single"/>
              </w:rPr>
              <w:t xml:space="preserve"> or </w:t>
            </w:r>
            <w:r>
              <w:rPr>
                <w:rFonts w:hint="eastAsia"/>
                <w:i/>
                <w:iCs/>
                <w:color w:val="FF0000"/>
                <w:szCs w:val="21"/>
                <w:u w:val="single"/>
              </w:rPr>
              <w:t>od-ssb-PositionsInBurst</w:t>
            </w:r>
            <w:r>
              <w:rPr>
                <w:color w:val="FF0000"/>
                <w:u w:val="single"/>
              </w:rPr>
              <w:t xml:space="preserve"> with </w:t>
            </w:r>
            <w:r>
              <w:rPr>
                <w:rFonts w:hint="eastAsia"/>
                <w:i/>
                <w:iCs/>
                <w:color w:val="FF0000"/>
                <w:szCs w:val="21"/>
                <w:u w:val="single"/>
              </w:rPr>
              <w:t xml:space="preserve">ssb-PositionsInBurst </w:t>
            </w:r>
            <w:r>
              <w:rPr>
                <w:color w:val="FF0000"/>
                <w:u w:val="single"/>
              </w:rPr>
              <w:t>in all the notations and texts, when applicable.</w:t>
            </w:r>
            <w:r>
              <w:rPr>
                <w:rFonts w:hint="eastAsia"/>
                <w:color w:val="FF0000"/>
                <w:szCs w:val="21"/>
                <w:u w:val="single"/>
              </w:rPr>
              <w:t xml:space="preserve"> </w:t>
            </w:r>
          </w:p>
          <w:p>
            <w:pPr>
              <w:spacing w:before="120" w:after="120"/>
            </w:pPr>
            <w:r>
              <w:t>If a UE is configured with a SCG, the UE shall apply the procedures described in this clause for both MCG and SCG.</w:t>
            </w:r>
          </w:p>
          <w:p>
            <w:pPr>
              <w:pStyle w:val="66"/>
              <w:spacing w:before="120" w:after="120"/>
            </w:pPr>
            <w:r>
              <w:t>-</w:t>
            </w:r>
            <w:r>
              <w:tab/>
            </w:r>
            <w:r>
              <w:t>When the procedures are applied for MCG, the terms 'secondary cell', 'secondary cells', 'serving cell', 'serving cells' in this clause refer to secondary cell, secondary cells, serving cell, serving cells belonging to the MCG respectively.</w:t>
            </w:r>
          </w:p>
          <w:p>
            <w:pPr>
              <w:pStyle w:val="66"/>
              <w:spacing w:before="120" w:after="120"/>
              <w:rPr>
                <w:rFonts w:eastAsia="等线"/>
                <w:bCs/>
                <w:kern w:val="0"/>
              </w:rPr>
            </w:pPr>
            <w:r>
              <w:t>-</w:t>
            </w:r>
            <w:r>
              <w:tab/>
            </w:r>
            <w:r>
              <w:t>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p>
            <w:pPr>
              <w:widowControl w:val="0"/>
              <w:spacing w:before="120" w:after="120"/>
              <w:jc w:val="center"/>
              <w:rPr>
                <w:color w:val="C00000"/>
                <w:sz w:val="22"/>
              </w:rPr>
            </w:pPr>
            <w:r>
              <w:rPr>
                <w:color w:val="FF0000"/>
                <w:sz w:val="22"/>
              </w:rPr>
              <w:t>&lt;Omit&gt;</w:t>
            </w:r>
          </w:p>
        </w:tc>
      </w:tr>
    </w:tbl>
    <w:p>
      <w:pPr>
        <w:pStyle w:val="63"/>
        <w:spacing w:before="120" w:after="120"/>
      </w:pPr>
      <w:bookmarkStart w:id="7" w:name="_Toc213404557"/>
      <w:r>
        <w:rPr>
          <w:lang w:val="en-US" w:eastAsia="zh-CN"/>
        </w:rPr>
        <w:t>Adopt text proposal#</w:t>
      </w:r>
      <w:r>
        <w:rPr>
          <w:rFonts w:hint="eastAsia"/>
          <w:lang w:val="en-US" w:eastAsia="zh-CN"/>
        </w:rPr>
        <w:t>2</w:t>
      </w:r>
      <w:r>
        <w:rPr>
          <w:lang w:val="en-US" w:eastAsia="zh-CN"/>
        </w:rPr>
        <w:t xml:space="preserve"> for clause </w:t>
      </w:r>
      <w:r>
        <w:rPr>
          <w:rFonts w:hint="eastAsia"/>
          <w:lang w:val="en-US" w:eastAsia="zh-CN"/>
        </w:rPr>
        <w:t xml:space="preserve">9 </w:t>
      </w:r>
      <w:r>
        <w:rPr>
          <w:lang w:val="en-US" w:eastAsia="zh-CN"/>
        </w:rPr>
        <w:t>of TS 38.21</w:t>
      </w:r>
      <w:r>
        <w:rPr>
          <w:rFonts w:hint="eastAsia"/>
          <w:lang w:val="en-US" w:eastAsia="zh-CN"/>
        </w:rPr>
        <w:t>3.</w:t>
      </w:r>
      <w:bookmarkEnd w:id="7"/>
    </w:p>
    <w:p>
      <w:pPr>
        <w:spacing w:before="120" w:after="120"/>
      </w:pP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Discussion on adaptation of common signal/channel transmissions</w:t>
      </w:r>
    </w:p>
    <w:p>
      <w:pPr>
        <w:widowControl w:val="0"/>
        <w:spacing w:before="120" w:after="120"/>
      </w:pPr>
      <w:r>
        <w:t>In RAN1#122 meeting,</w:t>
      </w:r>
      <w:r>
        <w:rPr>
          <w:rFonts w:hint="eastAsia"/>
        </w:rPr>
        <w:t xml:space="preserve"> we have already agree</w:t>
      </w:r>
      <w:r>
        <w:t>d</w:t>
      </w:r>
      <w:r>
        <w:rPr>
          <w:rFonts w:hint="eastAsia"/>
        </w:rPr>
        <w:t xml:space="preserve"> </w:t>
      </w:r>
      <w:r>
        <w:t xml:space="preserve">that the additional PRACH availability indication is at </w:t>
      </w:r>
      <w:r>
        <w:rPr>
          <w:rFonts w:hint="eastAsia"/>
        </w:rPr>
        <w:t>5</w:t>
      </w:r>
      <w:r>
        <w:t xml:space="preserve">-th bit of the bit field of </w:t>
      </w:r>
      <w:r>
        <w:rPr>
          <w:rFonts w:hint="eastAsia"/>
        </w:rPr>
        <w:t>s</w:t>
      </w:r>
      <w:r>
        <w:t>hort message when short message indicator is 00, 01, 10, 11</w:t>
      </w:r>
      <w:r>
        <w:rPr>
          <w:rFonts w:hint="eastAsia"/>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50" w:type="dxa"/>
          </w:tcPr>
          <w:p>
            <w:pPr>
              <w:spacing w:beforeLines="0" w:after="0" w:afterLines="0"/>
              <w:rPr>
                <w:rFonts w:ascii="Times" w:hAnsi="Times"/>
                <w:b/>
                <w:bCs/>
              </w:rPr>
            </w:pPr>
            <w:r>
              <w:rPr>
                <w:b/>
                <w:bCs/>
                <w:highlight w:val="green"/>
              </w:rPr>
              <w:t>Agreement</w:t>
            </w:r>
          </w:p>
          <w:p>
            <w:pPr>
              <w:suppressAutoHyphens/>
              <w:spacing w:beforeLines="0" w:after="0" w:afterLines="0"/>
              <w:contextualSpacing/>
              <w:textAlignment w:val="baseline"/>
            </w:pPr>
            <w:r>
              <w:t xml:space="preserve">Additional PRACH availability indication can be carried by a DCI 1_0 with P-RNTI with Short Messages Indicator set to </w:t>
            </w:r>
            <w:r>
              <w:rPr>
                <w:rFonts w:hint="eastAsia"/>
              </w:rPr>
              <w:t xml:space="preserve">00, </w:t>
            </w:r>
            <w:r>
              <w:t>01,10,11.</w:t>
            </w:r>
          </w:p>
          <w:p>
            <w:pPr>
              <w:pStyle w:val="40"/>
              <w:numPr>
                <w:ilvl w:val="0"/>
                <w:numId w:val="6"/>
              </w:numPr>
              <w:suppressAutoHyphens/>
              <w:spacing w:after="0" w:afterLines="0"/>
              <w:textAlignment w:val="baseline"/>
              <w:rPr>
                <w:sz w:val="21"/>
                <w:szCs w:val="21"/>
              </w:rPr>
            </w:pPr>
            <w:r>
              <w:rPr>
                <w:sz w:val="21"/>
                <w:szCs w:val="21"/>
              </w:rPr>
              <w:t>Note: Above is already reflected in the endorsed editor CR 38.212</w:t>
            </w:r>
          </w:p>
        </w:tc>
      </w:tr>
    </w:tbl>
    <w:p>
      <w:pPr>
        <w:widowControl w:val="0"/>
        <w:spacing w:before="120" w:after="120"/>
      </w:pPr>
      <w:r>
        <w:rPr>
          <w:rFonts w:hint="eastAsia"/>
        </w:rPr>
        <w:t>However, the a</w:t>
      </w:r>
      <w:r>
        <w:t>dditional PRACH availability indication</w:t>
      </w:r>
      <w:r>
        <w:rPr>
          <w:rFonts w:hint="eastAsia"/>
        </w:rPr>
        <w:t xml:space="preserve"> is not captured in </w:t>
      </w:r>
      <w:r>
        <w:t>the Table 7.3.1.2.1-1</w:t>
      </w:r>
      <w:r>
        <w:rPr>
          <w:rFonts w:hint="eastAsia"/>
        </w:rPr>
        <w:t xml:space="preserve"> in </w:t>
      </w:r>
      <w:r>
        <w:t>TS 38.212 [</w:t>
      </w:r>
      <w:r>
        <w:rPr>
          <w:rFonts w:hint="eastAsia"/>
        </w:rPr>
        <w:t>2</w:t>
      </w:r>
      <w:r>
        <w:t>]</w:t>
      </w:r>
      <w:r>
        <w:rPr>
          <w:rFonts w:hint="eastAsia"/>
        </w:rPr>
        <w:t>.</w:t>
      </w:r>
    </w:p>
    <w:p>
      <w:pPr>
        <w:widowControl w:val="0"/>
        <w:spacing w:before="120" w:after="120"/>
      </w:pPr>
      <w:r>
        <w:rPr>
          <w:rFonts w:hint="eastAsia"/>
        </w:rPr>
        <w:t xml:space="preserve">In current TS 38.212, the </w:t>
      </w:r>
      <w:r>
        <w:t>Short Messages Indicator</w:t>
      </w:r>
      <w:r>
        <w:rPr>
          <w:rFonts w:hint="eastAsia"/>
        </w:rPr>
        <w:t xml:space="preserve"> is interpreted as </w:t>
      </w:r>
      <w:r>
        <w:t>‘</w:t>
      </w:r>
      <w:r>
        <w:rPr>
          <w:rFonts w:hint="eastAsia"/>
        </w:rPr>
        <w:t>Reserved</w:t>
      </w:r>
      <w:r>
        <w:t>’</w:t>
      </w:r>
      <w:r>
        <w:rPr>
          <w:rFonts w:hint="eastAsia"/>
        </w:rPr>
        <w:t xml:space="preserve"> when the bit field equals to </w:t>
      </w:r>
      <w:r>
        <w:t>‘</w:t>
      </w:r>
      <w:r>
        <w:rPr>
          <w:rFonts w:hint="eastAsia"/>
        </w:rPr>
        <w:t>00</w:t>
      </w:r>
      <w:r>
        <w:t>’</w:t>
      </w:r>
      <w:r>
        <w:rPr>
          <w:rFonts w:hint="eastAsia"/>
        </w:rPr>
        <w:t xml:space="preserve"> and the </w:t>
      </w:r>
      <w:r>
        <w:t>Short Messages Indicator</w:t>
      </w:r>
      <w:r>
        <w:rPr>
          <w:rFonts w:hint="eastAsia"/>
        </w:rPr>
        <w:t xml:space="preserve"> is interpreted as </w:t>
      </w:r>
      <w:r>
        <w:t>‘O</w:t>
      </w:r>
      <w:r>
        <w:rPr>
          <w:rFonts w:hint="eastAsia"/>
        </w:rPr>
        <w:t>nly scheduling information for Paging</w:t>
      </w:r>
      <w:r>
        <w:t>,</w:t>
      </w:r>
      <w:r>
        <w:rPr>
          <w:rFonts w:hint="eastAsia"/>
        </w:rPr>
        <w:t xml:space="preserve"> </w:t>
      </w:r>
      <w:r>
        <w:t xml:space="preserve">and TRS availability indication if </w:t>
      </w:r>
      <w:r>
        <w:rPr>
          <w:i/>
        </w:rPr>
        <w:t>trs-ResourceSetConfig</w:t>
      </w:r>
      <w:r>
        <w:rPr>
          <w:rFonts w:hint="eastAsia"/>
        </w:rPr>
        <w:t xml:space="preserve"> is </w:t>
      </w:r>
      <w:r>
        <w:t>configured,</w:t>
      </w:r>
      <w:r>
        <w:rPr>
          <w:rFonts w:hint="eastAsia"/>
        </w:rPr>
        <w:t xml:space="preserve"> </w:t>
      </w:r>
      <w:r>
        <w:t xml:space="preserve">are </w:t>
      </w:r>
      <w:r>
        <w:rPr>
          <w:rFonts w:hint="eastAsia"/>
        </w:rPr>
        <w:t>present in the DCI</w:t>
      </w:r>
      <w:r>
        <w:t>’</w:t>
      </w:r>
      <w:r>
        <w:rPr>
          <w:rFonts w:hint="eastAsia"/>
        </w:rPr>
        <w:t xml:space="preserve"> when the bit field equals to </w:t>
      </w:r>
      <w:r>
        <w:t>‘</w:t>
      </w:r>
      <w:r>
        <w:rPr>
          <w:rFonts w:hint="eastAsia"/>
        </w:rPr>
        <w:t>01</w:t>
      </w:r>
      <w:r>
        <w:t>’</w:t>
      </w:r>
      <w:r>
        <w:rPr>
          <w:rFonts w:hint="eastAsia"/>
        </w:rPr>
        <w:t xml:space="preserve">. With this interpretation, when the bit field is configured as </w:t>
      </w:r>
      <w:r>
        <w:t>‘</w:t>
      </w:r>
      <w:r>
        <w:rPr>
          <w:rFonts w:hint="eastAsia"/>
        </w:rPr>
        <w:t>00</w:t>
      </w:r>
      <w:r>
        <w:t>’</w:t>
      </w:r>
      <w:r>
        <w:rPr>
          <w:rFonts w:hint="eastAsia"/>
        </w:rPr>
        <w:t xml:space="preserve"> or </w:t>
      </w:r>
      <w:r>
        <w:t>‘</w:t>
      </w:r>
      <w:r>
        <w:rPr>
          <w:rFonts w:hint="eastAsia"/>
        </w:rPr>
        <w:t>01</w:t>
      </w:r>
      <w:r>
        <w:t>’</w:t>
      </w:r>
      <w:r>
        <w:rPr>
          <w:rFonts w:hint="eastAsia"/>
        </w:rPr>
        <w:t xml:space="preserve">, the UE will skip the </w:t>
      </w:r>
      <w:r>
        <w:t>Short Messages</w:t>
      </w:r>
      <w:r>
        <w:rPr>
          <w:rFonts w:hint="eastAsia"/>
        </w:rPr>
        <w:t xml:space="preserve"> field, which will cause the UE to miss the reception of the additional PRACH availability indication. </w:t>
      </w:r>
    </w:p>
    <w:p>
      <w:pPr>
        <w:widowControl w:val="0"/>
        <w:spacing w:before="120" w:after="120"/>
      </w:pPr>
      <w:r>
        <w:rPr>
          <w:rFonts w:hint="eastAsia"/>
        </w:rPr>
        <w:t xml:space="preserve">This ultimately leads to inconsistent understanding between the base station and the UE. Therefore, the modification of </w:t>
      </w:r>
      <w:r>
        <w:t>Table 7.3.1.2.1-1</w:t>
      </w:r>
      <w:r>
        <w:rPr>
          <w:rFonts w:hint="eastAsia"/>
        </w:rPr>
        <w:t xml:space="preserve"> is needed.</w:t>
      </w:r>
    </w:p>
    <w:p>
      <w:pPr>
        <w:widowControl w:val="0"/>
        <w:spacing w:before="120" w:after="120"/>
        <w:rPr>
          <w:b/>
          <w:bCs/>
        </w:rPr>
      </w:pPr>
      <w:r>
        <w:rPr>
          <w:rFonts w:hint="eastAsia"/>
          <w:b/>
          <w:bCs/>
        </w:rPr>
        <w:t>T</w:t>
      </w:r>
      <w:r>
        <w:rPr>
          <w:b/>
          <w:bCs/>
        </w:rPr>
        <w:t>ext proposal#</w:t>
      </w:r>
      <w:r>
        <w:rPr>
          <w:rFonts w:hint="eastAsia"/>
          <w:b/>
          <w:bCs/>
        </w:rPr>
        <w:t>3</w:t>
      </w:r>
      <w:r>
        <w:rPr>
          <w:b/>
          <w:bCs/>
        </w:rPr>
        <w:t>:</w:t>
      </w:r>
    </w:p>
    <w:p>
      <w:pPr>
        <w:widowControl w:val="0"/>
        <w:spacing w:before="120" w:after="120"/>
      </w:pPr>
      <w:r>
        <w:rPr>
          <w:b/>
        </w:rPr>
        <w:t>Change reason:</w:t>
      </w:r>
      <w:r>
        <w:t xml:space="preserve"> </w:t>
      </w:r>
      <w:r>
        <w:rPr>
          <w:rFonts w:hint="eastAsia"/>
        </w:rPr>
        <w:t xml:space="preserve">It is agreed that the </w:t>
      </w:r>
      <w:r>
        <w:t xml:space="preserve">additional PRACH availability indication is at </w:t>
      </w:r>
      <w:r>
        <w:rPr>
          <w:rFonts w:hint="eastAsia"/>
        </w:rPr>
        <w:t>5</w:t>
      </w:r>
      <w:r>
        <w:t xml:space="preserve">-th bit of the bit field of </w:t>
      </w:r>
      <w:r>
        <w:rPr>
          <w:rFonts w:hint="eastAsia"/>
        </w:rPr>
        <w:t>s</w:t>
      </w:r>
      <w:r>
        <w:t>hort message</w:t>
      </w:r>
      <w:r>
        <w:rPr>
          <w:rFonts w:hint="eastAsia"/>
        </w:rPr>
        <w:t xml:space="preserve">. However, </w:t>
      </w:r>
      <w:r>
        <w:t xml:space="preserve">the Table 7.3.1.2.1-1 </w:t>
      </w:r>
      <w:r>
        <w:rPr>
          <w:rFonts w:hint="eastAsia"/>
        </w:rPr>
        <w:t>does not reflect the existence of the PRACH indication, which is not align with the agreement</w:t>
      </w:r>
      <w:r>
        <w:t xml:space="preserve">. </w:t>
      </w:r>
    </w:p>
    <w:p>
      <w:pPr>
        <w:widowControl w:val="0"/>
        <w:spacing w:before="120" w:after="120"/>
      </w:pPr>
      <w:r>
        <w:rPr>
          <w:b/>
        </w:rPr>
        <w:t>Change summary:</w:t>
      </w:r>
      <w:r>
        <w:t xml:space="preserve"> T</w:t>
      </w:r>
      <w:r>
        <w:rPr>
          <w:rFonts w:hint="eastAsia"/>
        </w:rPr>
        <w:t xml:space="preserve">he Table 7.3.1.2.1-1 </w:t>
      </w:r>
      <w:r>
        <w:t>includes the description of additional PRACH availability indication for the rows that Short Messages Indicator set to 00, 01, 10, and 11.</w:t>
      </w:r>
    </w:p>
    <w:p>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UE will miss the reception of the additional PRACH availability indication, leads to inconsistent understanding between the base station and the UE</w:t>
      </w:r>
      <w:r>
        <w:rPr>
          <w:sz w:val="22"/>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widowControl w:val="0"/>
              <w:spacing w:before="120" w:after="120"/>
              <w:rPr>
                <w:sz w:val="22"/>
              </w:rPr>
            </w:pPr>
            <w:r>
              <w:rPr>
                <w:rFonts w:hint="eastAsia"/>
                <w:sz w:val="22"/>
              </w:rPr>
              <w:t>T</w:t>
            </w:r>
            <w:r>
              <w:rPr>
                <w:sz w:val="22"/>
              </w:rPr>
              <w:t>S 38.212 V19.</w:t>
            </w:r>
            <w:r>
              <w:rPr>
                <w:rFonts w:hint="eastAsia"/>
                <w:sz w:val="22"/>
              </w:rPr>
              <w:t>1</w:t>
            </w:r>
            <w:r>
              <w:rPr>
                <w:sz w:val="22"/>
              </w:rPr>
              <w:t>.0 [</w:t>
            </w:r>
            <w:r>
              <w:rPr>
                <w:rFonts w:hint="eastAsia"/>
                <w:sz w:val="22"/>
              </w:rPr>
              <w:t>3</w:t>
            </w:r>
            <w:r>
              <w:rPr>
                <w:sz w:val="22"/>
              </w:rPr>
              <w:t>]</w:t>
            </w:r>
          </w:p>
          <w:p>
            <w:pPr>
              <w:widowControl w:val="0"/>
              <w:spacing w:before="120" w:after="120"/>
              <w:rPr>
                <w:b/>
                <w:sz w:val="22"/>
              </w:rPr>
            </w:pPr>
            <w:r>
              <w:rPr>
                <w:rFonts w:hint="eastAsia"/>
                <w:b/>
                <w:sz w:val="22"/>
              </w:rPr>
              <w:t>7</w:t>
            </w:r>
            <w:r>
              <w:rPr>
                <w:b/>
                <w:sz w:val="22"/>
              </w:rPr>
              <w:t>.3.1.2.1 Format 1_0</w:t>
            </w:r>
          </w:p>
          <w:p>
            <w:pPr>
              <w:widowControl w:val="0"/>
              <w:spacing w:before="120" w:after="120"/>
              <w:jc w:val="center"/>
              <w:rPr>
                <w:color w:val="FF0000"/>
                <w:sz w:val="22"/>
              </w:rPr>
            </w:pPr>
            <w:r>
              <w:rPr>
                <w:rFonts w:hint="eastAsia"/>
                <w:color w:val="FF0000"/>
                <w:sz w:val="22"/>
              </w:rPr>
              <w:t>&lt;</w:t>
            </w:r>
            <w:r>
              <w:rPr>
                <w:color w:val="FF0000"/>
                <w:sz w:val="22"/>
              </w:rPr>
              <w:t>Omit&gt;</w:t>
            </w:r>
          </w:p>
          <w:p>
            <w:pPr>
              <w:keepNext/>
              <w:keepLines/>
              <w:widowControl w:val="0"/>
              <w:overflowPunct w:val="0"/>
              <w:spacing w:before="120" w:after="120"/>
              <w:jc w:val="center"/>
              <w:textAlignment w:val="baseline"/>
              <w:rPr>
                <w:rFonts w:ascii="Arial" w:hAnsi="Arial" w:eastAsia="等线"/>
                <w:b/>
                <w:kern w:val="0"/>
              </w:rPr>
            </w:pPr>
            <w:r>
              <w:rPr>
                <w:rFonts w:ascii="Arial" w:hAnsi="Arial" w:eastAsia="等线"/>
                <w:b/>
              </w:rPr>
              <w:t xml:space="preserve">Table </w:t>
            </w:r>
            <w:r>
              <w:rPr>
                <w:rFonts w:hint="eastAsia" w:ascii="Arial" w:hAnsi="Arial" w:eastAsia="等线" w:cs="Arial"/>
                <w:b/>
              </w:rPr>
              <w:t>7.3.1.2.1</w:t>
            </w:r>
            <w:r>
              <w:rPr>
                <w:rFonts w:ascii="Arial" w:hAnsi="Arial" w:eastAsia="等线"/>
                <w:b/>
              </w:rPr>
              <w:t>-</w:t>
            </w:r>
            <w:r>
              <w:rPr>
                <w:rFonts w:hint="eastAsia" w:ascii="Arial" w:hAnsi="Arial" w:eastAsia="等线" w:cs="Arial"/>
                <w:b/>
              </w:rPr>
              <w:t>1: Short Message indicator</w:t>
            </w:r>
          </w:p>
          <w:tbl>
            <w:tblPr>
              <w:tblStyle w:val="25"/>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80"/>
              <w:gridCol w:w="7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70" w:hRule="atLeast"/>
                <w:jc w:val="center"/>
              </w:trPr>
              <w:tc>
                <w:tcPr>
                  <w:tcW w:w="1280"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widowControl w:val="0"/>
                    <w:overflowPunct w:val="0"/>
                    <w:spacing w:before="120" w:after="120" w:line="240" w:lineRule="auto"/>
                    <w:jc w:val="center"/>
                    <w:textAlignment w:val="baseline"/>
                    <w:rPr>
                      <w:rFonts w:ascii="Arial" w:hAnsi="Arial" w:eastAsia="等线"/>
                      <w:b/>
                      <w:sz w:val="18"/>
                      <w:szCs w:val="18"/>
                    </w:rPr>
                  </w:pPr>
                  <w:r>
                    <w:rPr>
                      <w:rFonts w:ascii="Arial" w:hAnsi="Arial" w:eastAsia="等线"/>
                      <w:b/>
                      <w:sz w:val="18"/>
                      <w:szCs w:val="18"/>
                    </w:rPr>
                    <w:t>Bit field</w:t>
                  </w:r>
                </w:p>
              </w:tc>
              <w:tc>
                <w:tcPr>
                  <w:tcW w:w="7719"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widowControl w:val="0"/>
                    <w:overflowPunct w:val="0"/>
                    <w:spacing w:before="120" w:after="120" w:line="240" w:lineRule="auto"/>
                    <w:jc w:val="center"/>
                    <w:textAlignment w:val="baseline"/>
                    <w:rPr>
                      <w:rFonts w:ascii="Arial" w:hAnsi="Arial" w:eastAsia="等线"/>
                      <w:b/>
                      <w:sz w:val="18"/>
                      <w:szCs w:val="18"/>
                    </w:rPr>
                  </w:pPr>
                  <w:r>
                    <w:rPr>
                      <w:rFonts w:ascii="Arial" w:hAnsi="Arial" w:eastAsia="等线"/>
                      <w:b/>
                      <w:sz w:val="18"/>
                      <w:szCs w:val="18"/>
                    </w:rPr>
                    <w:t>Short Message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15" w:hRule="atLeast"/>
                <w:jc w:val="center"/>
              </w:trPr>
              <w:tc>
                <w:tcPr>
                  <w:tcW w:w="1280"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overflowPunct w:val="0"/>
                    <w:spacing w:before="120" w:after="120" w:line="240" w:lineRule="auto"/>
                    <w:jc w:val="center"/>
                    <w:textAlignment w:val="baseline"/>
                    <w:rPr>
                      <w:rFonts w:ascii="Arial" w:hAnsi="Arial" w:eastAsia="等线"/>
                      <w:sz w:val="18"/>
                      <w:szCs w:val="18"/>
                    </w:rPr>
                  </w:pPr>
                  <w:r>
                    <w:rPr>
                      <w:rFonts w:hint="eastAsia" w:ascii="Arial" w:hAnsi="Arial" w:eastAsia="等线" w:cs="Arial"/>
                      <w:sz w:val="18"/>
                      <w:szCs w:val="18"/>
                    </w:rPr>
                    <w:t>00</w:t>
                  </w:r>
                </w:p>
              </w:tc>
              <w:tc>
                <w:tcPr>
                  <w:tcW w:w="7719" w:type="dxa"/>
                  <w:tcBorders>
                    <w:top w:val="single" w:color="auto" w:sz="4" w:space="0"/>
                    <w:left w:val="single" w:color="auto" w:sz="4" w:space="0"/>
                    <w:bottom w:val="single" w:color="auto" w:sz="4" w:space="0"/>
                    <w:right w:val="single" w:color="auto" w:sz="4" w:space="0"/>
                  </w:tcBorders>
                </w:tcPr>
                <w:p>
                  <w:pPr>
                    <w:keepNext/>
                    <w:keepLines/>
                    <w:widowControl w:val="0"/>
                    <w:overflowPunct w:val="0"/>
                    <w:spacing w:before="120" w:after="120" w:line="240" w:lineRule="auto"/>
                    <w:jc w:val="center"/>
                    <w:textAlignment w:val="baseline"/>
                    <w:rPr>
                      <w:rFonts w:ascii="Arial" w:hAnsi="Arial" w:eastAsia="等线"/>
                      <w:sz w:val="18"/>
                      <w:szCs w:val="18"/>
                    </w:rPr>
                  </w:pPr>
                  <w:r>
                    <w:rPr>
                      <w:rFonts w:ascii="Arial" w:hAnsi="Arial" w:eastAsia="等线"/>
                      <w:color w:val="FF0000"/>
                      <w:sz w:val="18"/>
                      <w:szCs w:val="18"/>
                      <w:u w:val="single"/>
                    </w:rPr>
                    <w:t xml:space="preserve">Availability indication of PRACH resource if </w:t>
                  </w:r>
                  <w:r>
                    <w:rPr>
                      <w:rFonts w:ascii="Arial" w:hAnsi="Arial" w:eastAsia="等线"/>
                      <w:i/>
                      <w:iCs/>
                      <w:color w:val="FF0000"/>
                      <w:sz w:val="18"/>
                      <w:szCs w:val="18"/>
                      <w:u w:val="single"/>
                    </w:rPr>
                    <w:t>addl-RACH-Config-Adaptation</w:t>
                  </w:r>
                  <w:r>
                    <w:rPr>
                      <w:rFonts w:ascii="Arial" w:hAnsi="Arial" w:eastAsia="等线" w:cs="Arial"/>
                      <w:i/>
                      <w:iCs/>
                      <w:color w:val="FF0000"/>
                      <w:sz w:val="18"/>
                      <w:szCs w:val="18"/>
                      <w:u w:val="single"/>
                    </w:rPr>
                    <w:t xml:space="preserve"> </w:t>
                  </w:r>
                  <w:r>
                    <w:rPr>
                      <w:rFonts w:ascii="Arial" w:hAnsi="Arial" w:eastAsia="等线"/>
                      <w:iCs/>
                      <w:color w:val="FF0000"/>
                      <w:sz w:val="18"/>
                      <w:szCs w:val="18"/>
                      <w:u w:val="single"/>
                    </w:rPr>
                    <w:t>is configured, is present in the DCI, otherwise,</w:t>
                  </w:r>
                  <w:r>
                    <w:rPr>
                      <w:rFonts w:ascii="Arial" w:hAnsi="Arial" w:eastAsia="等线"/>
                      <w:sz w:val="18"/>
                      <w:szCs w:val="18"/>
                    </w:rPr>
                    <w:t xml:space="preserve"> </w:t>
                  </w:r>
                  <w:r>
                    <w:rPr>
                      <w:rFonts w:ascii="Arial" w:hAnsi="Arial" w:eastAsia="等线"/>
                      <w:strike/>
                      <w:color w:val="FF0000"/>
                      <w:sz w:val="18"/>
                      <w:szCs w:val="18"/>
                    </w:rPr>
                    <w:t>R</w:t>
                  </w:r>
                  <w:r>
                    <w:rPr>
                      <w:rFonts w:ascii="Arial" w:hAnsi="Arial" w:eastAsia="等线"/>
                      <w:color w:val="FF0000"/>
                      <w:sz w:val="18"/>
                      <w:szCs w:val="18"/>
                    </w:rPr>
                    <w:t>r</w:t>
                  </w:r>
                  <w:r>
                    <w:rPr>
                      <w:rFonts w:hint="eastAsia" w:ascii="Arial" w:hAnsi="Arial" w:eastAsia="等线" w:cs="Arial"/>
                      <w:sz w:val="18"/>
                      <w:szCs w:val="18"/>
                    </w:rP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280"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overflowPunct w:val="0"/>
                    <w:spacing w:before="120" w:after="120" w:line="240" w:lineRule="auto"/>
                    <w:jc w:val="center"/>
                    <w:textAlignment w:val="baseline"/>
                    <w:rPr>
                      <w:rFonts w:ascii="Arial" w:hAnsi="Arial" w:eastAsia="等线"/>
                      <w:sz w:val="18"/>
                      <w:szCs w:val="18"/>
                    </w:rPr>
                  </w:pPr>
                  <w:r>
                    <w:rPr>
                      <w:rFonts w:hint="eastAsia" w:ascii="Arial" w:hAnsi="Arial" w:eastAsia="等线" w:cs="Arial"/>
                      <w:sz w:val="18"/>
                      <w:szCs w:val="18"/>
                    </w:rPr>
                    <w:t>01</w:t>
                  </w:r>
                </w:p>
              </w:tc>
              <w:tc>
                <w:tcPr>
                  <w:tcW w:w="7719" w:type="dxa"/>
                  <w:tcBorders>
                    <w:top w:val="single" w:color="auto" w:sz="4" w:space="0"/>
                    <w:left w:val="single" w:color="auto" w:sz="4" w:space="0"/>
                    <w:bottom w:val="single" w:color="auto" w:sz="4" w:space="0"/>
                    <w:right w:val="single" w:color="auto" w:sz="4" w:space="0"/>
                  </w:tcBorders>
                </w:tcPr>
                <w:p>
                  <w:pPr>
                    <w:keepNext/>
                    <w:keepLines/>
                    <w:widowControl w:val="0"/>
                    <w:overflowPunct w:val="0"/>
                    <w:spacing w:before="120" w:after="120" w:line="240" w:lineRule="auto"/>
                    <w:jc w:val="center"/>
                    <w:textAlignment w:val="baseline"/>
                    <w:rPr>
                      <w:rFonts w:ascii="Arial" w:hAnsi="Arial" w:eastAsia="等线"/>
                      <w:color w:val="FF0000"/>
                      <w:sz w:val="18"/>
                      <w:szCs w:val="18"/>
                      <w:u w:val="single"/>
                    </w:rPr>
                  </w:pPr>
                  <w:r>
                    <w:rPr>
                      <w:rFonts w:ascii="Arial" w:hAnsi="Arial" w:eastAsia="等线"/>
                      <w:sz w:val="18"/>
                      <w:szCs w:val="18"/>
                    </w:rPr>
                    <w:t>O</w:t>
                  </w:r>
                  <w:r>
                    <w:rPr>
                      <w:rFonts w:hint="eastAsia" w:ascii="Arial" w:hAnsi="Arial" w:eastAsia="等线" w:cs="Arial"/>
                      <w:sz w:val="18"/>
                      <w:szCs w:val="18"/>
                    </w:rPr>
                    <w:t>nly scheduling information for Paging</w:t>
                  </w:r>
                  <w:r>
                    <w:rPr>
                      <w:rFonts w:ascii="Arial" w:hAnsi="Arial" w:eastAsia="等线"/>
                      <w:sz w:val="18"/>
                      <w:szCs w:val="18"/>
                    </w:rPr>
                    <w:t>,</w:t>
                  </w:r>
                  <w:r>
                    <w:rPr>
                      <w:rFonts w:ascii="Arial" w:hAnsi="Arial" w:eastAsia="等线" w:cs="Arial"/>
                      <w:sz w:val="18"/>
                      <w:szCs w:val="18"/>
                    </w:rPr>
                    <w:t xml:space="preserve"> </w:t>
                  </w:r>
                  <w:r>
                    <w:rPr>
                      <w:rFonts w:ascii="Arial" w:hAnsi="Arial" w:eastAsia="等线"/>
                      <w:strike/>
                      <w:color w:val="FF0000"/>
                      <w:sz w:val="18"/>
                      <w:szCs w:val="18"/>
                    </w:rPr>
                    <w:t>and</w:t>
                  </w:r>
                  <w:r>
                    <w:rPr>
                      <w:rFonts w:ascii="Arial" w:hAnsi="Arial" w:eastAsia="等线"/>
                      <w:color w:val="FF0000"/>
                      <w:sz w:val="18"/>
                      <w:szCs w:val="18"/>
                    </w:rPr>
                    <w:t xml:space="preserve"> </w:t>
                  </w:r>
                  <w:r>
                    <w:rPr>
                      <w:rFonts w:ascii="Arial" w:hAnsi="Arial" w:eastAsia="等线"/>
                      <w:sz w:val="18"/>
                      <w:szCs w:val="18"/>
                    </w:rPr>
                    <w:t xml:space="preserve">TRS availability indication if </w:t>
                  </w:r>
                  <w:r>
                    <w:rPr>
                      <w:rFonts w:ascii="Arial" w:hAnsi="Arial" w:eastAsia="等线"/>
                      <w:i/>
                      <w:sz w:val="18"/>
                      <w:szCs w:val="18"/>
                    </w:rPr>
                    <w:t>trs-ResourceSetConfig</w:t>
                  </w:r>
                  <w:r>
                    <w:rPr>
                      <w:rFonts w:ascii="Arial" w:hAnsi="Arial" w:eastAsia="等线" w:cs="Arial"/>
                      <w:sz w:val="18"/>
                      <w:szCs w:val="18"/>
                    </w:rPr>
                    <w:t xml:space="preserve"> </w:t>
                  </w:r>
                  <w:r>
                    <w:rPr>
                      <w:rFonts w:hint="eastAsia" w:ascii="Arial" w:hAnsi="Arial" w:eastAsia="等线" w:cs="Arial"/>
                      <w:sz w:val="18"/>
                      <w:szCs w:val="18"/>
                    </w:rPr>
                    <w:t xml:space="preserve">is </w:t>
                  </w:r>
                  <w:r>
                    <w:rPr>
                      <w:rFonts w:ascii="Arial" w:hAnsi="Arial" w:eastAsia="等线"/>
                      <w:sz w:val="18"/>
                      <w:szCs w:val="18"/>
                    </w:rPr>
                    <w:t>configured</w:t>
                  </w:r>
                  <w:r>
                    <w:rPr>
                      <w:rFonts w:hint="eastAsia" w:ascii="Arial" w:hAnsi="Arial" w:eastAsia="等线" w:cs="Arial"/>
                      <w:color w:val="FF0000"/>
                      <w:sz w:val="18"/>
                      <w:szCs w:val="18"/>
                      <w:u w:val="single"/>
                    </w:rPr>
                    <w:t>,</w:t>
                  </w:r>
                  <w:r>
                    <w:rPr>
                      <w:rFonts w:ascii="Arial" w:hAnsi="Arial" w:eastAsia="等线"/>
                      <w:color w:val="FF0000"/>
                      <w:sz w:val="18"/>
                      <w:szCs w:val="18"/>
                      <w:u w:val="single"/>
                    </w:rPr>
                    <w:t xml:space="preserve"> and availability indication of PRACH resource if </w:t>
                  </w:r>
                  <w:r>
                    <w:rPr>
                      <w:rFonts w:ascii="Arial" w:hAnsi="Arial" w:eastAsia="等线"/>
                      <w:i/>
                      <w:iCs/>
                      <w:color w:val="FF0000"/>
                      <w:sz w:val="18"/>
                      <w:szCs w:val="18"/>
                      <w:u w:val="single"/>
                    </w:rPr>
                    <w:t>addl-RACH-Config-Adaptation</w:t>
                  </w:r>
                  <w:r>
                    <w:rPr>
                      <w:rFonts w:ascii="Arial" w:hAnsi="Arial" w:eastAsia="等线" w:cs="Arial"/>
                      <w:i/>
                      <w:iCs/>
                      <w:color w:val="FF0000"/>
                      <w:sz w:val="18"/>
                      <w:szCs w:val="18"/>
                      <w:u w:val="single"/>
                    </w:rPr>
                    <w:t xml:space="preserve"> </w:t>
                  </w:r>
                  <w:r>
                    <w:rPr>
                      <w:rFonts w:ascii="Arial" w:hAnsi="Arial" w:eastAsia="等线"/>
                      <w:iCs/>
                      <w:color w:val="FF0000"/>
                      <w:sz w:val="18"/>
                      <w:szCs w:val="18"/>
                      <w:u w:val="single"/>
                    </w:rPr>
                    <w:t>is configured</w:t>
                  </w:r>
                  <w:r>
                    <w:rPr>
                      <w:rFonts w:ascii="Arial" w:hAnsi="Arial" w:eastAsia="等线"/>
                      <w:sz w:val="18"/>
                      <w:szCs w:val="18"/>
                    </w:rPr>
                    <w:t>,</w:t>
                  </w:r>
                  <w:r>
                    <w:rPr>
                      <w:rFonts w:ascii="Arial" w:hAnsi="Arial" w:eastAsia="等线" w:cs="Arial"/>
                      <w:sz w:val="18"/>
                      <w:szCs w:val="18"/>
                    </w:rPr>
                    <w:t xml:space="preserve"> </w:t>
                  </w:r>
                  <w:r>
                    <w:rPr>
                      <w:rFonts w:ascii="Arial" w:hAnsi="Arial" w:eastAsia="等线"/>
                      <w:sz w:val="18"/>
                      <w:szCs w:val="18"/>
                    </w:rPr>
                    <w:t xml:space="preserve">are </w:t>
                  </w:r>
                  <w:r>
                    <w:rPr>
                      <w:rFonts w:hint="eastAsia" w:ascii="Arial" w:hAnsi="Arial" w:eastAsia="等线" w:cs="Arial"/>
                      <w:sz w:val="18"/>
                      <w:szCs w:val="18"/>
                    </w:rPr>
                    <w:t>present in the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24" w:hRule="atLeast"/>
                <w:jc w:val="center"/>
              </w:trPr>
              <w:tc>
                <w:tcPr>
                  <w:tcW w:w="1280"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overflowPunct w:val="0"/>
                    <w:spacing w:before="120" w:after="120" w:line="240" w:lineRule="auto"/>
                    <w:jc w:val="center"/>
                    <w:textAlignment w:val="baseline"/>
                    <w:rPr>
                      <w:rFonts w:ascii="Arial" w:hAnsi="Arial" w:eastAsia="等线"/>
                      <w:sz w:val="18"/>
                      <w:szCs w:val="18"/>
                    </w:rPr>
                  </w:pPr>
                  <w:r>
                    <w:rPr>
                      <w:rFonts w:hint="eastAsia" w:ascii="Arial" w:hAnsi="Arial" w:eastAsia="等线" w:cs="Arial"/>
                      <w:sz w:val="18"/>
                      <w:szCs w:val="18"/>
                    </w:rPr>
                    <w:t>10</w:t>
                  </w:r>
                </w:p>
              </w:tc>
              <w:tc>
                <w:tcPr>
                  <w:tcW w:w="7719" w:type="dxa"/>
                  <w:tcBorders>
                    <w:top w:val="single" w:color="auto" w:sz="4" w:space="0"/>
                    <w:left w:val="single" w:color="auto" w:sz="4" w:space="0"/>
                    <w:bottom w:val="single" w:color="auto" w:sz="4" w:space="0"/>
                    <w:right w:val="single" w:color="auto" w:sz="4" w:space="0"/>
                  </w:tcBorders>
                </w:tcPr>
                <w:p>
                  <w:pPr>
                    <w:keepNext/>
                    <w:keepLines/>
                    <w:widowControl w:val="0"/>
                    <w:overflowPunct w:val="0"/>
                    <w:spacing w:before="120" w:after="120" w:line="240" w:lineRule="auto"/>
                    <w:jc w:val="center"/>
                    <w:textAlignment w:val="baseline"/>
                    <w:rPr>
                      <w:rFonts w:ascii="Arial" w:hAnsi="Arial" w:eastAsia="等线"/>
                      <w:sz w:val="18"/>
                      <w:szCs w:val="18"/>
                    </w:rPr>
                  </w:pPr>
                  <w:r>
                    <w:rPr>
                      <w:rFonts w:hint="eastAsia" w:ascii="Arial" w:hAnsi="Arial" w:eastAsia="等线" w:cs="Arial"/>
                      <w:sz w:val="18"/>
                      <w:szCs w:val="18"/>
                    </w:rPr>
                    <w:t>Only short message</w:t>
                  </w:r>
                  <w:r>
                    <w:rPr>
                      <w:rFonts w:ascii="Arial" w:hAnsi="Arial" w:eastAsia="等线"/>
                      <w:sz w:val="18"/>
                      <w:szCs w:val="18"/>
                    </w:rPr>
                    <w:t>,</w:t>
                  </w:r>
                  <w:r>
                    <w:rPr>
                      <w:rFonts w:ascii="Arial" w:hAnsi="Arial" w:eastAsia="等线" w:cs="Arial"/>
                      <w:sz w:val="18"/>
                      <w:szCs w:val="18"/>
                    </w:rPr>
                    <w:t xml:space="preserve"> </w:t>
                  </w:r>
                  <w:r>
                    <w:rPr>
                      <w:rFonts w:ascii="Arial" w:hAnsi="Arial" w:eastAsia="等线"/>
                      <w:strike/>
                      <w:color w:val="FF0000"/>
                      <w:sz w:val="18"/>
                      <w:szCs w:val="18"/>
                    </w:rPr>
                    <w:t>and</w:t>
                  </w:r>
                  <w:r>
                    <w:rPr>
                      <w:rFonts w:ascii="Arial" w:hAnsi="Arial" w:eastAsia="等线"/>
                      <w:color w:val="FF0000"/>
                      <w:sz w:val="18"/>
                      <w:szCs w:val="18"/>
                    </w:rPr>
                    <w:t xml:space="preserve"> </w:t>
                  </w:r>
                  <w:r>
                    <w:rPr>
                      <w:rFonts w:ascii="Arial" w:hAnsi="Arial" w:eastAsia="等线"/>
                      <w:sz w:val="18"/>
                      <w:szCs w:val="18"/>
                    </w:rPr>
                    <w:t xml:space="preserve">TRS availability indication if </w:t>
                  </w:r>
                  <w:r>
                    <w:rPr>
                      <w:rFonts w:ascii="Arial" w:hAnsi="Arial" w:eastAsia="等线"/>
                      <w:i/>
                      <w:sz w:val="18"/>
                      <w:szCs w:val="18"/>
                    </w:rPr>
                    <w:t>trs-ResourceSetConfig</w:t>
                  </w:r>
                  <w:r>
                    <w:rPr>
                      <w:rFonts w:ascii="Arial" w:hAnsi="Arial" w:eastAsia="等线" w:cs="Arial"/>
                      <w:sz w:val="18"/>
                      <w:szCs w:val="18"/>
                    </w:rPr>
                    <w:t xml:space="preserve"> </w:t>
                  </w:r>
                  <w:r>
                    <w:rPr>
                      <w:rFonts w:hint="eastAsia" w:ascii="Arial" w:hAnsi="Arial" w:eastAsia="等线" w:cs="Arial"/>
                      <w:sz w:val="18"/>
                      <w:szCs w:val="18"/>
                    </w:rPr>
                    <w:t xml:space="preserve">is </w:t>
                  </w:r>
                  <w:r>
                    <w:rPr>
                      <w:rFonts w:ascii="Arial" w:hAnsi="Arial" w:eastAsia="等线"/>
                      <w:sz w:val="18"/>
                      <w:szCs w:val="18"/>
                    </w:rPr>
                    <w:t>configured</w:t>
                  </w:r>
                  <w:r>
                    <w:rPr>
                      <w:rFonts w:ascii="Arial" w:hAnsi="Arial" w:eastAsia="等线"/>
                      <w:color w:val="FF0000"/>
                      <w:sz w:val="18"/>
                      <w:szCs w:val="18"/>
                      <w:u w:val="single"/>
                    </w:rPr>
                    <w:t xml:space="preserve">, and availability indication of PRACH resource if </w:t>
                  </w:r>
                  <w:r>
                    <w:rPr>
                      <w:rFonts w:ascii="Arial" w:hAnsi="Arial" w:eastAsia="等线"/>
                      <w:i/>
                      <w:iCs/>
                      <w:color w:val="FF0000"/>
                      <w:sz w:val="18"/>
                      <w:szCs w:val="18"/>
                      <w:u w:val="single"/>
                    </w:rPr>
                    <w:t>addl-RACH-Config-Adaptation</w:t>
                  </w:r>
                  <w:r>
                    <w:rPr>
                      <w:rFonts w:ascii="Arial" w:hAnsi="Arial" w:eastAsia="等线" w:cs="Arial"/>
                      <w:i/>
                      <w:iCs/>
                      <w:color w:val="FF0000"/>
                      <w:sz w:val="18"/>
                      <w:szCs w:val="18"/>
                      <w:u w:val="single"/>
                    </w:rPr>
                    <w:t xml:space="preserve"> </w:t>
                  </w:r>
                  <w:r>
                    <w:rPr>
                      <w:rFonts w:ascii="Arial" w:hAnsi="Arial" w:eastAsia="等线"/>
                      <w:iCs/>
                      <w:color w:val="FF0000"/>
                      <w:sz w:val="18"/>
                      <w:szCs w:val="18"/>
                      <w:u w:val="single"/>
                    </w:rPr>
                    <w:t>is configured</w:t>
                  </w:r>
                  <w:r>
                    <w:rPr>
                      <w:rFonts w:ascii="Arial" w:hAnsi="Arial" w:eastAsia="等线"/>
                      <w:sz w:val="18"/>
                      <w:szCs w:val="18"/>
                    </w:rPr>
                    <w:t>,</w:t>
                  </w:r>
                  <w:r>
                    <w:rPr>
                      <w:rFonts w:ascii="Arial" w:hAnsi="Arial" w:eastAsia="等线" w:cs="Arial"/>
                      <w:sz w:val="18"/>
                      <w:szCs w:val="18"/>
                    </w:rPr>
                    <w:t xml:space="preserve"> </w:t>
                  </w:r>
                  <w:r>
                    <w:rPr>
                      <w:rFonts w:ascii="Arial" w:hAnsi="Arial" w:eastAsia="等线"/>
                      <w:sz w:val="18"/>
                      <w:szCs w:val="18"/>
                    </w:rPr>
                    <w:t xml:space="preserve">are </w:t>
                  </w:r>
                  <w:r>
                    <w:rPr>
                      <w:rFonts w:hint="eastAsia" w:ascii="Arial" w:hAnsi="Arial" w:eastAsia="等线" w:cs="Arial"/>
                      <w:sz w:val="18"/>
                      <w:szCs w:val="18"/>
                    </w:rPr>
                    <w:t>present in the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34" w:hRule="atLeast"/>
                <w:jc w:val="center"/>
              </w:trPr>
              <w:tc>
                <w:tcPr>
                  <w:tcW w:w="1280" w:type="dxa"/>
                  <w:tcBorders>
                    <w:top w:val="single" w:color="auto" w:sz="4" w:space="0"/>
                    <w:left w:val="single" w:color="auto" w:sz="4" w:space="0"/>
                    <w:bottom w:val="single" w:color="auto" w:sz="4" w:space="0"/>
                    <w:right w:val="single" w:color="auto" w:sz="4" w:space="0"/>
                  </w:tcBorders>
                  <w:shd w:val="clear" w:color="auto" w:fill="D9D9D9"/>
                </w:tcPr>
                <w:p>
                  <w:pPr>
                    <w:keepNext/>
                    <w:keepLines/>
                    <w:widowControl w:val="0"/>
                    <w:overflowPunct w:val="0"/>
                    <w:spacing w:before="120" w:after="120" w:line="240" w:lineRule="auto"/>
                    <w:jc w:val="center"/>
                    <w:textAlignment w:val="baseline"/>
                    <w:rPr>
                      <w:rFonts w:ascii="Arial" w:hAnsi="Arial" w:eastAsia="等线"/>
                      <w:sz w:val="18"/>
                      <w:szCs w:val="18"/>
                    </w:rPr>
                  </w:pPr>
                  <w:r>
                    <w:rPr>
                      <w:rFonts w:hint="eastAsia" w:ascii="Arial" w:hAnsi="Arial" w:eastAsia="等线" w:cs="Arial"/>
                      <w:sz w:val="18"/>
                      <w:szCs w:val="18"/>
                    </w:rPr>
                    <w:t>11</w:t>
                  </w:r>
                </w:p>
              </w:tc>
              <w:tc>
                <w:tcPr>
                  <w:tcW w:w="7719" w:type="dxa"/>
                  <w:tcBorders>
                    <w:top w:val="single" w:color="auto" w:sz="4" w:space="0"/>
                    <w:left w:val="single" w:color="auto" w:sz="4" w:space="0"/>
                    <w:bottom w:val="single" w:color="auto" w:sz="4" w:space="0"/>
                    <w:right w:val="single" w:color="auto" w:sz="4" w:space="0"/>
                  </w:tcBorders>
                </w:tcPr>
                <w:p>
                  <w:pPr>
                    <w:keepNext/>
                    <w:keepLines/>
                    <w:widowControl w:val="0"/>
                    <w:overflowPunct w:val="0"/>
                    <w:spacing w:before="120" w:after="120" w:line="240" w:lineRule="auto"/>
                    <w:jc w:val="center"/>
                    <w:textAlignment w:val="baseline"/>
                    <w:rPr>
                      <w:rFonts w:ascii="Arial" w:hAnsi="Arial" w:eastAsia="等线"/>
                      <w:sz w:val="18"/>
                      <w:szCs w:val="18"/>
                    </w:rPr>
                  </w:pPr>
                  <w:r>
                    <w:rPr>
                      <w:rFonts w:hint="eastAsia" w:ascii="Arial" w:hAnsi="Arial" w:eastAsia="等线" w:cs="Arial"/>
                      <w:strike/>
                      <w:color w:val="FF0000"/>
                      <w:sz w:val="18"/>
                      <w:szCs w:val="18"/>
                    </w:rPr>
                    <w:t>Both</w:t>
                  </w:r>
                  <w:r>
                    <w:rPr>
                      <w:rFonts w:ascii="Arial" w:hAnsi="Arial" w:eastAsia="等线" w:cs="Arial"/>
                      <w:color w:val="FF0000"/>
                      <w:sz w:val="18"/>
                      <w:szCs w:val="18"/>
                    </w:rPr>
                    <w:t xml:space="preserve"> </w:t>
                  </w:r>
                  <w:r>
                    <w:rPr>
                      <w:rFonts w:hint="eastAsia" w:ascii="Arial" w:hAnsi="Arial" w:eastAsia="等线" w:cs="Arial"/>
                      <w:sz w:val="18"/>
                      <w:szCs w:val="18"/>
                    </w:rPr>
                    <w:t>scheduling information for Paging</w:t>
                  </w:r>
                  <w:r>
                    <w:rPr>
                      <w:rFonts w:ascii="Arial" w:hAnsi="Arial" w:eastAsia="等线"/>
                      <w:sz w:val="18"/>
                      <w:szCs w:val="18"/>
                    </w:rPr>
                    <w:t>,</w:t>
                  </w:r>
                  <w:r>
                    <w:rPr>
                      <w:rFonts w:ascii="Arial" w:hAnsi="Arial" w:eastAsia="等线" w:cs="Arial"/>
                      <w:sz w:val="18"/>
                      <w:szCs w:val="18"/>
                    </w:rPr>
                    <w:t xml:space="preserve"> </w:t>
                  </w:r>
                  <w:r>
                    <w:rPr>
                      <w:rFonts w:ascii="Arial" w:hAnsi="Arial" w:eastAsia="等线"/>
                      <w:sz w:val="18"/>
                      <w:szCs w:val="18"/>
                    </w:rPr>
                    <w:t xml:space="preserve">TRS availability indication if </w:t>
                  </w:r>
                  <w:r>
                    <w:rPr>
                      <w:rFonts w:ascii="Arial" w:hAnsi="Arial" w:eastAsia="等线"/>
                      <w:i/>
                      <w:sz w:val="18"/>
                      <w:szCs w:val="18"/>
                    </w:rPr>
                    <w:t>trs-ResourceSetConfig</w:t>
                  </w:r>
                  <w:r>
                    <w:rPr>
                      <w:rFonts w:ascii="Arial" w:hAnsi="Arial" w:eastAsia="等线"/>
                      <w:sz w:val="18"/>
                      <w:szCs w:val="18"/>
                    </w:rPr>
                    <w:t xml:space="preserve"> is configured</w:t>
                  </w:r>
                  <w:r>
                    <w:rPr>
                      <w:rFonts w:ascii="Arial" w:hAnsi="Arial" w:eastAsia="等线"/>
                      <w:color w:val="FF0000"/>
                      <w:sz w:val="18"/>
                      <w:szCs w:val="18"/>
                      <w:u w:val="single"/>
                    </w:rPr>
                    <w:t>,</w:t>
                  </w:r>
                  <w:r>
                    <w:rPr>
                      <w:rFonts w:ascii="Arial" w:hAnsi="Arial" w:eastAsia="等线" w:cs="Arial"/>
                      <w:sz w:val="18"/>
                      <w:szCs w:val="18"/>
                    </w:rPr>
                    <w:t xml:space="preserve"> </w:t>
                  </w:r>
                  <w:r>
                    <w:rPr>
                      <w:rFonts w:hint="eastAsia" w:ascii="Arial" w:hAnsi="Arial" w:eastAsia="等线" w:cs="Arial"/>
                      <w:strike/>
                      <w:color w:val="FF0000"/>
                      <w:sz w:val="18"/>
                      <w:szCs w:val="18"/>
                    </w:rPr>
                    <w:t>and</w:t>
                  </w:r>
                  <w:r>
                    <w:rPr>
                      <w:rFonts w:ascii="Arial" w:hAnsi="Arial" w:eastAsia="等线" w:cs="Arial"/>
                      <w:sz w:val="18"/>
                      <w:szCs w:val="18"/>
                    </w:rPr>
                    <w:t xml:space="preserve"> </w:t>
                  </w:r>
                  <w:r>
                    <w:rPr>
                      <w:rFonts w:hint="eastAsia" w:ascii="Arial" w:hAnsi="Arial" w:eastAsia="等线" w:cs="Arial"/>
                      <w:sz w:val="18"/>
                      <w:szCs w:val="18"/>
                    </w:rPr>
                    <w:t>short message</w:t>
                  </w:r>
                  <w:r>
                    <w:rPr>
                      <w:rFonts w:ascii="Arial" w:hAnsi="Arial" w:eastAsia="等线"/>
                      <w:color w:val="FF0000"/>
                      <w:sz w:val="18"/>
                      <w:szCs w:val="18"/>
                      <w:u w:val="single"/>
                    </w:rPr>
                    <w:t xml:space="preserve">, and availability indication of PRACH resource if </w:t>
                  </w:r>
                  <w:r>
                    <w:rPr>
                      <w:rFonts w:ascii="Arial" w:hAnsi="Arial" w:eastAsia="等线"/>
                      <w:i/>
                      <w:iCs/>
                      <w:color w:val="FF0000"/>
                      <w:sz w:val="18"/>
                      <w:szCs w:val="18"/>
                      <w:u w:val="single"/>
                    </w:rPr>
                    <w:t>addl-RACH-Config-Adaptation</w:t>
                  </w:r>
                  <w:r>
                    <w:rPr>
                      <w:rFonts w:ascii="Arial" w:hAnsi="Arial" w:eastAsia="等线" w:cs="Arial"/>
                      <w:i/>
                      <w:iCs/>
                      <w:color w:val="FF0000"/>
                      <w:sz w:val="18"/>
                      <w:szCs w:val="18"/>
                      <w:u w:val="single"/>
                    </w:rPr>
                    <w:t xml:space="preserve"> </w:t>
                  </w:r>
                  <w:r>
                    <w:rPr>
                      <w:rFonts w:ascii="Arial" w:hAnsi="Arial" w:eastAsia="等线"/>
                      <w:iCs/>
                      <w:color w:val="FF0000"/>
                      <w:sz w:val="18"/>
                      <w:szCs w:val="18"/>
                      <w:u w:val="single"/>
                    </w:rPr>
                    <w:t>is configured</w:t>
                  </w:r>
                  <w:r>
                    <w:rPr>
                      <w:rFonts w:ascii="Arial" w:hAnsi="Arial" w:eastAsia="等线" w:cs="Arial"/>
                      <w:sz w:val="18"/>
                      <w:szCs w:val="18"/>
                    </w:rPr>
                    <w:t xml:space="preserve"> </w:t>
                  </w:r>
                  <w:r>
                    <w:rPr>
                      <w:rFonts w:hint="eastAsia" w:ascii="Arial" w:hAnsi="Arial" w:eastAsia="等线" w:cs="Arial"/>
                      <w:sz w:val="18"/>
                      <w:szCs w:val="18"/>
                    </w:rPr>
                    <w:t>are present in the DCI</w:t>
                  </w:r>
                </w:p>
              </w:tc>
            </w:tr>
          </w:tbl>
          <w:p>
            <w:pPr>
              <w:widowControl w:val="0"/>
              <w:spacing w:before="120" w:after="120"/>
              <w:jc w:val="center"/>
              <w:rPr>
                <w:color w:val="C00000"/>
                <w:sz w:val="22"/>
              </w:rPr>
            </w:pPr>
            <w:r>
              <w:rPr>
                <w:color w:val="C00000"/>
                <w:sz w:val="22"/>
              </w:rPr>
              <w:t>&lt;Omit&gt;</w:t>
            </w:r>
          </w:p>
        </w:tc>
      </w:tr>
    </w:tbl>
    <w:p>
      <w:pPr>
        <w:pStyle w:val="63"/>
        <w:spacing w:before="120" w:after="120"/>
        <w:jc w:val="both"/>
        <w:rPr>
          <w:lang w:val="en-US" w:eastAsia="zh-CN"/>
        </w:rPr>
      </w:pPr>
      <w:bookmarkStart w:id="8" w:name="_Toc213404558"/>
      <w:bookmarkStart w:id="9" w:name="_Toc206072902"/>
      <w:bookmarkStart w:id="10" w:name="_Toc24696"/>
      <w:r>
        <w:rPr>
          <w:rFonts w:hint="eastAsia"/>
          <w:lang w:val="en-US" w:eastAsia="zh-CN"/>
        </w:rPr>
        <w:t>Adopt text proposal#3</w:t>
      </w:r>
      <w:r>
        <w:rPr>
          <w:lang w:val="en-US" w:eastAsia="zh-CN"/>
        </w:rPr>
        <w:t xml:space="preserve"> on Table 7.3.1.2.1-1 for </w:t>
      </w:r>
      <w:r>
        <w:rPr>
          <w:rFonts w:hint="eastAsia"/>
          <w:lang w:val="en-US" w:eastAsia="zh-CN"/>
        </w:rPr>
        <w:t>TS</w:t>
      </w:r>
      <w:r>
        <w:rPr>
          <w:lang w:val="en-US" w:eastAsia="zh-CN"/>
        </w:rPr>
        <w:t>38.212.</w:t>
      </w:r>
      <w:bookmarkEnd w:id="8"/>
      <w:bookmarkEnd w:id="9"/>
      <w:bookmarkEnd w:id="10"/>
    </w:p>
    <w:p>
      <w:pPr>
        <w:spacing w:before="120" w:after="120"/>
        <w:rPr>
          <w:b/>
          <w:bCs/>
          <w:sz w:val="24"/>
          <w:szCs w:val="24"/>
        </w:rPr>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Conclusion</w:t>
      </w:r>
    </w:p>
    <w:p>
      <w:pPr>
        <w:spacing w:before="120" w:after="120"/>
        <w:rPr>
          <w:highlight w:val="yellow"/>
        </w:rPr>
      </w:pPr>
      <w:r>
        <w:t>In this contribution, we have the following proposal:</w:t>
      </w:r>
    </w:p>
    <w:p>
      <w:pPr>
        <w:pStyle w:val="20"/>
        <w:tabs>
          <w:tab w:val="left" w:pos="1282"/>
        </w:tabs>
        <w:spacing w:before="120" w:after="120"/>
        <w:rPr>
          <w:rFonts w:asciiTheme="minorHAnsi" w:hAnsiTheme="minorHAnsi" w:eastAsiaTheme="minorEastAsia" w:cstheme="minorBidi"/>
          <w:b w:val="0"/>
          <w:bCs w:val="0"/>
          <w:i w:val="0"/>
          <w:iCs w:val="0"/>
          <w:sz w:val="21"/>
          <w:szCs w:val="22"/>
        </w:rPr>
      </w:pPr>
      <w:r>
        <w:rPr>
          <w:highlight w:val="yellow"/>
        </w:rPr>
        <w:fldChar w:fldCharType="begin"/>
      </w:r>
      <w:r>
        <w:rPr>
          <w:highlight w:val="yellow"/>
        </w:rPr>
        <w:instrText xml:space="preserve">TOC \n  \t "YJ-Proposal,1,sub-proposal,2,3rd level proposal,3" \h</w:instrText>
      </w:r>
      <w:r>
        <w:rPr>
          <w:highlight w:val="yellow"/>
        </w:rPr>
        <w:fldChar w:fldCharType="separate"/>
      </w:r>
      <w:r>
        <w:fldChar w:fldCharType="begin"/>
      </w:r>
      <w:r>
        <w:instrText xml:space="preserve"> HYPERLINK \l "_Toc213404556" </w:instrText>
      </w:r>
      <w:r>
        <w:fldChar w:fldCharType="separate"/>
      </w:r>
      <w:r>
        <w:rPr>
          <w:rStyle w:val="30"/>
        </w:rPr>
        <w:t>Proposal 1:</w:t>
      </w:r>
      <w:r>
        <w:rPr>
          <w:rFonts w:asciiTheme="minorHAnsi" w:hAnsiTheme="minorHAnsi" w:eastAsiaTheme="minorEastAsia" w:cstheme="minorBidi"/>
          <w:b w:val="0"/>
          <w:bCs w:val="0"/>
          <w:i w:val="0"/>
          <w:iCs w:val="0"/>
          <w:sz w:val="21"/>
          <w:szCs w:val="22"/>
        </w:rPr>
        <w:tab/>
      </w:r>
      <w:r>
        <w:rPr>
          <w:rStyle w:val="30"/>
        </w:rPr>
        <w:t>Adopt text proposal#1 for clause 6.1 of TS 38.214.</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"_Toc213404557" </w:instrText>
      </w:r>
      <w:r>
        <w:fldChar w:fldCharType="separate"/>
      </w:r>
      <w:r>
        <w:rPr>
          <w:rStyle w:val="30"/>
        </w:rPr>
        <w:t>Proposal 2:</w:t>
      </w:r>
      <w:r>
        <w:rPr>
          <w:rFonts w:asciiTheme="minorHAnsi" w:hAnsiTheme="minorHAnsi" w:eastAsiaTheme="minorEastAsia" w:cstheme="minorBidi"/>
          <w:b w:val="0"/>
          <w:bCs w:val="0"/>
          <w:i w:val="0"/>
          <w:iCs w:val="0"/>
          <w:sz w:val="21"/>
          <w:szCs w:val="22"/>
        </w:rPr>
        <w:tab/>
      </w:r>
      <w:r>
        <w:rPr>
          <w:rStyle w:val="30"/>
        </w:rPr>
        <w:t>Adopt text proposal#2 for clause 9 of TS 38.213.</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"_Toc213404558" </w:instrText>
      </w:r>
      <w:r>
        <w:fldChar w:fldCharType="separate"/>
      </w:r>
      <w:r>
        <w:rPr>
          <w:rStyle w:val="30"/>
        </w:rPr>
        <w:t>Proposal 3:</w:t>
      </w:r>
      <w:r>
        <w:rPr>
          <w:rFonts w:asciiTheme="minorHAnsi" w:hAnsiTheme="minorHAnsi" w:eastAsiaTheme="minorEastAsia" w:cstheme="minorBidi"/>
          <w:b w:val="0"/>
          <w:bCs w:val="0"/>
          <w:i w:val="0"/>
          <w:iCs w:val="0"/>
          <w:sz w:val="21"/>
          <w:szCs w:val="22"/>
        </w:rPr>
        <w:tab/>
      </w:r>
      <w:r>
        <w:rPr>
          <w:rStyle w:val="30"/>
        </w:rPr>
        <w:t>Adopt text proposal#3 on Table 7.3.1.2.1-1 for TS38.212.</w:t>
      </w:r>
      <w:r>
        <w:rPr>
          <w:rStyle w:val="30"/>
        </w:rPr>
        <w:fldChar w:fldCharType="end"/>
      </w:r>
    </w:p>
    <w:p>
      <w:pPr>
        <w:spacing w:before="120" w:after="120"/>
        <w:rPr>
          <w:highlight w:val="yellow"/>
        </w:rPr>
      </w:pPr>
      <w:r>
        <w:rPr>
          <w:highlight w:val="yellow"/>
        </w:rPr>
        <w:fldChar w:fldCharType="end"/>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References</w:t>
      </w:r>
    </w:p>
    <w:p>
      <w:pPr>
        <w:pStyle w:val="39"/>
        <w:spacing w:before="120" w:after="120"/>
        <w:ind w:left="363" w:hanging="363"/>
      </w:pPr>
      <w:r>
        <w:t>TS 38.213, Physical layer procedure for control</w:t>
      </w:r>
      <w:r>
        <w:rPr>
          <w:rFonts w:hint="eastAsia"/>
        </w:rPr>
        <w:t>, v19.1.0, 2025-09</w:t>
      </w:r>
      <w:r>
        <w:t>.</w:t>
      </w:r>
    </w:p>
    <w:p>
      <w:pPr>
        <w:pStyle w:val="39"/>
        <w:spacing w:before="120" w:after="120"/>
        <w:ind w:left="363" w:hanging="363"/>
      </w:pPr>
      <w:r>
        <w:rPr>
          <w:rFonts w:hint="eastAsia"/>
        </w:rPr>
        <w:t>TS 38.214, Physical layer procedures for data, v19.1.0, 2025-09.</w:t>
      </w:r>
    </w:p>
    <w:p>
      <w:pPr>
        <w:pStyle w:val="39"/>
        <w:spacing w:before="120" w:after="120"/>
        <w:ind w:left="363" w:hanging="363"/>
      </w:pPr>
      <w:r>
        <w:t>TS 38.21</w:t>
      </w:r>
      <w:r>
        <w:rPr>
          <w:rFonts w:hint="eastAsia"/>
        </w:rPr>
        <w:t>2</w:t>
      </w:r>
      <w:r>
        <w:t xml:space="preserve">, </w:t>
      </w:r>
      <w:r>
        <w:rPr>
          <w:rFonts w:hint="eastAsia"/>
        </w:rPr>
        <w:t>Multiplexing and channel coding, v19.1.0, 2025-09</w:t>
      </w:r>
      <w:r>
        <w:t>.</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4">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lang w:val="en-U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2EF7AE3"/>
    <w:multiLevelType w:val="multilevel"/>
    <w:tmpl w:val="42EF7AE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62828"/>
    <w:rsid w:val="00067806"/>
    <w:rsid w:val="000720E0"/>
    <w:rsid w:val="00072FB0"/>
    <w:rsid w:val="00074518"/>
    <w:rsid w:val="000814A8"/>
    <w:rsid w:val="000849F9"/>
    <w:rsid w:val="00093DF3"/>
    <w:rsid w:val="000A15BE"/>
    <w:rsid w:val="000A3F71"/>
    <w:rsid w:val="000A7569"/>
    <w:rsid w:val="000B30EA"/>
    <w:rsid w:val="000B75EA"/>
    <w:rsid w:val="000C1A96"/>
    <w:rsid w:val="000D0462"/>
    <w:rsid w:val="000D3E8D"/>
    <w:rsid w:val="000E2433"/>
    <w:rsid w:val="000E6BBB"/>
    <w:rsid w:val="000F0C3E"/>
    <w:rsid w:val="000F28CA"/>
    <w:rsid w:val="00103906"/>
    <w:rsid w:val="001237BF"/>
    <w:rsid w:val="001247FE"/>
    <w:rsid w:val="001326EB"/>
    <w:rsid w:val="00135533"/>
    <w:rsid w:val="00142961"/>
    <w:rsid w:val="001460F7"/>
    <w:rsid w:val="0014618D"/>
    <w:rsid w:val="001470AA"/>
    <w:rsid w:val="00153BF7"/>
    <w:rsid w:val="0016113B"/>
    <w:rsid w:val="001622FF"/>
    <w:rsid w:val="001632AB"/>
    <w:rsid w:val="00163CE0"/>
    <w:rsid w:val="00172A27"/>
    <w:rsid w:val="001754AE"/>
    <w:rsid w:val="0018732E"/>
    <w:rsid w:val="00191912"/>
    <w:rsid w:val="00195F46"/>
    <w:rsid w:val="001970A0"/>
    <w:rsid w:val="001A214A"/>
    <w:rsid w:val="001B3634"/>
    <w:rsid w:val="001C1894"/>
    <w:rsid w:val="001C196F"/>
    <w:rsid w:val="001D1287"/>
    <w:rsid w:val="001D7546"/>
    <w:rsid w:val="001E125B"/>
    <w:rsid w:val="001E262F"/>
    <w:rsid w:val="001E54E9"/>
    <w:rsid w:val="001E5F46"/>
    <w:rsid w:val="001F1BB1"/>
    <w:rsid w:val="001F26CE"/>
    <w:rsid w:val="001F415E"/>
    <w:rsid w:val="001F6E58"/>
    <w:rsid w:val="00202C89"/>
    <w:rsid w:val="0020406B"/>
    <w:rsid w:val="0021112A"/>
    <w:rsid w:val="00212872"/>
    <w:rsid w:val="0021360B"/>
    <w:rsid w:val="00216169"/>
    <w:rsid w:val="002240E1"/>
    <w:rsid w:val="00224A1A"/>
    <w:rsid w:val="00227DF5"/>
    <w:rsid w:val="002320CA"/>
    <w:rsid w:val="00237E4C"/>
    <w:rsid w:val="00240027"/>
    <w:rsid w:val="002401EC"/>
    <w:rsid w:val="00242043"/>
    <w:rsid w:val="00243B44"/>
    <w:rsid w:val="00244ABB"/>
    <w:rsid w:val="00247959"/>
    <w:rsid w:val="00247A67"/>
    <w:rsid w:val="00251814"/>
    <w:rsid w:val="00256B05"/>
    <w:rsid w:val="00261C72"/>
    <w:rsid w:val="0026766E"/>
    <w:rsid w:val="00270D65"/>
    <w:rsid w:val="002748A9"/>
    <w:rsid w:val="00274B45"/>
    <w:rsid w:val="00282069"/>
    <w:rsid w:val="002864B5"/>
    <w:rsid w:val="0029079C"/>
    <w:rsid w:val="00292340"/>
    <w:rsid w:val="00296B51"/>
    <w:rsid w:val="002A1DEC"/>
    <w:rsid w:val="002A328C"/>
    <w:rsid w:val="002A41E5"/>
    <w:rsid w:val="002B4661"/>
    <w:rsid w:val="002C18AC"/>
    <w:rsid w:val="002C4448"/>
    <w:rsid w:val="002C68AC"/>
    <w:rsid w:val="002C7CCD"/>
    <w:rsid w:val="002D6C1C"/>
    <w:rsid w:val="002E01BA"/>
    <w:rsid w:val="002F037D"/>
    <w:rsid w:val="002F0E7A"/>
    <w:rsid w:val="002F2535"/>
    <w:rsid w:val="002F5687"/>
    <w:rsid w:val="002F5A8D"/>
    <w:rsid w:val="00302E31"/>
    <w:rsid w:val="00302F20"/>
    <w:rsid w:val="00303936"/>
    <w:rsid w:val="00304FCB"/>
    <w:rsid w:val="00314748"/>
    <w:rsid w:val="00315B5C"/>
    <w:rsid w:val="00316046"/>
    <w:rsid w:val="00316264"/>
    <w:rsid w:val="00317501"/>
    <w:rsid w:val="00322EE2"/>
    <w:rsid w:val="00325735"/>
    <w:rsid w:val="00325902"/>
    <w:rsid w:val="003275A3"/>
    <w:rsid w:val="00332D30"/>
    <w:rsid w:val="0033573E"/>
    <w:rsid w:val="00335FF9"/>
    <w:rsid w:val="0034009F"/>
    <w:rsid w:val="0034028B"/>
    <w:rsid w:val="00340631"/>
    <w:rsid w:val="00343CE4"/>
    <w:rsid w:val="00344E48"/>
    <w:rsid w:val="003466BB"/>
    <w:rsid w:val="0035253F"/>
    <w:rsid w:val="00361D52"/>
    <w:rsid w:val="003704FF"/>
    <w:rsid w:val="00370D7F"/>
    <w:rsid w:val="00371FE9"/>
    <w:rsid w:val="00372A00"/>
    <w:rsid w:val="00373667"/>
    <w:rsid w:val="00376E4B"/>
    <w:rsid w:val="00376EEB"/>
    <w:rsid w:val="00376EF8"/>
    <w:rsid w:val="00380891"/>
    <w:rsid w:val="003872BB"/>
    <w:rsid w:val="003875F1"/>
    <w:rsid w:val="00393F40"/>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61940"/>
    <w:rsid w:val="0046426A"/>
    <w:rsid w:val="004724B4"/>
    <w:rsid w:val="00472B06"/>
    <w:rsid w:val="00477655"/>
    <w:rsid w:val="0048120F"/>
    <w:rsid w:val="00482166"/>
    <w:rsid w:val="00482706"/>
    <w:rsid w:val="00490434"/>
    <w:rsid w:val="00495C90"/>
    <w:rsid w:val="004A142B"/>
    <w:rsid w:val="004A5D1D"/>
    <w:rsid w:val="004A699E"/>
    <w:rsid w:val="004B2609"/>
    <w:rsid w:val="004B44A9"/>
    <w:rsid w:val="004C1A54"/>
    <w:rsid w:val="004C1B6B"/>
    <w:rsid w:val="004E78D4"/>
    <w:rsid w:val="004F0084"/>
    <w:rsid w:val="004F5994"/>
    <w:rsid w:val="00500F45"/>
    <w:rsid w:val="00502E38"/>
    <w:rsid w:val="00503921"/>
    <w:rsid w:val="00506AC4"/>
    <w:rsid w:val="00507A00"/>
    <w:rsid w:val="00510731"/>
    <w:rsid w:val="00514CDD"/>
    <w:rsid w:val="005176E7"/>
    <w:rsid w:val="0051788A"/>
    <w:rsid w:val="00523589"/>
    <w:rsid w:val="00523668"/>
    <w:rsid w:val="00523AD9"/>
    <w:rsid w:val="00523D5E"/>
    <w:rsid w:val="00527033"/>
    <w:rsid w:val="00531571"/>
    <w:rsid w:val="00531B5B"/>
    <w:rsid w:val="00532500"/>
    <w:rsid w:val="0053433D"/>
    <w:rsid w:val="005349A5"/>
    <w:rsid w:val="005372CF"/>
    <w:rsid w:val="00541B22"/>
    <w:rsid w:val="00546436"/>
    <w:rsid w:val="00546B3D"/>
    <w:rsid w:val="00547723"/>
    <w:rsid w:val="0055156E"/>
    <w:rsid w:val="005607F8"/>
    <w:rsid w:val="00564BCB"/>
    <w:rsid w:val="0056509E"/>
    <w:rsid w:val="00572F6E"/>
    <w:rsid w:val="00574776"/>
    <w:rsid w:val="0058526A"/>
    <w:rsid w:val="00585556"/>
    <w:rsid w:val="00587846"/>
    <w:rsid w:val="0059321F"/>
    <w:rsid w:val="00593818"/>
    <w:rsid w:val="005A05C6"/>
    <w:rsid w:val="005A0FE9"/>
    <w:rsid w:val="005A11E7"/>
    <w:rsid w:val="005B77A5"/>
    <w:rsid w:val="005C2E7C"/>
    <w:rsid w:val="005C6B42"/>
    <w:rsid w:val="005D5019"/>
    <w:rsid w:val="005D6A1C"/>
    <w:rsid w:val="005D78A5"/>
    <w:rsid w:val="005E2C89"/>
    <w:rsid w:val="005E545F"/>
    <w:rsid w:val="005F26E5"/>
    <w:rsid w:val="005F33E6"/>
    <w:rsid w:val="005F4271"/>
    <w:rsid w:val="00600A19"/>
    <w:rsid w:val="00600C43"/>
    <w:rsid w:val="00611232"/>
    <w:rsid w:val="00612C6D"/>
    <w:rsid w:val="00614E28"/>
    <w:rsid w:val="0061503F"/>
    <w:rsid w:val="00617327"/>
    <w:rsid w:val="00617EE7"/>
    <w:rsid w:val="00620288"/>
    <w:rsid w:val="00620D7C"/>
    <w:rsid w:val="006231ED"/>
    <w:rsid w:val="00624C23"/>
    <w:rsid w:val="00627607"/>
    <w:rsid w:val="0063199A"/>
    <w:rsid w:val="00633E43"/>
    <w:rsid w:val="00637D11"/>
    <w:rsid w:val="00640605"/>
    <w:rsid w:val="00640B94"/>
    <w:rsid w:val="00642298"/>
    <w:rsid w:val="00646EAA"/>
    <w:rsid w:val="006501AA"/>
    <w:rsid w:val="006536B8"/>
    <w:rsid w:val="00654F58"/>
    <w:rsid w:val="006619AB"/>
    <w:rsid w:val="00662A61"/>
    <w:rsid w:val="00663427"/>
    <w:rsid w:val="00674739"/>
    <w:rsid w:val="00676C72"/>
    <w:rsid w:val="00680FFF"/>
    <w:rsid w:val="006825A0"/>
    <w:rsid w:val="00691376"/>
    <w:rsid w:val="006922EF"/>
    <w:rsid w:val="00694EF8"/>
    <w:rsid w:val="00694FB9"/>
    <w:rsid w:val="006B3226"/>
    <w:rsid w:val="006C2229"/>
    <w:rsid w:val="006C55B1"/>
    <w:rsid w:val="006C69C1"/>
    <w:rsid w:val="006D11DE"/>
    <w:rsid w:val="006D3D89"/>
    <w:rsid w:val="006D425D"/>
    <w:rsid w:val="006E01C3"/>
    <w:rsid w:val="006E2963"/>
    <w:rsid w:val="006F12DF"/>
    <w:rsid w:val="006F4852"/>
    <w:rsid w:val="00700636"/>
    <w:rsid w:val="00701BF9"/>
    <w:rsid w:val="007036F7"/>
    <w:rsid w:val="0070691A"/>
    <w:rsid w:val="0070693A"/>
    <w:rsid w:val="007127C9"/>
    <w:rsid w:val="00717A38"/>
    <w:rsid w:val="00723AD3"/>
    <w:rsid w:val="0073053B"/>
    <w:rsid w:val="0073179A"/>
    <w:rsid w:val="00732790"/>
    <w:rsid w:val="00735DC1"/>
    <w:rsid w:val="007427BB"/>
    <w:rsid w:val="007431FC"/>
    <w:rsid w:val="007440A2"/>
    <w:rsid w:val="00745143"/>
    <w:rsid w:val="0074695D"/>
    <w:rsid w:val="00747C56"/>
    <w:rsid w:val="007501AC"/>
    <w:rsid w:val="00753A12"/>
    <w:rsid w:val="00762F1B"/>
    <w:rsid w:val="0076682E"/>
    <w:rsid w:val="00766F23"/>
    <w:rsid w:val="0077581A"/>
    <w:rsid w:val="0077761A"/>
    <w:rsid w:val="00781C54"/>
    <w:rsid w:val="00784828"/>
    <w:rsid w:val="00785A2A"/>
    <w:rsid w:val="00786A2C"/>
    <w:rsid w:val="00787FA9"/>
    <w:rsid w:val="007A083B"/>
    <w:rsid w:val="007A0CD8"/>
    <w:rsid w:val="007A2993"/>
    <w:rsid w:val="007B0FD9"/>
    <w:rsid w:val="007B23DE"/>
    <w:rsid w:val="007B458B"/>
    <w:rsid w:val="007C4328"/>
    <w:rsid w:val="007C440F"/>
    <w:rsid w:val="007C5FBD"/>
    <w:rsid w:val="007D7E98"/>
    <w:rsid w:val="007E28CE"/>
    <w:rsid w:val="007E4A23"/>
    <w:rsid w:val="007E634B"/>
    <w:rsid w:val="007E692A"/>
    <w:rsid w:val="007F0F18"/>
    <w:rsid w:val="007F25FD"/>
    <w:rsid w:val="007F39F4"/>
    <w:rsid w:val="00801330"/>
    <w:rsid w:val="00802A15"/>
    <w:rsid w:val="00810C42"/>
    <w:rsid w:val="00815B7A"/>
    <w:rsid w:val="00816EF3"/>
    <w:rsid w:val="00824EDA"/>
    <w:rsid w:val="008266C4"/>
    <w:rsid w:val="008412CD"/>
    <w:rsid w:val="0084332A"/>
    <w:rsid w:val="00847621"/>
    <w:rsid w:val="008479FF"/>
    <w:rsid w:val="00852635"/>
    <w:rsid w:val="00852764"/>
    <w:rsid w:val="0085443B"/>
    <w:rsid w:val="008572F8"/>
    <w:rsid w:val="00857E93"/>
    <w:rsid w:val="008652E8"/>
    <w:rsid w:val="00866C30"/>
    <w:rsid w:val="00870679"/>
    <w:rsid w:val="00870E40"/>
    <w:rsid w:val="00886E49"/>
    <w:rsid w:val="00886EA7"/>
    <w:rsid w:val="0089207F"/>
    <w:rsid w:val="00892B4C"/>
    <w:rsid w:val="00892F04"/>
    <w:rsid w:val="00893268"/>
    <w:rsid w:val="0089344F"/>
    <w:rsid w:val="00894520"/>
    <w:rsid w:val="00896C79"/>
    <w:rsid w:val="008A72B5"/>
    <w:rsid w:val="008B3130"/>
    <w:rsid w:val="008B547D"/>
    <w:rsid w:val="008B5C48"/>
    <w:rsid w:val="008B7F10"/>
    <w:rsid w:val="008C0445"/>
    <w:rsid w:val="008E1DE1"/>
    <w:rsid w:val="008E42BA"/>
    <w:rsid w:val="008F255E"/>
    <w:rsid w:val="008F3DC8"/>
    <w:rsid w:val="00903A35"/>
    <w:rsid w:val="00906019"/>
    <w:rsid w:val="009122C3"/>
    <w:rsid w:val="00922624"/>
    <w:rsid w:val="00923BDA"/>
    <w:rsid w:val="009273C8"/>
    <w:rsid w:val="00933CC3"/>
    <w:rsid w:val="0093617A"/>
    <w:rsid w:val="009411A5"/>
    <w:rsid w:val="00946A7C"/>
    <w:rsid w:val="00950DB1"/>
    <w:rsid w:val="00952C83"/>
    <w:rsid w:val="0095545E"/>
    <w:rsid w:val="00957418"/>
    <w:rsid w:val="009610C6"/>
    <w:rsid w:val="0096194F"/>
    <w:rsid w:val="00966E7D"/>
    <w:rsid w:val="00970630"/>
    <w:rsid w:val="00971A1F"/>
    <w:rsid w:val="0097299C"/>
    <w:rsid w:val="009734B7"/>
    <w:rsid w:val="00982F36"/>
    <w:rsid w:val="00983FE2"/>
    <w:rsid w:val="00986B97"/>
    <w:rsid w:val="00992232"/>
    <w:rsid w:val="00994A41"/>
    <w:rsid w:val="009952E2"/>
    <w:rsid w:val="009A380A"/>
    <w:rsid w:val="009A3A36"/>
    <w:rsid w:val="009A4F31"/>
    <w:rsid w:val="009B05AD"/>
    <w:rsid w:val="009B18A3"/>
    <w:rsid w:val="009B541E"/>
    <w:rsid w:val="009B5557"/>
    <w:rsid w:val="009D2A17"/>
    <w:rsid w:val="009D6400"/>
    <w:rsid w:val="009D7770"/>
    <w:rsid w:val="009D7C12"/>
    <w:rsid w:val="009E593F"/>
    <w:rsid w:val="009F2A89"/>
    <w:rsid w:val="009F65A8"/>
    <w:rsid w:val="009F7747"/>
    <w:rsid w:val="00A05A33"/>
    <w:rsid w:val="00A119E4"/>
    <w:rsid w:val="00A14F22"/>
    <w:rsid w:val="00A15BD0"/>
    <w:rsid w:val="00A171E5"/>
    <w:rsid w:val="00A17810"/>
    <w:rsid w:val="00A21523"/>
    <w:rsid w:val="00A26720"/>
    <w:rsid w:val="00A26F09"/>
    <w:rsid w:val="00A33BD9"/>
    <w:rsid w:val="00A40C3F"/>
    <w:rsid w:val="00A4182C"/>
    <w:rsid w:val="00A50B2A"/>
    <w:rsid w:val="00A51CDD"/>
    <w:rsid w:val="00A54A48"/>
    <w:rsid w:val="00A551E2"/>
    <w:rsid w:val="00A56849"/>
    <w:rsid w:val="00A57AD9"/>
    <w:rsid w:val="00A64DED"/>
    <w:rsid w:val="00A656E5"/>
    <w:rsid w:val="00A67E84"/>
    <w:rsid w:val="00A808B7"/>
    <w:rsid w:val="00A809DB"/>
    <w:rsid w:val="00A826D5"/>
    <w:rsid w:val="00A86EB5"/>
    <w:rsid w:val="00A91773"/>
    <w:rsid w:val="00A92854"/>
    <w:rsid w:val="00A92CA8"/>
    <w:rsid w:val="00A96A08"/>
    <w:rsid w:val="00AA1889"/>
    <w:rsid w:val="00AB0AAF"/>
    <w:rsid w:val="00AB251B"/>
    <w:rsid w:val="00AB44C0"/>
    <w:rsid w:val="00AB500B"/>
    <w:rsid w:val="00AB5108"/>
    <w:rsid w:val="00AB6D34"/>
    <w:rsid w:val="00AC24BF"/>
    <w:rsid w:val="00AD1042"/>
    <w:rsid w:val="00AD56C4"/>
    <w:rsid w:val="00AD7FE5"/>
    <w:rsid w:val="00AE15F4"/>
    <w:rsid w:val="00AE5530"/>
    <w:rsid w:val="00AF3608"/>
    <w:rsid w:val="00AF4DE7"/>
    <w:rsid w:val="00B031EF"/>
    <w:rsid w:val="00B11405"/>
    <w:rsid w:val="00B123D9"/>
    <w:rsid w:val="00B138E9"/>
    <w:rsid w:val="00B179E3"/>
    <w:rsid w:val="00B245AA"/>
    <w:rsid w:val="00B25E89"/>
    <w:rsid w:val="00B33E26"/>
    <w:rsid w:val="00B34FF8"/>
    <w:rsid w:val="00B354A9"/>
    <w:rsid w:val="00B43645"/>
    <w:rsid w:val="00B43ED5"/>
    <w:rsid w:val="00B54730"/>
    <w:rsid w:val="00B54747"/>
    <w:rsid w:val="00B56091"/>
    <w:rsid w:val="00B60F6C"/>
    <w:rsid w:val="00B63A3E"/>
    <w:rsid w:val="00B663FA"/>
    <w:rsid w:val="00B76824"/>
    <w:rsid w:val="00B76847"/>
    <w:rsid w:val="00B81C3C"/>
    <w:rsid w:val="00B8231C"/>
    <w:rsid w:val="00B87AB7"/>
    <w:rsid w:val="00BA72B7"/>
    <w:rsid w:val="00BA7674"/>
    <w:rsid w:val="00BB08C4"/>
    <w:rsid w:val="00BB34C3"/>
    <w:rsid w:val="00BD72A5"/>
    <w:rsid w:val="00BE22EC"/>
    <w:rsid w:val="00BE5D22"/>
    <w:rsid w:val="00BE7E0A"/>
    <w:rsid w:val="00BF526E"/>
    <w:rsid w:val="00BF743C"/>
    <w:rsid w:val="00C07C74"/>
    <w:rsid w:val="00C10FE5"/>
    <w:rsid w:val="00C11A4D"/>
    <w:rsid w:val="00C12784"/>
    <w:rsid w:val="00C14105"/>
    <w:rsid w:val="00C16276"/>
    <w:rsid w:val="00C2142E"/>
    <w:rsid w:val="00C22FCF"/>
    <w:rsid w:val="00C2334E"/>
    <w:rsid w:val="00C2713A"/>
    <w:rsid w:val="00C27A3E"/>
    <w:rsid w:val="00C34FD0"/>
    <w:rsid w:val="00C5232C"/>
    <w:rsid w:val="00C52D2F"/>
    <w:rsid w:val="00C625E3"/>
    <w:rsid w:val="00C628DA"/>
    <w:rsid w:val="00C67AE3"/>
    <w:rsid w:val="00C76271"/>
    <w:rsid w:val="00C829B3"/>
    <w:rsid w:val="00C855D2"/>
    <w:rsid w:val="00C87A17"/>
    <w:rsid w:val="00C922BC"/>
    <w:rsid w:val="00C925E7"/>
    <w:rsid w:val="00C94848"/>
    <w:rsid w:val="00CA09F5"/>
    <w:rsid w:val="00CA152B"/>
    <w:rsid w:val="00CA4E1D"/>
    <w:rsid w:val="00CB03D7"/>
    <w:rsid w:val="00CB046A"/>
    <w:rsid w:val="00CB7FB3"/>
    <w:rsid w:val="00CC01B0"/>
    <w:rsid w:val="00CC11A8"/>
    <w:rsid w:val="00CC2CD6"/>
    <w:rsid w:val="00CC62E2"/>
    <w:rsid w:val="00CD27B3"/>
    <w:rsid w:val="00CD3354"/>
    <w:rsid w:val="00CD56AA"/>
    <w:rsid w:val="00CD5E4A"/>
    <w:rsid w:val="00CD62C4"/>
    <w:rsid w:val="00CE32ED"/>
    <w:rsid w:val="00CF0062"/>
    <w:rsid w:val="00CF0689"/>
    <w:rsid w:val="00CF25E8"/>
    <w:rsid w:val="00CF4293"/>
    <w:rsid w:val="00CF7B0F"/>
    <w:rsid w:val="00D009FC"/>
    <w:rsid w:val="00D04A5E"/>
    <w:rsid w:val="00D06F00"/>
    <w:rsid w:val="00D07779"/>
    <w:rsid w:val="00D07CB9"/>
    <w:rsid w:val="00D14578"/>
    <w:rsid w:val="00D24465"/>
    <w:rsid w:val="00D27BF8"/>
    <w:rsid w:val="00D30D70"/>
    <w:rsid w:val="00D30FF6"/>
    <w:rsid w:val="00D34373"/>
    <w:rsid w:val="00D348E8"/>
    <w:rsid w:val="00D36A44"/>
    <w:rsid w:val="00D41BA6"/>
    <w:rsid w:val="00D5080B"/>
    <w:rsid w:val="00D54F1B"/>
    <w:rsid w:val="00D57D7B"/>
    <w:rsid w:val="00D60DA9"/>
    <w:rsid w:val="00D701BB"/>
    <w:rsid w:val="00D714E2"/>
    <w:rsid w:val="00D7289E"/>
    <w:rsid w:val="00D73CF0"/>
    <w:rsid w:val="00D75590"/>
    <w:rsid w:val="00D81E6C"/>
    <w:rsid w:val="00D82051"/>
    <w:rsid w:val="00D82CF5"/>
    <w:rsid w:val="00D838A0"/>
    <w:rsid w:val="00D85B2C"/>
    <w:rsid w:val="00D871C4"/>
    <w:rsid w:val="00D8785A"/>
    <w:rsid w:val="00D91349"/>
    <w:rsid w:val="00D91755"/>
    <w:rsid w:val="00D92E3B"/>
    <w:rsid w:val="00D97B0C"/>
    <w:rsid w:val="00DB0E95"/>
    <w:rsid w:val="00DB12AD"/>
    <w:rsid w:val="00DB2010"/>
    <w:rsid w:val="00DB4572"/>
    <w:rsid w:val="00DB505E"/>
    <w:rsid w:val="00DC0C4F"/>
    <w:rsid w:val="00DC1213"/>
    <w:rsid w:val="00DC516B"/>
    <w:rsid w:val="00DC6E1E"/>
    <w:rsid w:val="00DC70F6"/>
    <w:rsid w:val="00DC724A"/>
    <w:rsid w:val="00DC7E0B"/>
    <w:rsid w:val="00DD5F49"/>
    <w:rsid w:val="00DF4482"/>
    <w:rsid w:val="00E05651"/>
    <w:rsid w:val="00E068AA"/>
    <w:rsid w:val="00E1380B"/>
    <w:rsid w:val="00E17337"/>
    <w:rsid w:val="00E24273"/>
    <w:rsid w:val="00E258FC"/>
    <w:rsid w:val="00E271A5"/>
    <w:rsid w:val="00E27E55"/>
    <w:rsid w:val="00E30348"/>
    <w:rsid w:val="00E339EA"/>
    <w:rsid w:val="00E426F6"/>
    <w:rsid w:val="00E52879"/>
    <w:rsid w:val="00E55791"/>
    <w:rsid w:val="00E56340"/>
    <w:rsid w:val="00E66084"/>
    <w:rsid w:val="00E67009"/>
    <w:rsid w:val="00E704FD"/>
    <w:rsid w:val="00E70ABC"/>
    <w:rsid w:val="00E74935"/>
    <w:rsid w:val="00E75D6F"/>
    <w:rsid w:val="00E8609B"/>
    <w:rsid w:val="00E91559"/>
    <w:rsid w:val="00E91971"/>
    <w:rsid w:val="00E92BF0"/>
    <w:rsid w:val="00E94718"/>
    <w:rsid w:val="00E95FFE"/>
    <w:rsid w:val="00EA0820"/>
    <w:rsid w:val="00EA7040"/>
    <w:rsid w:val="00EA7950"/>
    <w:rsid w:val="00EB4671"/>
    <w:rsid w:val="00EB70EA"/>
    <w:rsid w:val="00EC0F75"/>
    <w:rsid w:val="00ED0DCA"/>
    <w:rsid w:val="00ED47A7"/>
    <w:rsid w:val="00ED7558"/>
    <w:rsid w:val="00EE1EE7"/>
    <w:rsid w:val="00EE3211"/>
    <w:rsid w:val="00F019E9"/>
    <w:rsid w:val="00F05DFC"/>
    <w:rsid w:val="00F072E8"/>
    <w:rsid w:val="00F10685"/>
    <w:rsid w:val="00F143A1"/>
    <w:rsid w:val="00F1480F"/>
    <w:rsid w:val="00F179F3"/>
    <w:rsid w:val="00F2072B"/>
    <w:rsid w:val="00F23336"/>
    <w:rsid w:val="00F34277"/>
    <w:rsid w:val="00F4372E"/>
    <w:rsid w:val="00F4492D"/>
    <w:rsid w:val="00F45130"/>
    <w:rsid w:val="00F453FE"/>
    <w:rsid w:val="00F70730"/>
    <w:rsid w:val="00F71825"/>
    <w:rsid w:val="00F77A05"/>
    <w:rsid w:val="00F80169"/>
    <w:rsid w:val="00F81514"/>
    <w:rsid w:val="00F82200"/>
    <w:rsid w:val="00F86352"/>
    <w:rsid w:val="00F87040"/>
    <w:rsid w:val="00F95A32"/>
    <w:rsid w:val="00FA3FD9"/>
    <w:rsid w:val="00FA6170"/>
    <w:rsid w:val="00FA6AF6"/>
    <w:rsid w:val="00FA7D65"/>
    <w:rsid w:val="00FB1A68"/>
    <w:rsid w:val="00FB3F1B"/>
    <w:rsid w:val="00FB4A6F"/>
    <w:rsid w:val="00FB593A"/>
    <w:rsid w:val="00FC20D8"/>
    <w:rsid w:val="00FC72FB"/>
    <w:rsid w:val="00FC745A"/>
    <w:rsid w:val="00FD0FB8"/>
    <w:rsid w:val="00FE0900"/>
    <w:rsid w:val="00FF2528"/>
    <w:rsid w:val="010D0267"/>
    <w:rsid w:val="010D6400"/>
    <w:rsid w:val="01116D56"/>
    <w:rsid w:val="011C7F2E"/>
    <w:rsid w:val="011D1CFC"/>
    <w:rsid w:val="013B3CF1"/>
    <w:rsid w:val="01466B34"/>
    <w:rsid w:val="015462A2"/>
    <w:rsid w:val="01684674"/>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B62257"/>
    <w:rsid w:val="03F50BF8"/>
    <w:rsid w:val="03F757EE"/>
    <w:rsid w:val="040D5006"/>
    <w:rsid w:val="04176B15"/>
    <w:rsid w:val="04250069"/>
    <w:rsid w:val="042E1F9F"/>
    <w:rsid w:val="04332B60"/>
    <w:rsid w:val="044D1A33"/>
    <w:rsid w:val="049C2026"/>
    <w:rsid w:val="04B147BC"/>
    <w:rsid w:val="04B87A2F"/>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965B13"/>
    <w:rsid w:val="05AA751F"/>
    <w:rsid w:val="05AB3E4C"/>
    <w:rsid w:val="05C40254"/>
    <w:rsid w:val="05D01949"/>
    <w:rsid w:val="05D45DE8"/>
    <w:rsid w:val="05DD3B0E"/>
    <w:rsid w:val="06083F43"/>
    <w:rsid w:val="061E71D7"/>
    <w:rsid w:val="063B5AA9"/>
    <w:rsid w:val="064D537E"/>
    <w:rsid w:val="06541F59"/>
    <w:rsid w:val="06551195"/>
    <w:rsid w:val="067056D9"/>
    <w:rsid w:val="067A5C39"/>
    <w:rsid w:val="067F5C8B"/>
    <w:rsid w:val="06883795"/>
    <w:rsid w:val="069258CC"/>
    <w:rsid w:val="0699736F"/>
    <w:rsid w:val="06A12B72"/>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3E2069"/>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554A48"/>
    <w:rsid w:val="0D6718A8"/>
    <w:rsid w:val="0D8A5C4C"/>
    <w:rsid w:val="0D9D3B84"/>
    <w:rsid w:val="0DA32762"/>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D1FFA"/>
    <w:rsid w:val="0F8E4908"/>
    <w:rsid w:val="0F913335"/>
    <w:rsid w:val="0F96680B"/>
    <w:rsid w:val="0FB60B75"/>
    <w:rsid w:val="0FC003A8"/>
    <w:rsid w:val="0FD96CA9"/>
    <w:rsid w:val="0FDD68DC"/>
    <w:rsid w:val="0FF15BB9"/>
    <w:rsid w:val="0FF906E7"/>
    <w:rsid w:val="0FFD586A"/>
    <w:rsid w:val="10020B62"/>
    <w:rsid w:val="10087FF8"/>
    <w:rsid w:val="10135C77"/>
    <w:rsid w:val="1035011A"/>
    <w:rsid w:val="103607AE"/>
    <w:rsid w:val="10384280"/>
    <w:rsid w:val="105D7F23"/>
    <w:rsid w:val="106506A9"/>
    <w:rsid w:val="108E0879"/>
    <w:rsid w:val="10901D25"/>
    <w:rsid w:val="10A7382A"/>
    <w:rsid w:val="10C359D9"/>
    <w:rsid w:val="11011524"/>
    <w:rsid w:val="110877A1"/>
    <w:rsid w:val="110D72EA"/>
    <w:rsid w:val="110E7959"/>
    <w:rsid w:val="1119722C"/>
    <w:rsid w:val="1127264D"/>
    <w:rsid w:val="113225BB"/>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85150C"/>
    <w:rsid w:val="128B3B12"/>
    <w:rsid w:val="129245E5"/>
    <w:rsid w:val="12C10D7D"/>
    <w:rsid w:val="12CE1204"/>
    <w:rsid w:val="12F06EE1"/>
    <w:rsid w:val="12F32533"/>
    <w:rsid w:val="12F34854"/>
    <w:rsid w:val="12FB36C9"/>
    <w:rsid w:val="13082C81"/>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79443B"/>
    <w:rsid w:val="148B15E0"/>
    <w:rsid w:val="14D20D9B"/>
    <w:rsid w:val="15006FBE"/>
    <w:rsid w:val="151F6B5A"/>
    <w:rsid w:val="15212130"/>
    <w:rsid w:val="156542CB"/>
    <w:rsid w:val="158014E9"/>
    <w:rsid w:val="158A5B50"/>
    <w:rsid w:val="159F23B3"/>
    <w:rsid w:val="15A2498C"/>
    <w:rsid w:val="15A41290"/>
    <w:rsid w:val="15B37DED"/>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C95E94"/>
    <w:rsid w:val="17EF5DD9"/>
    <w:rsid w:val="17F77922"/>
    <w:rsid w:val="18055C5F"/>
    <w:rsid w:val="1818083E"/>
    <w:rsid w:val="184253B9"/>
    <w:rsid w:val="18434C37"/>
    <w:rsid w:val="186202E0"/>
    <w:rsid w:val="18655B8E"/>
    <w:rsid w:val="186E43F1"/>
    <w:rsid w:val="187E4517"/>
    <w:rsid w:val="188153D5"/>
    <w:rsid w:val="18875C71"/>
    <w:rsid w:val="18B80BCE"/>
    <w:rsid w:val="18C06461"/>
    <w:rsid w:val="18C66922"/>
    <w:rsid w:val="18D15598"/>
    <w:rsid w:val="18DC5CEB"/>
    <w:rsid w:val="18E62FBE"/>
    <w:rsid w:val="18EE7258"/>
    <w:rsid w:val="19000F5A"/>
    <w:rsid w:val="190C7DED"/>
    <w:rsid w:val="19141DBC"/>
    <w:rsid w:val="19270D53"/>
    <w:rsid w:val="193337BA"/>
    <w:rsid w:val="19402796"/>
    <w:rsid w:val="19407B9F"/>
    <w:rsid w:val="195254FA"/>
    <w:rsid w:val="195919BF"/>
    <w:rsid w:val="19677C6A"/>
    <w:rsid w:val="19733859"/>
    <w:rsid w:val="197A49C5"/>
    <w:rsid w:val="198A4DC2"/>
    <w:rsid w:val="199750ED"/>
    <w:rsid w:val="19A57045"/>
    <w:rsid w:val="19AC0EF2"/>
    <w:rsid w:val="19B57275"/>
    <w:rsid w:val="19BE3E90"/>
    <w:rsid w:val="19C11AC9"/>
    <w:rsid w:val="19C37E45"/>
    <w:rsid w:val="19CF40F7"/>
    <w:rsid w:val="19ED0EB9"/>
    <w:rsid w:val="19F21F24"/>
    <w:rsid w:val="1A00617E"/>
    <w:rsid w:val="1A1324AA"/>
    <w:rsid w:val="1A1C2BAB"/>
    <w:rsid w:val="1A1F124B"/>
    <w:rsid w:val="1A210F06"/>
    <w:rsid w:val="1A251079"/>
    <w:rsid w:val="1A28484F"/>
    <w:rsid w:val="1A3573C0"/>
    <w:rsid w:val="1A58762F"/>
    <w:rsid w:val="1A641A0E"/>
    <w:rsid w:val="1A6D533B"/>
    <w:rsid w:val="1A712F48"/>
    <w:rsid w:val="1A9D156F"/>
    <w:rsid w:val="1AA80D9B"/>
    <w:rsid w:val="1AA847EC"/>
    <w:rsid w:val="1AAD0BB3"/>
    <w:rsid w:val="1AB553BB"/>
    <w:rsid w:val="1AD01EB8"/>
    <w:rsid w:val="1AD03E52"/>
    <w:rsid w:val="1AD875EC"/>
    <w:rsid w:val="1AE26A3D"/>
    <w:rsid w:val="1AF475AD"/>
    <w:rsid w:val="1AF92EDF"/>
    <w:rsid w:val="1AFD70F0"/>
    <w:rsid w:val="1B0270FF"/>
    <w:rsid w:val="1B171A8F"/>
    <w:rsid w:val="1B181DD9"/>
    <w:rsid w:val="1B2E7CA1"/>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0A1D05"/>
    <w:rsid w:val="1C2E6201"/>
    <w:rsid w:val="1C302928"/>
    <w:rsid w:val="1C52178E"/>
    <w:rsid w:val="1C68632B"/>
    <w:rsid w:val="1C9F1651"/>
    <w:rsid w:val="1CA36708"/>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6339B"/>
    <w:rsid w:val="1E190463"/>
    <w:rsid w:val="1E24668A"/>
    <w:rsid w:val="1E2A27A6"/>
    <w:rsid w:val="1E4B2FD7"/>
    <w:rsid w:val="1E645EBF"/>
    <w:rsid w:val="1E6D28B4"/>
    <w:rsid w:val="1E7911C9"/>
    <w:rsid w:val="1E7B335B"/>
    <w:rsid w:val="1E8D194D"/>
    <w:rsid w:val="1EA50F33"/>
    <w:rsid w:val="1ED503FA"/>
    <w:rsid w:val="1EE724BA"/>
    <w:rsid w:val="1EF66452"/>
    <w:rsid w:val="1EFF6434"/>
    <w:rsid w:val="1F311F17"/>
    <w:rsid w:val="1F3A0011"/>
    <w:rsid w:val="1F3A5F92"/>
    <w:rsid w:val="1F5607E6"/>
    <w:rsid w:val="1F701095"/>
    <w:rsid w:val="1F7B1AA7"/>
    <w:rsid w:val="1F923DE6"/>
    <w:rsid w:val="1FA42D75"/>
    <w:rsid w:val="1FA610B9"/>
    <w:rsid w:val="1FBE498B"/>
    <w:rsid w:val="1FD024AA"/>
    <w:rsid w:val="1FDC54C4"/>
    <w:rsid w:val="1FEE4C5C"/>
    <w:rsid w:val="1FF012A4"/>
    <w:rsid w:val="1FF23EC9"/>
    <w:rsid w:val="1FF43DAE"/>
    <w:rsid w:val="20040834"/>
    <w:rsid w:val="20190666"/>
    <w:rsid w:val="202C1885"/>
    <w:rsid w:val="203B574B"/>
    <w:rsid w:val="204A7C68"/>
    <w:rsid w:val="2053493C"/>
    <w:rsid w:val="205B2C77"/>
    <w:rsid w:val="205B6A7D"/>
    <w:rsid w:val="205E4038"/>
    <w:rsid w:val="2075093F"/>
    <w:rsid w:val="20786BA2"/>
    <w:rsid w:val="207F447D"/>
    <w:rsid w:val="20884263"/>
    <w:rsid w:val="209D6390"/>
    <w:rsid w:val="20A160B2"/>
    <w:rsid w:val="20C9024B"/>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F34D45"/>
    <w:rsid w:val="21F950CF"/>
    <w:rsid w:val="22045432"/>
    <w:rsid w:val="220D5626"/>
    <w:rsid w:val="22142E2F"/>
    <w:rsid w:val="222A3C9E"/>
    <w:rsid w:val="22396FF8"/>
    <w:rsid w:val="22431035"/>
    <w:rsid w:val="225C0846"/>
    <w:rsid w:val="227E3119"/>
    <w:rsid w:val="229C3220"/>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C660EA"/>
    <w:rsid w:val="23ED0F94"/>
    <w:rsid w:val="23FC3011"/>
    <w:rsid w:val="240D18BD"/>
    <w:rsid w:val="244D2E57"/>
    <w:rsid w:val="246E404E"/>
    <w:rsid w:val="247F538E"/>
    <w:rsid w:val="248114CC"/>
    <w:rsid w:val="24A3249E"/>
    <w:rsid w:val="24A62D02"/>
    <w:rsid w:val="24AE2BE4"/>
    <w:rsid w:val="24AF069B"/>
    <w:rsid w:val="24AF1929"/>
    <w:rsid w:val="24B63D40"/>
    <w:rsid w:val="24C20961"/>
    <w:rsid w:val="24C674E1"/>
    <w:rsid w:val="24C8317D"/>
    <w:rsid w:val="24CA5836"/>
    <w:rsid w:val="24FA0B67"/>
    <w:rsid w:val="25082A0B"/>
    <w:rsid w:val="252A182D"/>
    <w:rsid w:val="25353B62"/>
    <w:rsid w:val="25385F70"/>
    <w:rsid w:val="25417958"/>
    <w:rsid w:val="254369E7"/>
    <w:rsid w:val="25494E1D"/>
    <w:rsid w:val="2566023B"/>
    <w:rsid w:val="256C25B4"/>
    <w:rsid w:val="257A74F9"/>
    <w:rsid w:val="25895A3D"/>
    <w:rsid w:val="258D735D"/>
    <w:rsid w:val="259A68BC"/>
    <w:rsid w:val="25D1716B"/>
    <w:rsid w:val="25DF6A97"/>
    <w:rsid w:val="25E6024A"/>
    <w:rsid w:val="25EA0F86"/>
    <w:rsid w:val="25F14C3D"/>
    <w:rsid w:val="26212585"/>
    <w:rsid w:val="26282ED7"/>
    <w:rsid w:val="263B1449"/>
    <w:rsid w:val="265B6DE8"/>
    <w:rsid w:val="265F04C1"/>
    <w:rsid w:val="2660228B"/>
    <w:rsid w:val="267440C5"/>
    <w:rsid w:val="268C256C"/>
    <w:rsid w:val="269F48BD"/>
    <w:rsid w:val="26A7223A"/>
    <w:rsid w:val="26F23979"/>
    <w:rsid w:val="272152C4"/>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20B1"/>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54B96"/>
    <w:rsid w:val="2ACD6CCC"/>
    <w:rsid w:val="2ADF720A"/>
    <w:rsid w:val="2AEE4512"/>
    <w:rsid w:val="2AFC30F1"/>
    <w:rsid w:val="2B341240"/>
    <w:rsid w:val="2B34584A"/>
    <w:rsid w:val="2B3D6ED6"/>
    <w:rsid w:val="2B4D0167"/>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8A2743"/>
    <w:rsid w:val="2CA3554E"/>
    <w:rsid w:val="2CAE54B7"/>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CD1F8D"/>
    <w:rsid w:val="2DE16ECB"/>
    <w:rsid w:val="2DE2223D"/>
    <w:rsid w:val="2DE40DD4"/>
    <w:rsid w:val="2E0F2EDB"/>
    <w:rsid w:val="2E145E1D"/>
    <w:rsid w:val="2E18318C"/>
    <w:rsid w:val="2E223E47"/>
    <w:rsid w:val="2E270A97"/>
    <w:rsid w:val="2E3F4045"/>
    <w:rsid w:val="2E406C0B"/>
    <w:rsid w:val="2E4430FB"/>
    <w:rsid w:val="2E4A213E"/>
    <w:rsid w:val="2E6A7B7E"/>
    <w:rsid w:val="2E852BFA"/>
    <w:rsid w:val="2E962069"/>
    <w:rsid w:val="2EB36307"/>
    <w:rsid w:val="2EB72D84"/>
    <w:rsid w:val="2EE011A4"/>
    <w:rsid w:val="2EE359E2"/>
    <w:rsid w:val="2EEC1574"/>
    <w:rsid w:val="2F154951"/>
    <w:rsid w:val="2F1B43C7"/>
    <w:rsid w:val="2F311CC5"/>
    <w:rsid w:val="2F5604CA"/>
    <w:rsid w:val="2F592F8F"/>
    <w:rsid w:val="2F5942DE"/>
    <w:rsid w:val="2FA36E63"/>
    <w:rsid w:val="2FC33170"/>
    <w:rsid w:val="2FD2281B"/>
    <w:rsid w:val="2FD352CF"/>
    <w:rsid w:val="2FD66838"/>
    <w:rsid w:val="2FDB72F7"/>
    <w:rsid w:val="2FEB7FDD"/>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56721E"/>
    <w:rsid w:val="31644472"/>
    <w:rsid w:val="31645690"/>
    <w:rsid w:val="316D5BBF"/>
    <w:rsid w:val="3170139F"/>
    <w:rsid w:val="317213BC"/>
    <w:rsid w:val="317D02F3"/>
    <w:rsid w:val="319567AC"/>
    <w:rsid w:val="319677F1"/>
    <w:rsid w:val="31AC3F23"/>
    <w:rsid w:val="31D94323"/>
    <w:rsid w:val="31F43EF2"/>
    <w:rsid w:val="320F656E"/>
    <w:rsid w:val="321012BD"/>
    <w:rsid w:val="3229313A"/>
    <w:rsid w:val="322A09EC"/>
    <w:rsid w:val="322E6D47"/>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2D39F2"/>
    <w:rsid w:val="3435099A"/>
    <w:rsid w:val="343B5578"/>
    <w:rsid w:val="34510B5E"/>
    <w:rsid w:val="3465056A"/>
    <w:rsid w:val="346866A1"/>
    <w:rsid w:val="34700522"/>
    <w:rsid w:val="348167F0"/>
    <w:rsid w:val="34921598"/>
    <w:rsid w:val="349A1C0D"/>
    <w:rsid w:val="34A75868"/>
    <w:rsid w:val="34A83FD4"/>
    <w:rsid w:val="34C804C4"/>
    <w:rsid w:val="34E261D0"/>
    <w:rsid w:val="34E3740B"/>
    <w:rsid w:val="34E56B6A"/>
    <w:rsid w:val="350D2053"/>
    <w:rsid w:val="350D51A0"/>
    <w:rsid w:val="351906DF"/>
    <w:rsid w:val="35286BF7"/>
    <w:rsid w:val="35522321"/>
    <w:rsid w:val="355D53D4"/>
    <w:rsid w:val="35753453"/>
    <w:rsid w:val="3599429E"/>
    <w:rsid w:val="35A73257"/>
    <w:rsid w:val="35B12F84"/>
    <w:rsid w:val="35B57875"/>
    <w:rsid w:val="36033A12"/>
    <w:rsid w:val="362F0086"/>
    <w:rsid w:val="363C3C11"/>
    <w:rsid w:val="363D403E"/>
    <w:rsid w:val="366A4DA8"/>
    <w:rsid w:val="366D3CBC"/>
    <w:rsid w:val="36750E50"/>
    <w:rsid w:val="36776EAA"/>
    <w:rsid w:val="367C01BA"/>
    <w:rsid w:val="36B77EB7"/>
    <w:rsid w:val="36DE7BD3"/>
    <w:rsid w:val="37373268"/>
    <w:rsid w:val="374E03C1"/>
    <w:rsid w:val="37592FE4"/>
    <w:rsid w:val="375E20CF"/>
    <w:rsid w:val="377336AC"/>
    <w:rsid w:val="377F502A"/>
    <w:rsid w:val="37804449"/>
    <w:rsid w:val="378A028C"/>
    <w:rsid w:val="37A46584"/>
    <w:rsid w:val="37BC42C1"/>
    <w:rsid w:val="37C51AE9"/>
    <w:rsid w:val="37CA1388"/>
    <w:rsid w:val="37CC6ED3"/>
    <w:rsid w:val="37F94643"/>
    <w:rsid w:val="37FB24F6"/>
    <w:rsid w:val="3806724C"/>
    <w:rsid w:val="382536C4"/>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890C98"/>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103905"/>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210857"/>
    <w:rsid w:val="3D321FA1"/>
    <w:rsid w:val="3D4A6E2B"/>
    <w:rsid w:val="3D5C306C"/>
    <w:rsid w:val="3D6A3EE4"/>
    <w:rsid w:val="3D6E15B5"/>
    <w:rsid w:val="3D813B41"/>
    <w:rsid w:val="3D8762BD"/>
    <w:rsid w:val="3D89020A"/>
    <w:rsid w:val="3D941FD0"/>
    <w:rsid w:val="3D9D203E"/>
    <w:rsid w:val="3DA61C71"/>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E75F7"/>
    <w:rsid w:val="3F227ECC"/>
    <w:rsid w:val="3F2A1510"/>
    <w:rsid w:val="3F323523"/>
    <w:rsid w:val="3F59407A"/>
    <w:rsid w:val="3F963935"/>
    <w:rsid w:val="3FB1132A"/>
    <w:rsid w:val="3FBD7ADB"/>
    <w:rsid w:val="3FCC1F36"/>
    <w:rsid w:val="3FED10C4"/>
    <w:rsid w:val="3FFD69BE"/>
    <w:rsid w:val="40115E5D"/>
    <w:rsid w:val="40142B28"/>
    <w:rsid w:val="401C3BB3"/>
    <w:rsid w:val="402551CC"/>
    <w:rsid w:val="40360DE5"/>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853416"/>
    <w:rsid w:val="42914340"/>
    <w:rsid w:val="42A844B1"/>
    <w:rsid w:val="42AF1A12"/>
    <w:rsid w:val="42B008AC"/>
    <w:rsid w:val="42CE23F5"/>
    <w:rsid w:val="42D63463"/>
    <w:rsid w:val="43016357"/>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A5B82"/>
    <w:rsid w:val="454D00BA"/>
    <w:rsid w:val="456951DA"/>
    <w:rsid w:val="45973AD6"/>
    <w:rsid w:val="45A52B1C"/>
    <w:rsid w:val="45A77A5A"/>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AC5ABE"/>
    <w:rsid w:val="47B54AA8"/>
    <w:rsid w:val="47BD13B2"/>
    <w:rsid w:val="47BF5406"/>
    <w:rsid w:val="47C073E7"/>
    <w:rsid w:val="47C621A4"/>
    <w:rsid w:val="47DE197A"/>
    <w:rsid w:val="47F04F1C"/>
    <w:rsid w:val="47F261EE"/>
    <w:rsid w:val="4801327C"/>
    <w:rsid w:val="481B40DC"/>
    <w:rsid w:val="48301385"/>
    <w:rsid w:val="48713429"/>
    <w:rsid w:val="487B3B0A"/>
    <w:rsid w:val="487F761D"/>
    <w:rsid w:val="4891605D"/>
    <w:rsid w:val="48D173C6"/>
    <w:rsid w:val="48E02F78"/>
    <w:rsid w:val="48E76F84"/>
    <w:rsid w:val="48F00546"/>
    <w:rsid w:val="4906501C"/>
    <w:rsid w:val="49090450"/>
    <w:rsid w:val="49132398"/>
    <w:rsid w:val="491B5B23"/>
    <w:rsid w:val="493B491E"/>
    <w:rsid w:val="494305AE"/>
    <w:rsid w:val="49550F29"/>
    <w:rsid w:val="495C54D1"/>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0617A"/>
    <w:rsid w:val="4AD74EF4"/>
    <w:rsid w:val="4AED5C11"/>
    <w:rsid w:val="4AFF253A"/>
    <w:rsid w:val="4B096721"/>
    <w:rsid w:val="4B151DD8"/>
    <w:rsid w:val="4B1932E6"/>
    <w:rsid w:val="4B2F5A69"/>
    <w:rsid w:val="4B600DBB"/>
    <w:rsid w:val="4B740186"/>
    <w:rsid w:val="4B7467CA"/>
    <w:rsid w:val="4B760A5C"/>
    <w:rsid w:val="4B7A2CD7"/>
    <w:rsid w:val="4B806B37"/>
    <w:rsid w:val="4B8464B3"/>
    <w:rsid w:val="4B8B1F5C"/>
    <w:rsid w:val="4B96469A"/>
    <w:rsid w:val="4BB96A99"/>
    <w:rsid w:val="4BC749D4"/>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500D73"/>
    <w:rsid w:val="4C6651D9"/>
    <w:rsid w:val="4C9A635E"/>
    <w:rsid w:val="4CA860AF"/>
    <w:rsid w:val="4CB66E36"/>
    <w:rsid w:val="4CD04687"/>
    <w:rsid w:val="4CDA7949"/>
    <w:rsid w:val="4D09681B"/>
    <w:rsid w:val="4D1A4667"/>
    <w:rsid w:val="4D1A6222"/>
    <w:rsid w:val="4D2B1C5F"/>
    <w:rsid w:val="4D2E64BA"/>
    <w:rsid w:val="4D30066A"/>
    <w:rsid w:val="4D316971"/>
    <w:rsid w:val="4D423028"/>
    <w:rsid w:val="4D4D0F58"/>
    <w:rsid w:val="4D581632"/>
    <w:rsid w:val="4D692C32"/>
    <w:rsid w:val="4D6E3CCE"/>
    <w:rsid w:val="4D7901E4"/>
    <w:rsid w:val="4D805757"/>
    <w:rsid w:val="4DA55917"/>
    <w:rsid w:val="4DCB0227"/>
    <w:rsid w:val="4DCF155E"/>
    <w:rsid w:val="4DD11AEE"/>
    <w:rsid w:val="4DE22B61"/>
    <w:rsid w:val="4E071018"/>
    <w:rsid w:val="4E1E35A8"/>
    <w:rsid w:val="4E2D640D"/>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9B345E"/>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B00AC8"/>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2E7E31"/>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436BC"/>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6217B2"/>
    <w:rsid w:val="586C19F0"/>
    <w:rsid w:val="58744829"/>
    <w:rsid w:val="587673AC"/>
    <w:rsid w:val="588562E3"/>
    <w:rsid w:val="588A4D2D"/>
    <w:rsid w:val="588C6C7B"/>
    <w:rsid w:val="588D4C64"/>
    <w:rsid w:val="5898522B"/>
    <w:rsid w:val="58A045EF"/>
    <w:rsid w:val="58AE0C9D"/>
    <w:rsid w:val="58BD3A38"/>
    <w:rsid w:val="58DC744B"/>
    <w:rsid w:val="58E00FC5"/>
    <w:rsid w:val="58F609E4"/>
    <w:rsid w:val="58F71A1E"/>
    <w:rsid w:val="58FB67BC"/>
    <w:rsid w:val="592D65D1"/>
    <w:rsid w:val="5930657D"/>
    <w:rsid w:val="59327DEB"/>
    <w:rsid w:val="59392E42"/>
    <w:rsid w:val="593B5B55"/>
    <w:rsid w:val="593D19BE"/>
    <w:rsid w:val="59641EB3"/>
    <w:rsid w:val="59776D39"/>
    <w:rsid w:val="597D137C"/>
    <w:rsid w:val="599D01FE"/>
    <w:rsid w:val="59AF4353"/>
    <w:rsid w:val="59CB134C"/>
    <w:rsid w:val="59D13042"/>
    <w:rsid w:val="59D4614B"/>
    <w:rsid w:val="59EA652F"/>
    <w:rsid w:val="59F07CBA"/>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639A2"/>
    <w:rsid w:val="5BAD031C"/>
    <w:rsid w:val="5BB24A04"/>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A6D9F"/>
    <w:rsid w:val="605E48C7"/>
    <w:rsid w:val="606A7181"/>
    <w:rsid w:val="608D0DC2"/>
    <w:rsid w:val="60CF4513"/>
    <w:rsid w:val="60D87E5D"/>
    <w:rsid w:val="60F668B8"/>
    <w:rsid w:val="60FC46B7"/>
    <w:rsid w:val="61002168"/>
    <w:rsid w:val="61172DD5"/>
    <w:rsid w:val="6138206E"/>
    <w:rsid w:val="615F177D"/>
    <w:rsid w:val="616270EF"/>
    <w:rsid w:val="61706EDF"/>
    <w:rsid w:val="61770AB3"/>
    <w:rsid w:val="619B1498"/>
    <w:rsid w:val="619B3BCB"/>
    <w:rsid w:val="61B1137F"/>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0483D"/>
    <w:rsid w:val="63C90B49"/>
    <w:rsid w:val="63C910E5"/>
    <w:rsid w:val="63CC75B9"/>
    <w:rsid w:val="63E30C41"/>
    <w:rsid w:val="63FE1629"/>
    <w:rsid w:val="64053424"/>
    <w:rsid w:val="640673D9"/>
    <w:rsid w:val="641E6EE2"/>
    <w:rsid w:val="64275148"/>
    <w:rsid w:val="64326B19"/>
    <w:rsid w:val="645214CF"/>
    <w:rsid w:val="6487530B"/>
    <w:rsid w:val="64951E69"/>
    <w:rsid w:val="649B63CD"/>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CC118B"/>
    <w:rsid w:val="65F1238A"/>
    <w:rsid w:val="65F35604"/>
    <w:rsid w:val="65FF3198"/>
    <w:rsid w:val="663B062F"/>
    <w:rsid w:val="663E4EF3"/>
    <w:rsid w:val="66471F83"/>
    <w:rsid w:val="665A01D2"/>
    <w:rsid w:val="665C0BF8"/>
    <w:rsid w:val="6688533A"/>
    <w:rsid w:val="66BB442F"/>
    <w:rsid w:val="66D02521"/>
    <w:rsid w:val="66D439F4"/>
    <w:rsid w:val="67006A38"/>
    <w:rsid w:val="67097AAB"/>
    <w:rsid w:val="670C3488"/>
    <w:rsid w:val="672E09CF"/>
    <w:rsid w:val="67365DB5"/>
    <w:rsid w:val="677507BF"/>
    <w:rsid w:val="6792126C"/>
    <w:rsid w:val="67A97CFB"/>
    <w:rsid w:val="67CF5A1D"/>
    <w:rsid w:val="67DA135C"/>
    <w:rsid w:val="67EB7F24"/>
    <w:rsid w:val="67EC006A"/>
    <w:rsid w:val="6802125F"/>
    <w:rsid w:val="680328B7"/>
    <w:rsid w:val="680D5EE5"/>
    <w:rsid w:val="68107593"/>
    <w:rsid w:val="684D1BE5"/>
    <w:rsid w:val="68651677"/>
    <w:rsid w:val="686D4E8D"/>
    <w:rsid w:val="686F261C"/>
    <w:rsid w:val="687E3602"/>
    <w:rsid w:val="688F77C3"/>
    <w:rsid w:val="68A9751A"/>
    <w:rsid w:val="68AC366C"/>
    <w:rsid w:val="68B329E9"/>
    <w:rsid w:val="68C13B8F"/>
    <w:rsid w:val="69030906"/>
    <w:rsid w:val="69247B58"/>
    <w:rsid w:val="692C4F44"/>
    <w:rsid w:val="69326C25"/>
    <w:rsid w:val="693725B2"/>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C706E"/>
    <w:rsid w:val="6ADE4B51"/>
    <w:rsid w:val="6AEB550E"/>
    <w:rsid w:val="6AF47AD0"/>
    <w:rsid w:val="6B0B7792"/>
    <w:rsid w:val="6B18387B"/>
    <w:rsid w:val="6B213C7A"/>
    <w:rsid w:val="6B2726B5"/>
    <w:rsid w:val="6B3D4519"/>
    <w:rsid w:val="6B4943C4"/>
    <w:rsid w:val="6B5760AD"/>
    <w:rsid w:val="6B59167B"/>
    <w:rsid w:val="6B630959"/>
    <w:rsid w:val="6B6356A7"/>
    <w:rsid w:val="6B6712DB"/>
    <w:rsid w:val="6B6F75D9"/>
    <w:rsid w:val="6B7753BB"/>
    <w:rsid w:val="6B7A6C48"/>
    <w:rsid w:val="6B8223B8"/>
    <w:rsid w:val="6BA303EE"/>
    <w:rsid w:val="6BBD0B32"/>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164725"/>
    <w:rsid w:val="6D225A73"/>
    <w:rsid w:val="6D4B705D"/>
    <w:rsid w:val="6D711A3E"/>
    <w:rsid w:val="6D8D0D90"/>
    <w:rsid w:val="6D96046C"/>
    <w:rsid w:val="6DC91D5B"/>
    <w:rsid w:val="6DD50561"/>
    <w:rsid w:val="6DD95830"/>
    <w:rsid w:val="6DF021A3"/>
    <w:rsid w:val="6E0A290F"/>
    <w:rsid w:val="6E124286"/>
    <w:rsid w:val="6E134309"/>
    <w:rsid w:val="6E1A1F69"/>
    <w:rsid w:val="6E3B5323"/>
    <w:rsid w:val="6E4F38F8"/>
    <w:rsid w:val="6E657BB2"/>
    <w:rsid w:val="6E6C05C3"/>
    <w:rsid w:val="6E6E43B8"/>
    <w:rsid w:val="6E793023"/>
    <w:rsid w:val="6E7F7AFB"/>
    <w:rsid w:val="6EA161A1"/>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6FF031B6"/>
    <w:rsid w:val="70015EAC"/>
    <w:rsid w:val="70093C44"/>
    <w:rsid w:val="7013025E"/>
    <w:rsid w:val="70150176"/>
    <w:rsid w:val="701806D9"/>
    <w:rsid w:val="706A4129"/>
    <w:rsid w:val="70747A02"/>
    <w:rsid w:val="7076111A"/>
    <w:rsid w:val="70AA0283"/>
    <w:rsid w:val="70B73E00"/>
    <w:rsid w:val="70B774D1"/>
    <w:rsid w:val="70D36C6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0A6798"/>
    <w:rsid w:val="7422148A"/>
    <w:rsid w:val="74472CC7"/>
    <w:rsid w:val="744E0A2B"/>
    <w:rsid w:val="74694FB7"/>
    <w:rsid w:val="748330DD"/>
    <w:rsid w:val="7485747A"/>
    <w:rsid w:val="748D3B91"/>
    <w:rsid w:val="74963991"/>
    <w:rsid w:val="74B71854"/>
    <w:rsid w:val="74FD176E"/>
    <w:rsid w:val="75132281"/>
    <w:rsid w:val="75374402"/>
    <w:rsid w:val="75406E4A"/>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2612CC"/>
    <w:rsid w:val="76631090"/>
    <w:rsid w:val="76703988"/>
    <w:rsid w:val="7672217C"/>
    <w:rsid w:val="76A12DC3"/>
    <w:rsid w:val="76D15B17"/>
    <w:rsid w:val="76E965C9"/>
    <w:rsid w:val="77186B1E"/>
    <w:rsid w:val="77295015"/>
    <w:rsid w:val="772D4FC3"/>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04363"/>
    <w:rsid w:val="78655D00"/>
    <w:rsid w:val="78665FE4"/>
    <w:rsid w:val="786E0FFE"/>
    <w:rsid w:val="788B444A"/>
    <w:rsid w:val="78A93133"/>
    <w:rsid w:val="78C237BC"/>
    <w:rsid w:val="78D02FB6"/>
    <w:rsid w:val="78DE372A"/>
    <w:rsid w:val="78E43768"/>
    <w:rsid w:val="78FD3867"/>
    <w:rsid w:val="79214FA6"/>
    <w:rsid w:val="79243E7E"/>
    <w:rsid w:val="79367FB8"/>
    <w:rsid w:val="79392A29"/>
    <w:rsid w:val="793960D4"/>
    <w:rsid w:val="79421701"/>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06BC5"/>
    <w:rsid w:val="7D15262A"/>
    <w:rsid w:val="7D21528B"/>
    <w:rsid w:val="7D295788"/>
    <w:rsid w:val="7D2D6988"/>
    <w:rsid w:val="7D431D8D"/>
    <w:rsid w:val="7D586C6E"/>
    <w:rsid w:val="7D5E5A08"/>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10966"/>
    <w:rsid w:val="7E68207B"/>
    <w:rsid w:val="7E6A3164"/>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55DF0"/>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paragraph" w:customStyle="1" w:styleId="73">
    <w:name w:val="3GPP_Header"/>
    <w:basedOn w:val="1"/>
    <w:qFormat/>
    <w:uiPriority w:val="0"/>
    <w:pPr>
      <w:tabs>
        <w:tab w:val="left" w:pos="1701"/>
        <w:tab w:val="right" w:pos="9639"/>
      </w:tabs>
      <w:spacing w:after="240"/>
    </w:pPr>
    <w:rPr>
      <w:b/>
      <w:sz w:val="24"/>
    </w:rPr>
  </w:style>
  <w:style w:type="paragraph" w:customStyle="1" w:styleId="74">
    <w:name w:val="列表段落1"/>
    <w:basedOn w:val="1"/>
    <w:qFormat/>
    <w:uiPriority w:val="0"/>
    <w:pPr>
      <w:spacing w:before="100" w:beforeLines="0" w:beforeAutospacing="1" w:after="100" w:afterLines="0" w:afterAutospacing="1" w:line="240" w:lineRule="auto"/>
      <w:ind w:left="840" w:leftChars="400"/>
      <w:jc w:val="left"/>
    </w:pPr>
    <w:rPr>
      <w:rFonts w:ascii="Times" w:hAnsi="Times" w:eastAsia="Batang"/>
      <w:kern w:val="0"/>
      <w:sz w:val="24"/>
      <w:szCs w:val="24"/>
    </w:rPr>
  </w:style>
  <w:style w:type="paragraph" w:customStyle="1" w:styleId="75">
    <w:name w:val="列表段落2"/>
    <w:basedOn w:val="1"/>
    <w:qFormat/>
    <w:uiPriority w:val="0"/>
    <w:pPr>
      <w:spacing w:beforeLines="0" w:after="0" w:line="256" w:lineRule="auto"/>
      <w:ind w:left="720"/>
      <w:contextualSpacing/>
    </w:pPr>
    <w:rPr>
      <w:sz w:val="24"/>
      <w:szCs w:val="24"/>
    </w:rPr>
  </w:style>
  <w:style w:type="table" w:customStyle="1" w:styleId="76">
    <w:name w:val="网格型5"/>
    <w:basedOn w:val="25"/>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7">
    <w:name w:val="修订3"/>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3DB22C-59DA-4508-9E67-0C9409197CCC}">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1408</Words>
  <Characters>8031</Characters>
  <Lines>66</Lines>
  <Paragraphs>18</Paragraphs>
  <TotalTime>13</TotalTime>
  <ScaleCrop>false</ScaleCrop>
  <LinksUpToDate>false</LinksUpToDate>
  <CharactersWithSpaces>9421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2025-08-15T07:22:00Z</dcterms:created>
  <dc:creator>Xuan Ma</dc:creator>
  <cp:lastModifiedBy>ZTE, Mengzhu</cp:lastModifiedBy>
  <dcterms:modified xsi:type="dcterms:W3CDTF">2025-11-07T16:14:48Z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B7907EDD7B054A9FBB5E13C5E706B8C5</vt:lpwstr>
  </property>
</Properties>
</file>