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89686" w14:textId="77777777" w:rsidR="00AD1443" w:rsidRPr="00FB13A8" w:rsidRDefault="00AD144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Theme="majorHAnsi" w:eastAsia="Arial" w:hAnsiTheme="majorHAnsi" w:cstheme="majorHAnsi"/>
          <w:color w:val="000000"/>
        </w:rPr>
      </w:pPr>
    </w:p>
    <w:tbl>
      <w:tblPr>
        <w:tblStyle w:val="a"/>
        <w:tblW w:w="9026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68"/>
        <w:gridCol w:w="2358"/>
      </w:tblGrid>
      <w:tr w:rsidR="00AD1443" w:rsidRPr="00FB13A8" w14:paraId="35F1CD0D" w14:textId="77777777">
        <w:tc>
          <w:tcPr>
            <w:tcW w:w="6668" w:type="dxa"/>
          </w:tcPr>
          <w:p w14:paraId="41E3701E" w14:textId="2BFCB10A" w:rsidR="00AD1443" w:rsidRPr="00FB13A8" w:rsidRDefault="00000000">
            <w:pPr>
              <w:ind w:left="-113"/>
              <w:rPr>
                <w:rFonts w:asciiTheme="majorHAnsi" w:hAnsiTheme="majorHAnsi" w:cstheme="majorHAnsi"/>
              </w:rPr>
            </w:pP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3GPP TSG RAN WG1 Meeting #122</w:t>
            </w:r>
            <w:r w:rsidR="009B71B6"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bis</w:t>
            </w:r>
          </w:p>
        </w:tc>
        <w:tc>
          <w:tcPr>
            <w:tcW w:w="2358" w:type="dxa"/>
          </w:tcPr>
          <w:p w14:paraId="4D50F5C8" w14:textId="1F1382E5" w:rsidR="00AD1443" w:rsidRPr="00FB13A8" w:rsidRDefault="00F31F90">
            <w:pPr>
              <w:ind w:right="-115"/>
              <w:jc w:val="right"/>
              <w:rPr>
                <w:rFonts w:asciiTheme="majorHAnsi" w:hAnsiTheme="majorHAnsi" w:cstheme="majorHAnsi"/>
              </w:rPr>
            </w:pP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R1-2507532</w:t>
            </w:r>
          </w:p>
        </w:tc>
      </w:tr>
      <w:tr w:rsidR="00AD1443" w:rsidRPr="00FB13A8" w14:paraId="74F1CBFD" w14:textId="77777777">
        <w:tc>
          <w:tcPr>
            <w:tcW w:w="9026" w:type="dxa"/>
            <w:gridSpan w:val="2"/>
          </w:tcPr>
          <w:p w14:paraId="18544BEF" w14:textId="1CBCF4BE" w:rsidR="00AD1443" w:rsidRPr="00FB13A8" w:rsidRDefault="009B71B6">
            <w:pPr>
              <w:ind w:left="-113"/>
              <w:jc w:val="both"/>
              <w:rPr>
                <w:rFonts w:asciiTheme="majorHAnsi" w:hAnsiTheme="majorHAnsi" w:cstheme="majorHAnsi"/>
              </w:rPr>
            </w:pP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Prague, CZ, October 13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  <w:vertAlign w:val="superscript"/>
              </w:rPr>
              <w:t>th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 xml:space="preserve"> – 17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  <w:vertAlign w:val="superscript"/>
              </w:rPr>
              <w:t>th</w:t>
            </w:r>
            <w:r w:rsidRPr="00FB13A8">
              <w:rPr>
                <w:rFonts w:asciiTheme="majorHAnsi" w:hAnsiTheme="majorHAnsi" w:cstheme="majorHAnsi"/>
                <w:b/>
                <w:sz w:val="32"/>
                <w:szCs w:val="32"/>
              </w:rPr>
              <w:t>, 2025</w:t>
            </w:r>
          </w:p>
        </w:tc>
      </w:tr>
    </w:tbl>
    <w:p w14:paraId="7B2BA3A4" w14:textId="77777777" w:rsidR="00AD1443" w:rsidRPr="00FB13A8" w:rsidRDefault="00AD1443">
      <w:pPr>
        <w:jc w:val="both"/>
        <w:rPr>
          <w:rFonts w:asciiTheme="majorHAnsi" w:hAnsiTheme="majorHAnsi" w:cstheme="majorHAnsi"/>
        </w:rPr>
      </w:pPr>
    </w:p>
    <w:tbl>
      <w:tblPr>
        <w:tblStyle w:val="a0"/>
        <w:tblW w:w="9360" w:type="dxa"/>
        <w:tblInd w:w="0" w:type="dxa"/>
        <w:tblBorders>
          <w:top w:val="single" w:sz="4" w:space="0" w:color="000000"/>
          <w:bottom w:val="single" w:sz="4" w:space="0" w:color="000000"/>
        </w:tblBorders>
        <w:tblLayout w:type="fixed"/>
        <w:tblLook w:val="06A0" w:firstRow="1" w:lastRow="0" w:firstColumn="1" w:lastColumn="0" w:noHBand="1" w:noVBand="1"/>
      </w:tblPr>
      <w:tblGrid>
        <w:gridCol w:w="1701"/>
        <w:gridCol w:w="7659"/>
      </w:tblGrid>
      <w:tr w:rsidR="00AD1443" w:rsidRPr="00FB13A8" w14:paraId="04DA0605" w14:textId="77777777" w:rsidTr="00B72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5431B8CC" w14:textId="77777777" w:rsidR="00AD1443" w:rsidRPr="00FB13A8" w:rsidRDefault="00000000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Agenda Item:</w:t>
            </w:r>
          </w:p>
        </w:tc>
        <w:tc>
          <w:tcPr>
            <w:tcW w:w="7659" w:type="dxa"/>
          </w:tcPr>
          <w:p w14:paraId="128B4B72" w14:textId="77777777" w:rsidR="00AD1443" w:rsidRPr="00FB13A8" w:rsidRDefault="00000000">
            <w:pPr>
              <w:ind w:left="-11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b w:val="0"/>
                <w:sz w:val="24"/>
                <w:szCs w:val="24"/>
              </w:rPr>
              <w:t>11.3.1</w:t>
            </w:r>
          </w:p>
        </w:tc>
      </w:tr>
      <w:tr w:rsidR="00AD1443" w:rsidRPr="00FB13A8" w14:paraId="2311ADFC" w14:textId="77777777" w:rsidTr="00AD14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3B25AABC" w14:textId="77777777" w:rsidR="00AD1443" w:rsidRPr="00FB13A8" w:rsidRDefault="00000000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Source:</w:t>
            </w:r>
          </w:p>
        </w:tc>
        <w:tc>
          <w:tcPr>
            <w:tcW w:w="7659" w:type="dxa"/>
          </w:tcPr>
          <w:p w14:paraId="2F13BBA0" w14:textId="78364943" w:rsidR="00AD1443" w:rsidRPr="00B72F91" w:rsidRDefault="00000000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72F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WiSig</w:t>
            </w:r>
            <w:r w:rsidR="006D4E83" w:rsidRPr="00B72F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and IITH</w:t>
            </w:r>
          </w:p>
        </w:tc>
      </w:tr>
      <w:tr w:rsidR="00AD1443" w:rsidRPr="00FB13A8" w14:paraId="0FF449BA" w14:textId="77777777" w:rsidTr="00AD14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784C739C" w14:textId="77777777" w:rsidR="00AD1443" w:rsidRPr="00FB13A8" w:rsidRDefault="00000000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Title:</w:t>
            </w:r>
          </w:p>
        </w:tc>
        <w:tc>
          <w:tcPr>
            <w:tcW w:w="7659" w:type="dxa"/>
          </w:tcPr>
          <w:p w14:paraId="27FC2A6C" w14:textId="568396B4" w:rsidR="00AD1443" w:rsidRPr="00B72F91" w:rsidRDefault="00F31F90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B72F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Evaluation of 6G BTS Energy, Coverage and Cost Trade-offs: OFDM vs Dual-Waveform (Low-PAPR + OFDM) in Downlink</w:t>
            </w:r>
          </w:p>
        </w:tc>
      </w:tr>
      <w:tr w:rsidR="00AD1443" w:rsidRPr="00FB13A8" w14:paraId="09E4E753" w14:textId="77777777" w:rsidTr="00AD14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29BD2BE7" w14:textId="77777777" w:rsidR="00AD1443" w:rsidRPr="00FB13A8" w:rsidRDefault="00000000">
            <w:pPr>
              <w:ind w:left="-113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Document for:</w:t>
            </w:r>
          </w:p>
        </w:tc>
        <w:tc>
          <w:tcPr>
            <w:tcW w:w="7659" w:type="dxa"/>
          </w:tcPr>
          <w:p w14:paraId="594A13C2" w14:textId="77777777" w:rsidR="00AD1443" w:rsidRPr="00FB13A8" w:rsidRDefault="00000000">
            <w:pPr>
              <w:ind w:left="-11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sz w:val="24"/>
                <w:szCs w:val="24"/>
              </w:rPr>
            </w:pPr>
            <w:r w:rsidRPr="00FB13A8">
              <w:rPr>
                <w:rFonts w:asciiTheme="majorHAnsi" w:hAnsiTheme="majorHAnsi" w:cstheme="majorHAnsi"/>
                <w:sz w:val="24"/>
                <w:szCs w:val="24"/>
              </w:rPr>
              <w:t>Discussion</w:t>
            </w:r>
          </w:p>
        </w:tc>
      </w:tr>
    </w:tbl>
    <w:p w14:paraId="2D8B1992" w14:textId="77777777" w:rsidR="00AD1443" w:rsidRPr="00FB13A8" w:rsidRDefault="00AD1443">
      <w:pPr>
        <w:rPr>
          <w:rFonts w:asciiTheme="majorHAnsi" w:hAnsiTheme="majorHAnsi" w:cstheme="majorHAnsi"/>
          <w:b/>
        </w:rPr>
      </w:pPr>
    </w:p>
    <w:p w14:paraId="0F2481E9" w14:textId="77777777" w:rsidR="007B5D1C" w:rsidRPr="00B874FD" w:rsidRDefault="007B5D1C" w:rsidP="007B5D1C">
      <w:pPr>
        <w:spacing w:before="100" w:beforeAutospacing="1" w:after="100" w:afterAutospacing="1" w:line="240" w:lineRule="auto"/>
        <w:outlineLvl w:val="0"/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  <w:t>Abstract</w:t>
      </w:r>
    </w:p>
    <w:p w14:paraId="06988FE1" w14:textId="77777777" w:rsidR="007B5D1C" w:rsidRPr="00B874FD" w:rsidRDefault="007B5D1C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This contribution assumes an OFDM-based downlink (DL) baseline for 6G, explicitly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including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support for DFT-s-OFDM-based waveforms in DL operation. We consider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OTFDM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—an enhanced DFT-s-OFDM variant that retains single-carrier benefits and adds: (a) multi-user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time-multiplexing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with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intra-symbol DMRS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, (b)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low PAPR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enabling near-saturation PA operation (notably in π/2-BPSK mode), and (c)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high Doppler resilience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via per-symbol channel estimation and equalization. Companion papers [1–5] provide link/system details and comparisons vs. DFT-s-OFDM and CP-OFDM.</w:t>
      </w:r>
    </w:p>
    <w:p w14:paraId="25D4621D" w14:textId="5272BD23" w:rsidR="007B5D1C" w:rsidRDefault="007B5D1C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This paper proposes a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dual-waveform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6G DL approach that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time-multiplexes OTFDM and CP-OFDM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on the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same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RU/DU, scheduler, and spectrum. Under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equal-EIRP (equal-coverage)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normalization, OTFDM’s low PAPR enables near-saturation PA operation</w:t>
      </w:r>
      <w:r w:rsidR="00DC4C03">
        <w:rPr>
          <w:rFonts w:asciiTheme="majorHAnsi" w:eastAsia="Times New Roman" w:hAnsiTheme="majorHAnsi" w:cstheme="majorHAnsi"/>
          <w:sz w:val="24"/>
          <w:szCs w:val="24"/>
        </w:rPr>
        <w:t xml:space="preserve"> for cell edge users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, materially reducing radio energy and equipment cost relative to OFDM-only designs. Because OTFDM remains in the OFDM family, it is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software-upgradable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on many 5G-class platforms (subject to PA binning/linearity checks) and deployable in new FR3 as well as legacy bands at hardware refresh.</w:t>
      </w:r>
    </w:p>
    <w:p w14:paraId="1C98301B" w14:textId="77777777" w:rsidR="00E157E0" w:rsidRDefault="00E157E0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0F462939" w14:textId="6DB3C27F" w:rsidR="00E157E0" w:rsidRDefault="00E157E0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39204B">
        <w:rPr>
          <w:rFonts w:asciiTheme="majorHAnsi" w:hAnsiTheme="majorHAnsi" w:cstheme="majorHAnsi"/>
          <w:noProof/>
          <w:color w:val="000000" w:themeColor="text1"/>
          <w:sz w:val="24"/>
          <w:szCs w:val="24"/>
        </w:rPr>
        <w:drawing>
          <wp:inline distT="0" distB="0" distL="0" distR="0" wp14:anchorId="24397574" wp14:editId="3EAA98C4">
            <wp:extent cx="5731510" cy="964931"/>
            <wp:effectExtent l="0" t="0" r="2540" b="6985"/>
            <wp:docPr id="4" name="Image 4" descr="A diagram of a computer&#10;&#10;AI-generated content may b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A diagram of a computer&#10;&#10;AI-generated content may be incorrect.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64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233DA" w14:textId="78A5A814" w:rsidR="00E157E0" w:rsidRDefault="00E157E0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E157E0">
        <w:rPr>
          <w:rFonts w:asciiTheme="majorHAnsi" w:eastAsia="Times New Roman" w:hAnsiTheme="majorHAnsi" w:cstheme="majorHAnsi"/>
          <w:b/>
          <w:bCs/>
          <w:sz w:val="24"/>
          <w:szCs w:val="24"/>
        </w:rPr>
        <w:t>Figure 1. OTFDM: Intra-Symbol DMRS/Data Multiplexing.</w:t>
      </w:r>
      <w:r w:rsidRPr="00E157E0">
        <w:rPr>
          <w:rFonts w:asciiTheme="majorHAnsi" w:eastAsia="Times New Roman" w:hAnsiTheme="majorHAnsi" w:cstheme="majorHAnsi"/>
          <w:sz w:val="24"/>
          <w:szCs w:val="24"/>
        </w:rPr>
        <w:t xml:space="preserve"> A pre-DFT time multiplexer inserts DMRS with data in one OFDM symbol, while spectrum shaping limits pulse duration to allow per-symbol channel estimation and equalization.</w:t>
      </w:r>
    </w:p>
    <w:p w14:paraId="4625A924" w14:textId="77777777" w:rsidR="00E157E0" w:rsidRDefault="00E157E0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1D4A2C55" w14:textId="77777777" w:rsidR="00E157E0" w:rsidRDefault="00E157E0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50CD43ED" w14:textId="77777777" w:rsidR="00E157E0" w:rsidRPr="00B874FD" w:rsidRDefault="00E157E0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5FC4AEED" w14:textId="77777777" w:rsidR="007B5D1C" w:rsidRPr="00B874FD" w:rsidRDefault="00000000" w:rsidP="007B5D1C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lastRenderedPageBreak/>
        <w:pict w14:anchorId="4863C271">
          <v:rect id="_x0000_i1025" style="width:0;height:1.5pt" o:hralign="center" o:hrstd="t" o:hr="t" fillcolor="#a0a0a0" stroked="f"/>
        </w:pict>
      </w:r>
    </w:p>
    <w:p w14:paraId="1777A360" w14:textId="77777777" w:rsidR="007B5D1C" w:rsidRPr="00B874FD" w:rsidRDefault="007B5D1C" w:rsidP="007B5D1C">
      <w:pPr>
        <w:spacing w:before="100" w:beforeAutospacing="1" w:after="100" w:afterAutospacing="1" w:line="240" w:lineRule="auto"/>
        <w:outlineLvl w:val="0"/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  <w:t>1. Purpose</w:t>
      </w:r>
    </w:p>
    <w:p w14:paraId="63C35537" w14:textId="7A419B23" w:rsidR="007B5D1C" w:rsidRPr="00B874FD" w:rsidRDefault="007B5D1C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Provide an implementation-focused note positioning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OTFDM as the energy/coverage layer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and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 xml:space="preserve">CP-OFDM as the </w:t>
      </w:r>
      <w:r w:rsidR="00E01946">
        <w:rPr>
          <w:rFonts w:asciiTheme="majorHAnsi" w:eastAsia="Times New Roman" w:hAnsiTheme="majorHAnsi" w:cstheme="majorHAnsi"/>
          <w:b/>
          <w:bCs/>
          <w:sz w:val="24"/>
          <w:szCs w:val="24"/>
        </w:rPr>
        <w:t>peak-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capacity layer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within a single RU/DU architecture for 6G DL. Target outcome: reduce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energy (Y)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and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BoM cost (X)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while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preserving equal-coverage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performance; </w:t>
      </w:r>
      <w:r w:rsidR="00752FDA">
        <w:rPr>
          <w:rFonts w:asciiTheme="majorHAnsi" w:eastAsia="Times New Roman" w:hAnsiTheme="majorHAnsi" w:cstheme="majorHAnsi"/>
          <w:sz w:val="24"/>
          <w:szCs w:val="24"/>
        </w:rPr>
        <w:t xml:space="preserve">at the same time 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achieve modest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volume/weight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reductions at the RU.</w:t>
      </w:r>
    </w:p>
    <w:p w14:paraId="57A919C9" w14:textId="77777777" w:rsidR="007B5D1C" w:rsidRPr="00B874FD" w:rsidRDefault="00000000" w:rsidP="007B5D1C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pict w14:anchorId="36275240">
          <v:rect id="_x0000_i1026" style="width:0;height:1.5pt" o:hralign="center" o:hrstd="t" o:hr="t" fillcolor="#a0a0a0" stroked="f"/>
        </w:pict>
      </w:r>
    </w:p>
    <w:p w14:paraId="0D4F2910" w14:textId="6DF07490" w:rsidR="007B5D1C" w:rsidRPr="00B874FD" w:rsidRDefault="007B5D1C" w:rsidP="007B5D1C">
      <w:pPr>
        <w:spacing w:before="100" w:beforeAutospacing="1" w:after="100" w:afterAutospacing="1" w:line="240" w:lineRule="auto"/>
        <w:outlineLvl w:val="0"/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  <w:t>2. Executive Summary</w:t>
      </w:r>
    </w:p>
    <w:p w14:paraId="30E6F3A6" w14:textId="77777777" w:rsidR="007B5D1C" w:rsidRPr="00B874FD" w:rsidRDefault="007B5D1C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Problem.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Upper-mid bands (~7 GHz) tighten energy/cost constraints due to higher path/penetration loss and larger arrays.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br/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Approach.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Dual-waveform scheduling:</w:t>
      </w:r>
    </w:p>
    <w:p w14:paraId="271E00EC" w14:textId="77777777" w:rsidR="007B5D1C" w:rsidRPr="00B874FD" w:rsidRDefault="007B5D1C" w:rsidP="007B5D1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OTFDM: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low PAPR, near-saturation PA →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coverage/efficiency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mode.</w:t>
      </w:r>
    </w:p>
    <w:p w14:paraId="45161A80" w14:textId="77777777" w:rsidR="007B5D1C" w:rsidRPr="00B874FD" w:rsidRDefault="007B5D1C" w:rsidP="007B5D1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CP-OFDM: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multi-beam bursts →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peak capacity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mode near the site.</w:t>
      </w:r>
    </w:p>
    <w:p w14:paraId="7C038640" w14:textId="77777777" w:rsidR="007B5D1C" w:rsidRPr="00B874FD" w:rsidRDefault="007B5D1C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Outcome at equal EIRP:</w:t>
      </w:r>
    </w:p>
    <w:p w14:paraId="2E4238B7" w14:textId="2CA46E42" w:rsidR="007B5D1C" w:rsidRPr="00B874FD" w:rsidRDefault="007B5D1C" w:rsidP="007B5D1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Energy: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OTFDM ≈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50–55% of Y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="007F741A">
        <w:rPr>
          <w:rFonts w:asciiTheme="majorHAnsi" w:eastAsia="Times New Roman" w:hAnsiTheme="majorHAnsi" w:cstheme="majorHAnsi"/>
          <w:sz w:val="24"/>
          <w:szCs w:val="24"/>
        </w:rPr>
        <w:t xml:space="preserve">for 7GHz 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>(≈45–50% lower vs OFDM</w:t>
      </w:r>
      <w:r w:rsidR="007F741A">
        <w:rPr>
          <w:rFonts w:asciiTheme="majorHAnsi" w:eastAsia="Times New Roman" w:hAnsiTheme="majorHAnsi" w:cstheme="majorHAnsi"/>
          <w:sz w:val="24"/>
          <w:szCs w:val="24"/>
        </w:rPr>
        <w:t xml:space="preserve"> for n78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>).</w:t>
      </w:r>
    </w:p>
    <w:p w14:paraId="3D869AE0" w14:textId="0654A0AD" w:rsidR="007B5D1C" w:rsidRPr="00B874FD" w:rsidRDefault="007B5D1C" w:rsidP="007B5D1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BoM cost: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OTFDM ≈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40–65% of X</w:t>
      </w:r>
      <w:r w:rsidR="007F741A">
        <w:rPr>
          <w:rFonts w:asciiTheme="majorHAnsi" w:eastAsia="Times New Roman" w:hAnsiTheme="majorHAnsi" w:cstheme="majorHAnsi"/>
          <w:b/>
          <w:bCs/>
          <w:sz w:val="24"/>
          <w:szCs w:val="24"/>
        </w:rPr>
        <w:t xml:space="preserve"> for 7Ghz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(≈35–60% lower X</w:t>
      </w:r>
      <w:r w:rsidR="007F741A">
        <w:rPr>
          <w:rFonts w:asciiTheme="majorHAnsi" w:eastAsia="Times New Roman" w:hAnsiTheme="majorHAnsi" w:cstheme="majorHAnsi"/>
          <w:sz w:val="24"/>
          <w:szCs w:val="24"/>
        </w:rPr>
        <w:t xml:space="preserve"> for n78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>) via smaller PA/PSU/cooling.</w:t>
      </w:r>
    </w:p>
    <w:p w14:paraId="6FF04768" w14:textId="77777777" w:rsidR="007B5D1C" w:rsidRPr="00B874FD" w:rsidRDefault="007B5D1C" w:rsidP="007B5D1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Volume/Mass: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~10–20% reduction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>, easing rooftop/tower installs.</w:t>
      </w:r>
    </w:p>
    <w:p w14:paraId="6FF05E49" w14:textId="77777777" w:rsidR="007B5D1C" w:rsidRPr="00B874FD" w:rsidRDefault="007B5D1C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Plain-language bottom line.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Keep coverage constant,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halve site electricity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, and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shrink hardware cost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>. In cost-sensitive markets (e.g., India) this reduces TCO; in energy-constrained markets it lowers site power and thermal load.</w:t>
      </w:r>
    </w:p>
    <w:p w14:paraId="735DF9F2" w14:textId="77777777" w:rsidR="007B5D1C" w:rsidRPr="00B874FD" w:rsidRDefault="00000000" w:rsidP="007B5D1C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pict w14:anchorId="1D8B3BFE">
          <v:rect id="_x0000_i1027" style="width:0;height:1.5pt" o:hralign="center" o:hrstd="t" o:hr="t" fillcolor="#a0a0a0" stroked="f"/>
        </w:pict>
      </w:r>
    </w:p>
    <w:p w14:paraId="774ABA9D" w14:textId="77777777" w:rsidR="007B5D1C" w:rsidRPr="00B874FD" w:rsidRDefault="007B5D1C" w:rsidP="007B5D1C">
      <w:pPr>
        <w:spacing w:before="100" w:beforeAutospacing="1" w:after="100" w:afterAutospacing="1" w:line="240" w:lineRule="auto"/>
        <w:outlineLvl w:val="0"/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  <w:t>3. Baseline: Spectrum, Arrays, and CP-OFDM</w:t>
      </w:r>
    </w:p>
    <w:p w14:paraId="08E60310" w14:textId="745C0F0F" w:rsidR="007B5D1C" w:rsidRPr="00B874FD" w:rsidRDefault="007B5D1C" w:rsidP="007B5D1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Arrays scale </w:t>
      </w:r>
      <w:r w:rsidR="002E3CA0">
        <w:rPr>
          <w:rFonts w:asciiTheme="majorHAnsi" w:eastAsia="Times New Roman" w:hAnsiTheme="majorHAnsi" w:cstheme="majorHAnsi"/>
          <w:sz w:val="24"/>
          <w:szCs w:val="24"/>
        </w:rPr>
        <w:t xml:space="preserve">spectrum efficiency 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>multiplicatively: many simultaneous beams (capacity) or concentrated beams (coverage).</w:t>
      </w:r>
    </w:p>
    <w:p w14:paraId="7B10312F" w14:textId="77777777" w:rsidR="007B5D1C" w:rsidRPr="00B874FD" w:rsidRDefault="007B5D1C" w:rsidP="007B5D1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CP-OFDM is excellent for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multi-beam capacity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, but high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PAPR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forces deeper PA back-off → larger PA/PSU/cooling and heavier DPD/CFR → higher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Y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and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X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as arrays and bandwidth scale.</w:t>
      </w:r>
    </w:p>
    <w:p w14:paraId="373BD701" w14:textId="77777777" w:rsidR="007B5D1C" w:rsidRPr="00B874FD" w:rsidRDefault="00000000" w:rsidP="007B5D1C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pict w14:anchorId="0189317B">
          <v:rect id="_x0000_i1028" style="width:0;height:1.5pt" o:hralign="center" o:hrstd="t" o:hr="t" fillcolor="#a0a0a0" stroked="f"/>
        </w:pict>
      </w:r>
    </w:p>
    <w:p w14:paraId="0DB40FD1" w14:textId="77777777" w:rsidR="007B5D1C" w:rsidRPr="00B874FD" w:rsidRDefault="007B5D1C" w:rsidP="007B5D1C">
      <w:pPr>
        <w:spacing w:before="100" w:beforeAutospacing="1" w:after="100" w:afterAutospacing="1" w:line="240" w:lineRule="auto"/>
        <w:outlineLvl w:val="0"/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  <w:t>4. OTFDM (Enhanced DFT-s-OFDM) — Rationale</w:t>
      </w:r>
    </w:p>
    <w:p w14:paraId="4FCF7F38" w14:textId="60B8FA7F" w:rsidR="007B5D1C" w:rsidRPr="00B874FD" w:rsidRDefault="007B5D1C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Concept.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OTFDM preserves OFDM-family while enabling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very low PAPR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and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intra-symbol DMRS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>, allowing per-symbol CE/EQ and one-shot packets when needed.</w:t>
      </w:r>
    </w:p>
    <w:p w14:paraId="66506D52" w14:textId="77777777" w:rsidR="007B5D1C" w:rsidRPr="00B874FD" w:rsidRDefault="007B5D1C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lastRenderedPageBreak/>
        <w:t>Implications under equal EIRP:</w:t>
      </w:r>
    </w:p>
    <w:p w14:paraId="367EC4CC" w14:textId="7828D4E3" w:rsidR="007B5D1C" w:rsidRPr="00B874FD" w:rsidRDefault="007B5D1C" w:rsidP="007B5D1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Energy: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OTFDM ≈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50–55% of Y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="00791AFC">
        <w:rPr>
          <w:rFonts w:asciiTheme="majorHAnsi" w:eastAsia="Times New Roman" w:hAnsiTheme="majorHAnsi" w:cstheme="majorHAnsi"/>
          <w:sz w:val="24"/>
          <w:szCs w:val="24"/>
        </w:rPr>
        <w:t xml:space="preserve">for 7GHz 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>(≈45–50% reduction</w:t>
      </w:r>
      <w:r w:rsidR="00791AFC">
        <w:rPr>
          <w:rFonts w:asciiTheme="majorHAnsi" w:eastAsia="Times New Roman" w:hAnsiTheme="majorHAnsi" w:cstheme="majorHAnsi"/>
          <w:sz w:val="24"/>
          <w:szCs w:val="24"/>
        </w:rPr>
        <w:t xml:space="preserve"> for n78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>).</w:t>
      </w:r>
    </w:p>
    <w:p w14:paraId="38509010" w14:textId="7FA3AA1F" w:rsidR="007B5D1C" w:rsidRPr="00B874FD" w:rsidRDefault="007B5D1C" w:rsidP="007B5D1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Cost: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OTFDM ≈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40–65% of X</w:t>
      </w:r>
      <w:r w:rsidR="00791AFC">
        <w:rPr>
          <w:rFonts w:asciiTheme="majorHAnsi" w:eastAsia="Times New Roman" w:hAnsiTheme="majorHAnsi" w:cstheme="majorHAnsi"/>
          <w:b/>
          <w:bCs/>
          <w:sz w:val="24"/>
          <w:szCs w:val="24"/>
        </w:rPr>
        <w:t xml:space="preserve"> for 7GHz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="00791AFC" w:rsidRPr="00B874FD">
        <w:rPr>
          <w:rFonts w:asciiTheme="majorHAnsi" w:eastAsia="Times New Roman" w:hAnsiTheme="majorHAnsi" w:cstheme="majorHAnsi"/>
          <w:sz w:val="24"/>
          <w:szCs w:val="24"/>
        </w:rPr>
        <w:t>(≈35–60% lower X</w:t>
      </w:r>
      <w:r w:rsidR="00791AFC">
        <w:rPr>
          <w:rFonts w:asciiTheme="majorHAnsi" w:eastAsia="Times New Roman" w:hAnsiTheme="majorHAnsi" w:cstheme="majorHAnsi"/>
          <w:sz w:val="24"/>
          <w:szCs w:val="24"/>
        </w:rPr>
        <w:t xml:space="preserve"> for n78</w:t>
      </w:r>
      <w:r w:rsidR="00791AFC" w:rsidRPr="00B874FD">
        <w:rPr>
          <w:rFonts w:asciiTheme="majorHAnsi" w:eastAsia="Times New Roman" w:hAnsiTheme="majorHAnsi" w:cstheme="majorHAnsi"/>
          <w:sz w:val="24"/>
          <w:szCs w:val="24"/>
        </w:rPr>
        <w:t>)</w:t>
      </w:r>
    </w:p>
    <w:p w14:paraId="05B39A5F" w14:textId="77777777" w:rsidR="007B5D1C" w:rsidRPr="00B874FD" w:rsidRDefault="007B5D1C" w:rsidP="007B5D1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Form factor: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10–20%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smaller/lighter enclosures.</w:t>
      </w:r>
    </w:p>
    <w:p w14:paraId="5635D8D8" w14:textId="77777777" w:rsidR="007B5D1C" w:rsidRPr="00B874FD" w:rsidRDefault="007B5D1C" w:rsidP="007B5D1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Mobility/Latency: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Per-symbol CE improves Doppler robustness; short-access options enabled.</w:t>
      </w:r>
    </w:p>
    <w:p w14:paraId="6ACCC85C" w14:textId="5B3E2AFB" w:rsidR="007B5D1C" w:rsidRPr="00B874FD" w:rsidRDefault="007B5D1C" w:rsidP="007B5D1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Compatibility: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Same RU/DU datapaths;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SW upgrade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feasible on many 5G-class platforms</w:t>
      </w:r>
      <w:r w:rsidR="007F741A">
        <w:rPr>
          <w:rFonts w:asciiTheme="majorHAnsi" w:eastAsia="Times New Roman" w:hAnsiTheme="majorHAnsi" w:cstheme="majorHAnsi"/>
          <w:sz w:val="24"/>
          <w:szCs w:val="24"/>
        </w:rPr>
        <w:t>.</w:t>
      </w:r>
    </w:p>
    <w:p w14:paraId="4D2F4EDB" w14:textId="77777777" w:rsidR="007B5D1C" w:rsidRPr="00B874FD" w:rsidRDefault="00000000" w:rsidP="007B5D1C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pict w14:anchorId="073BE3A0">
          <v:rect id="_x0000_i1029" style="width:0;height:1.5pt" o:hralign="center" o:hrstd="t" o:hr="t" fillcolor="#a0a0a0" stroked="f"/>
        </w:pict>
      </w:r>
    </w:p>
    <w:p w14:paraId="2AF114E1" w14:textId="77777777" w:rsidR="007B5D1C" w:rsidRPr="00B874FD" w:rsidRDefault="007B5D1C" w:rsidP="007B5D1C">
      <w:pPr>
        <w:spacing w:before="100" w:beforeAutospacing="1" w:after="100" w:afterAutospacing="1" w:line="240" w:lineRule="auto"/>
        <w:outlineLvl w:val="0"/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  <w:t>5. Dual-Waveform 6G Strategy (Coverage + Capacity)</w:t>
      </w:r>
    </w:p>
    <w:p w14:paraId="7DBAD619" w14:textId="77777777" w:rsidR="007B5D1C" w:rsidRPr="00B874FD" w:rsidRDefault="007B5D1C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One radio; two waveforms; time-multiplexed.</w:t>
      </w:r>
    </w:p>
    <w:p w14:paraId="03B47F89" w14:textId="764616E2" w:rsidR="007B5D1C" w:rsidRPr="00B874FD" w:rsidRDefault="007B5D1C" w:rsidP="007B5D1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Coverage layer (OTFDM):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single/co-directional beams using all ports; minimum J/bit; best indoor reach</w:t>
      </w:r>
      <w:r w:rsidR="007F741A">
        <w:rPr>
          <w:rFonts w:asciiTheme="majorHAnsi" w:eastAsia="Times New Roman" w:hAnsiTheme="majorHAnsi" w:cstheme="majorHAnsi"/>
          <w:sz w:val="24"/>
          <w:szCs w:val="24"/>
        </w:rPr>
        <w:t xml:space="preserve"> or large coverage.</w:t>
      </w:r>
    </w:p>
    <w:p w14:paraId="3E8D6763" w14:textId="77777777" w:rsidR="007B5D1C" w:rsidRPr="00B874FD" w:rsidRDefault="007B5D1C" w:rsidP="007B5D1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Capacity layer (CP-OFDM):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multi-beam bursts for peak throughput when PA back-off is tolerable.</w:t>
      </w:r>
    </w:p>
    <w:p w14:paraId="51C418C8" w14:textId="77777777" w:rsidR="007B5D1C" w:rsidRPr="00B874FD" w:rsidRDefault="007B5D1C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Illustrative scheduler policy:</w:t>
      </w:r>
    </w:p>
    <w:p w14:paraId="6AF785FF" w14:textId="77777777" w:rsidR="007B5D1C" w:rsidRPr="00B874FD" w:rsidRDefault="007B5D1C" w:rsidP="007B5D1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Prioritize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OTFDM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for cell-edge/indoor users and background loads.</w:t>
      </w:r>
    </w:p>
    <w:p w14:paraId="34DC8392" w14:textId="77777777" w:rsidR="007B5D1C" w:rsidRPr="00B874FD" w:rsidRDefault="007B5D1C" w:rsidP="007B5D1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Insert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CP-OFDM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bursts for hot-spot/near-site traffic.</w:t>
      </w:r>
    </w:p>
    <w:p w14:paraId="1AE6641F" w14:textId="77777777" w:rsidR="007B5D1C" w:rsidRPr="00B874FD" w:rsidRDefault="00000000" w:rsidP="007B5D1C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pict w14:anchorId="1F981D7C">
          <v:rect id="_x0000_i1030" style="width:0;height:1.5pt" o:hralign="center" o:hrstd="t" o:hr="t" fillcolor="#a0a0a0" stroked="f"/>
        </w:pict>
      </w:r>
    </w:p>
    <w:p w14:paraId="139BB941" w14:textId="77777777" w:rsidR="007B5D1C" w:rsidRPr="00B874FD" w:rsidRDefault="007B5D1C" w:rsidP="007B5D1C">
      <w:pPr>
        <w:spacing w:before="100" w:beforeAutospacing="1" w:after="100" w:afterAutospacing="1" w:line="240" w:lineRule="auto"/>
        <w:outlineLvl w:val="0"/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  <w:t>6. Normalized Engineering Comparisons (Equal-Coverage, Equal EIRP)</w:t>
      </w:r>
    </w:p>
    <w:p w14:paraId="581EAABC" w14:textId="0FB034CE" w:rsidR="007B5D1C" w:rsidRPr="00B874FD" w:rsidRDefault="007B5D1C" w:rsidP="007B5D1C">
      <w:pPr>
        <w:spacing w:before="100" w:beforeAutospacing="1" w:after="100" w:afterAutospacing="1" w:line="240" w:lineRule="auto"/>
        <w:outlineLvl w:val="1"/>
        <w:rPr>
          <w:rFonts w:asciiTheme="majorHAnsi" w:eastAsia="Times New Roman" w:hAnsiTheme="majorHAnsi" w:cstheme="majorHAnsi"/>
          <w:b/>
          <w:bCs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6.1 Upper-Mid Band (~7 GHz) · 128TR (</w:t>
      </w:r>
      <w:r w:rsidR="007F741A">
        <w:rPr>
          <w:rFonts w:asciiTheme="majorHAnsi" w:eastAsia="Times New Roman" w:hAnsiTheme="majorHAnsi" w:cstheme="majorHAnsi"/>
          <w:b/>
          <w:bCs/>
          <w:sz w:val="24"/>
          <w:szCs w:val="24"/>
        </w:rPr>
        <w:t>2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00 MHz</w:t>
      </w:r>
      <w:r w:rsidR="007F741A">
        <w:rPr>
          <w:rFonts w:asciiTheme="majorHAnsi" w:eastAsia="Times New Roman" w:hAnsiTheme="majorHAnsi" w:cstheme="majorHAnsi"/>
          <w:b/>
          <w:bCs/>
          <w:sz w:val="24"/>
          <w:szCs w:val="24"/>
        </w:rPr>
        <w:t xml:space="preserve"> BW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9"/>
        <w:gridCol w:w="2333"/>
        <w:gridCol w:w="1198"/>
        <w:gridCol w:w="3648"/>
      </w:tblGrid>
      <w:tr w:rsidR="007B5D1C" w:rsidRPr="00B874FD" w14:paraId="371AD07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B88CA03" w14:textId="77777777" w:rsidR="007B5D1C" w:rsidRPr="00B874FD" w:rsidRDefault="007B5D1C" w:rsidP="007B5D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Metric</w:t>
            </w:r>
          </w:p>
        </w:tc>
        <w:tc>
          <w:tcPr>
            <w:tcW w:w="0" w:type="auto"/>
            <w:vAlign w:val="center"/>
            <w:hideMark/>
          </w:tcPr>
          <w:p w14:paraId="39BA9527" w14:textId="77777777" w:rsidR="007B5D1C" w:rsidRPr="00B874FD" w:rsidRDefault="007B5D1C" w:rsidP="007B5D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Dual (OTFDM-primary)</w:t>
            </w:r>
          </w:p>
        </w:tc>
        <w:tc>
          <w:tcPr>
            <w:tcW w:w="0" w:type="auto"/>
            <w:vAlign w:val="center"/>
            <w:hideMark/>
          </w:tcPr>
          <w:p w14:paraId="45F8DE9F" w14:textId="77777777" w:rsidR="007B5D1C" w:rsidRPr="00B874FD" w:rsidRDefault="007B5D1C" w:rsidP="007B5D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OFDM-only</w:t>
            </w:r>
          </w:p>
        </w:tc>
        <w:tc>
          <w:tcPr>
            <w:tcW w:w="0" w:type="auto"/>
            <w:vAlign w:val="center"/>
            <w:hideMark/>
          </w:tcPr>
          <w:p w14:paraId="7781515A" w14:textId="77777777" w:rsidR="007B5D1C" w:rsidRPr="00B874FD" w:rsidRDefault="007B5D1C" w:rsidP="007B5D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Notes</w:t>
            </w:r>
          </w:p>
        </w:tc>
      </w:tr>
      <w:tr w:rsidR="007B5D1C" w:rsidRPr="00B874FD" w14:paraId="25F7AD8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BD7A12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Coverage class</w:t>
            </w:r>
          </w:p>
        </w:tc>
        <w:tc>
          <w:tcPr>
            <w:tcW w:w="0" w:type="auto"/>
            <w:vAlign w:val="center"/>
            <w:hideMark/>
          </w:tcPr>
          <w:p w14:paraId="7200C786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Same (equal EIRP)</w:t>
            </w:r>
          </w:p>
        </w:tc>
        <w:tc>
          <w:tcPr>
            <w:tcW w:w="0" w:type="auto"/>
            <w:vAlign w:val="center"/>
            <w:hideMark/>
          </w:tcPr>
          <w:p w14:paraId="22F3485B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Same</w:t>
            </w:r>
          </w:p>
        </w:tc>
        <w:tc>
          <w:tcPr>
            <w:tcW w:w="0" w:type="auto"/>
            <w:vAlign w:val="center"/>
            <w:hideMark/>
          </w:tcPr>
          <w:p w14:paraId="6A2B9B74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Array gain dominates reach.</w:t>
            </w:r>
          </w:p>
        </w:tc>
      </w:tr>
      <w:tr w:rsidR="007B5D1C" w:rsidRPr="00B874FD" w14:paraId="5F586F3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C8B53D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Energy</w:t>
            </w:r>
          </w:p>
        </w:tc>
        <w:tc>
          <w:tcPr>
            <w:tcW w:w="0" w:type="auto"/>
            <w:vAlign w:val="center"/>
            <w:hideMark/>
          </w:tcPr>
          <w:p w14:paraId="13DDAA8C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≈ 50–55% of Y</w:t>
            </w:r>
          </w:p>
        </w:tc>
        <w:tc>
          <w:tcPr>
            <w:tcW w:w="0" w:type="auto"/>
            <w:vAlign w:val="center"/>
            <w:hideMark/>
          </w:tcPr>
          <w:p w14:paraId="39E477FA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14:paraId="0CDB97BA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Near-saturation PA in OTFDM mode.</w:t>
            </w:r>
          </w:p>
        </w:tc>
      </w:tr>
      <w:tr w:rsidR="007B5D1C" w:rsidRPr="00B874FD" w14:paraId="7196D49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B091F6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Equipment cost</w:t>
            </w:r>
          </w:p>
        </w:tc>
        <w:tc>
          <w:tcPr>
            <w:tcW w:w="0" w:type="auto"/>
            <w:vAlign w:val="center"/>
            <w:hideMark/>
          </w:tcPr>
          <w:p w14:paraId="36DC6E8C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≈ 40–65% of X</w:t>
            </w:r>
          </w:p>
        </w:tc>
        <w:tc>
          <w:tcPr>
            <w:tcW w:w="0" w:type="auto"/>
            <w:vAlign w:val="center"/>
            <w:hideMark/>
          </w:tcPr>
          <w:p w14:paraId="4189C514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5D5A7066" w14:textId="741F0932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Smaller PA/PSU/cooling</w:t>
            </w:r>
            <w:r w:rsidR="007F741A">
              <w:rPr>
                <w:rFonts w:asciiTheme="majorHAnsi" w:eastAsia="Times New Roman" w:hAnsiTheme="majorHAnsi" w:cstheme="majorHAnsi"/>
                <w:sz w:val="24"/>
                <w:szCs w:val="24"/>
              </w:rPr>
              <w:t>.</w:t>
            </w:r>
          </w:p>
        </w:tc>
      </w:tr>
      <w:tr w:rsidR="007B5D1C" w:rsidRPr="00B874FD" w14:paraId="49FFB20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6789E4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Size &amp; weight</w:t>
            </w:r>
          </w:p>
        </w:tc>
        <w:tc>
          <w:tcPr>
            <w:tcW w:w="0" w:type="auto"/>
            <w:vAlign w:val="center"/>
            <w:hideMark/>
          </w:tcPr>
          <w:p w14:paraId="1921B73D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−10–20%</w:t>
            </w:r>
          </w:p>
        </w:tc>
        <w:tc>
          <w:tcPr>
            <w:tcW w:w="0" w:type="auto"/>
            <w:vAlign w:val="center"/>
            <w:hideMark/>
          </w:tcPr>
          <w:p w14:paraId="3D7F569C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Baseline</w:t>
            </w:r>
          </w:p>
        </w:tc>
        <w:tc>
          <w:tcPr>
            <w:tcW w:w="0" w:type="auto"/>
            <w:vAlign w:val="center"/>
            <w:hideMark/>
          </w:tcPr>
          <w:p w14:paraId="592A6208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Lower heat → smaller enclosure.</w:t>
            </w:r>
          </w:p>
        </w:tc>
      </w:tr>
      <w:tr w:rsidR="007B5D1C" w:rsidRPr="00B874FD" w14:paraId="26A10E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5ECB87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EIRP (per 120°)</w:t>
            </w:r>
          </w:p>
        </w:tc>
        <w:tc>
          <w:tcPr>
            <w:tcW w:w="0" w:type="auto"/>
            <w:vAlign w:val="center"/>
            <w:hideMark/>
          </w:tcPr>
          <w:p w14:paraId="5CB2F154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≈ same</w:t>
            </w:r>
          </w:p>
        </w:tc>
        <w:tc>
          <w:tcPr>
            <w:tcW w:w="0" w:type="auto"/>
            <w:vAlign w:val="center"/>
            <w:hideMark/>
          </w:tcPr>
          <w:p w14:paraId="57E103F2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≈ same</w:t>
            </w:r>
          </w:p>
        </w:tc>
        <w:tc>
          <w:tcPr>
            <w:tcW w:w="0" w:type="auto"/>
            <w:vAlign w:val="center"/>
            <w:hideMark/>
          </w:tcPr>
          <w:p w14:paraId="6E615259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Ensures fair comparison.</w:t>
            </w:r>
          </w:p>
        </w:tc>
      </w:tr>
    </w:tbl>
    <w:p w14:paraId="0BBDD84D" w14:textId="77777777" w:rsidR="007B5D1C" w:rsidRPr="00B874FD" w:rsidRDefault="007B5D1C" w:rsidP="007B5D1C">
      <w:pPr>
        <w:spacing w:before="100" w:beforeAutospacing="1" w:after="100" w:afterAutospacing="1" w:line="240" w:lineRule="auto"/>
        <w:outlineLvl w:val="1"/>
        <w:rPr>
          <w:rFonts w:asciiTheme="majorHAnsi" w:eastAsia="Times New Roman" w:hAnsiTheme="majorHAnsi" w:cstheme="majorHAnsi"/>
          <w:b/>
          <w:bCs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6.2 Mid Band (n78) · 32TR (2×100 MHz)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9"/>
        <w:gridCol w:w="2333"/>
        <w:gridCol w:w="1198"/>
        <w:gridCol w:w="3166"/>
      </w:tblGrid>
      <w:tr w:rsidR="007B5D1C" w:rsidRPr="00B874FD" w14:paraId="4A4723C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D1FAB56" w14:textId="77777777" w:rsidR="007B5D1C" w:rsidRPr="00B874FD" w:rsidRDefault="007B5D1C" w:rsidP="007B5D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Metric</w:t>
            </w:r>
          </w:p>
        </w:tc>
        <w:tc>
          <w:tcPr>
            <w:tcW w:w="0" w:type="auto"/>
            <w:vAlign w:val="center"/>
            <w:hideMark/>
          </w:tcPr>
          <w:p w14:paraId="12FCBFE9" w14:textId="77777777" w:rsidR="007B5D1C" w:rsidRPr="00B874FD" w:rsidRDefault="007B5D1C" w:rsidP="007B5D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Dual (OTFDM-primary)</w:t>
            </w:r>
          </w:p>
        </w:tc>
        <w:tc>
          <w:tcPr>
            <w:tcW w:w="0" w:type="auto"/>
            <w:vAlign w:val="center"/>
            <w:hideMark/>
          </w:tcPr>
          <w:p w14:paraId="055B13EE" w14:textId="77777777" w:rsidR="007B5D1C" w:rsidRPr="00B874FD" w:rsidRDefault="007B5D1C" w:rsidP="007B5D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OFDM-only</w:t>
            </w:r>
          </w:p>
        </w:tc>
        <w:tc>
          <w:tcPr>
            <w:tcW w:w="0" w:type="auto"/>
            <w:vAlign w:val="center"/>
            <w:hideMark/>
          </w:tcPr>
          <w:p w14:paraId="1218537A" w14:textId="77777777" w:rsidR="007B5D1C" w:rsidRPr="00B874FD" w:rsidRDefault="007B5D1C" w:rsidP="007B5D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Notes</w:t>
            </w:r>
          </w:p>
        </w:tc>
      </w:tr>
      <w:tr w:rsidR="007B5D1C" w:rsidRPr="00B874FD" w14:paraId="7E9E61A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341C1A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Coverage class</w:t>
            </w:r>
          </w:p>
        </w:tc>
        <w:tc>
          <w:tcPr>
            <w:tcW w:w="0" w:type="auto"/>
            <w:vAlign w:val="center"/>
            <w:hideMark/>
          </w:tcPr>
          <w:p w14:paraId="3826DBA0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Same (equal EIRP)</w:t>
            </w:r>
          </w:p>
        </w:tc>
        <w:tc>
          <w:tcPr>
            <w:tcW w:w="0" w:type="auto"/>
            <w:vAlign w:val="center"/>
            <w:hideMark/>
          </w:tcPr>
          <w:p w14:paraId="45C45C38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Same</w:t>
            </w:r>
          </w:p>
        </w:tc>
        <w:tc>
          <w:tcPr>
            <w:tcW w:w="0" w:type="auto"/>
            <w:vAlign w:val="center"/>
            <w:hideMark/>
          </w:tcPr>
          <w:p w14:paraId="1912BB0B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Equal-coverage condition.</w:t>
            </w:r>
          </w:p>
        </w:tc>
      </w:tr>
      <w:tr w:rsidR="007B5D1C" w:rsidRPr="00B874FD" w14:paraId="5B2C59F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14F02E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Energy</w:t>
            </w:r>
          </w:p>
        </w:tc>
        <w:tc>
          <w:tcPr>
            <w:tcW w:w="0" w:type="auto"/>
            <w:vAlign w:val="center"/>
            <w:hideMark/>
          </w:tcPr>
          <w:p w14:paraId="474EC44A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≈ 45–55% of Y</w:t>
            </w:r>
          </w:p>
        </w:tc>
        <w:tc>
          <w:tcPr>
            <w:tcW w:w="0" w:type="auto"/>
            <w:vAlign w:val="center"/>
            <w:hideMark/>
          </w:tcPr>
          <w:p w14:paraId="33CD31D6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14:paraId="61FDA83F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Typical ~50% reduction.</w:t>
            </w:r>
          </w:p>
        </w:tc>
      </w:tr>
      <w:tr w:rsidR="007B5D1C" w:rsidRPr="00B874FD" w14:paraId="35507D2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854EB2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Equipment cost</w:t>
            </w:r>
          </w:p>
        </w:tc>
        <w:tc>
          <w:tcPr>
            <w:tcW w:w="0" w:type="auto"/>
            <w:vAlign w:val="center"/>
            <w:hideMark/>
          </w:tcPr>
          <w:p w14:paraId="4828F24F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≈ 35–60% of X</w:t>
            </w:r>
          </w:p>
        </w:tc>
        <w:tc>
          <w:tcPr>
            <w:tcW w:w="0" w:type="auto"/>
            <w:vAlign w:val="center"/>
            <w:hideMark/>
          </w:tcPr>
          <w:p w14:paraId="65E48CE6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0BFE4958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PA bin/PSU/cooling relaxations.</w:t>
            </w:r>
          </w:p>
        </w:tc>
      </w:tr>
      <w:tr w:rsidR="007B5D1C" w:rsidRPr="00B874FD" w14:paraId="3182EA9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DD0B64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lastRenderedPageBreak/>
              <w:t>Size &amp; weight</w:t>
            </w:r>
          </w:p>
        </w:tc>
        <w:tc>
          <w:tcPr>
            <w:tcW w:w="0" w:type="auto"/>
            <w:vAlign w:val="center"/>
            <w:hideMark/>
          </w:tcPr>
          <w:p w14:paraId="1A0AE235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−10–20%</w:t>
            </w:r>
          </w:p>
        </w:tc>
        <w:tc>
          <w:tcPr>
            <w:tcW w:w="0" w:type="auto"/>
            <w:vAlign w:val="center"/>
            <w:hideMark/>
          </w:tcPr>
          <w:p w14:paraId="2E94CDDE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Baseline</w:t>
            </w:r>
          </w:p>
        </w:tc>
        <w:tc>
          <w:tcPr>
            <w:tcW w:w="0" w:type="auto"/>
            <w:vAlign w:val="center"/>
            <w:hideMark/>
          </w:tcPr>
          <w:p w14:paraId="1DAA837C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Shipment/installation savings.</w:t>
            </w:r>
          </w:p>
        </w:tc>
      </w:tr>
    </w:tbl>
    <w:p w14:paraId="066F5637" w14:textId="77777777" w:rsidR="007B5D1C" w:rsidRPr="00B874FD" w:rsidRDefault="00000000" w:rsidP="007B5D1C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pict w14:anchorId="29AFF168">
          <v:rect id="_x0000_i1031" style="width:0;height:1.5pt" o:hralign="center" o:hrstd="t" o:hr="t" fillcolor="#a0a0a0" stroked="f"/>
        </w:pict>
      </w:r>
    </w:p>
    <w:p w14:paraId="784B32E6" w14:textId="77777777" w:rsidR="007B5D1C" w:rsidRPr="00B874FD" w:rsidRDefault="007B5D1C" w:rsidP="007B5D1C">
      <w:pPr>
        <w:spacing w:before="100" w:beforeAutospacing="1" w:after="100" w:afterAutospacing="1" w:line="240" w:lineRule="auto"/>
        <w:outlineLvl w:val="0"/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  <w:t>7. Deployment &amp; Backward Compatibility</w:t>
      </w:r>
    </w:p>
    <w:p w14:paraId="77ECA739" w14:textId="77777777" w:rsidR="007B5D1C" w:rsidRPr="00B874FD" w:rsidRDefault="007B5D1C" w:rsidP="007B5D1C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Software upgrade path: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Introduce OTFDM on existing RUs where PA bins/linearity suffice; otherwise dimension at next refresh.</w:t>
      </w:r>
    </w:p>
    <w:p w14:paraId="4CD837B5" w14:textId="77777777" w:rsidR="007B5D1C" w:rsidRPr="00B874FD" w:rsidRDefault="007B5D1C" w:rsidP="007B5D1C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Bands: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Suitable for new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FR3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allocations and legacy bands at refresh.</w:t>
      </w:r>
    </w:p>
    <w:p w14:paraId="1DDDFA4A" w14:textId="77777777" w:rsidR="007B5D1C" w:rsidRPr="00B874FD" w:rsidRDefault="007B5D1C" w:rsidP="007B5D1C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Core/RIC neutrality: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No core changes; RIC policies can drive OTFDM/OFDM time-share.</w:t>
      </w:r>
    </w:p>
    <w:p w14:paraId="67D7B30F" w14:textId="05AA8054" w:rsidR="007B5D1C" w:rsidRPr="00B874FD" w:rsidRDefault="007B5D1C" w:rsidP="007B5D1C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Open/centralized RAN: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Compatible with DU/RU splits; no new fronthaul burden beyond waveform indication</w:t>
      </w:r>
      <w:r w:rsidR="005253E4">
        <w:rPr>
          <w:rFonts w:asciiTheme="majorHAnsi" w:eastAsia="Times New Roman" w:hAnsiTheme="majorHAnsi" w:cstheme="majorHAnsi"/>
          <w:sz w:val="24"/>
          <w:szCs w:val="24"/>
        </w:rPr>
        <w:t>s.</w:t>
      </w:r>
    </w:p>
    <w:p w14:paraId="58FD3FE8" w14:textId="77777777" w:rsidR="007B5D1C" w:rsidRPr="00B874FD" w:rsidRDefault="00000000" w:rsidP="007B5D1C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pict w14:anchorId="5DCCEC52">
          <v:rect id="_x0000_i1032" style="width:0;height:1.5pt" o:hralign="center" o:hrstd="t" o:hr="t" fillcolor="#a0a0a0" stroked="f"/>
        </w:pict>
      </w:r>
    </w:p>
    <w:p w14:paraId="068991FC" w14:textId="578C302F" w:rsidR="007B5D1C" w:rsidRPr="00B874FD" w:rsidRDefault="007B5D1C" w:rsidP="007B5D1C">
      <w:pPr>
        <w:spacing w:before="100" w:beforeAutospacing="1" w:after="100" w:afterAutospacing="1" w:line="240" w:lineRule="auto"/>
        <w:outlineLvl w:val="0"/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  <w:t xml:space="preserve">8. Standardization Impact </w:t>
      </w:r>
    </w:p>
    <w:p w14:paraId="296E10A8" w14:textId="09D1E972" w:rsidR="007B5D1C" w:rsidRPr="005253E4" w:rsidRDefault="007B5D1C" w:rsidP="005253E4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Waveform option: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Add an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OTFDM DL option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under the OFDM famil</w:t>
      </w:r>
      <w:r w:rsidR="005253E4">
        <w:rPr>
          <w:rFonts w:asciiTheme="majorHAnsi" w:eastAsia="Times New Roman" w:hAnsiTheme="majorHAnsi" w:cstheme="majorHAnsi"/>
          <w:sz w:val="24"/>
          <w:szCs w:val="24"/>
        </w:rPr>
        <w:t>y.</w:t>
      </w:r>
    </w:p>
    <w:p w14:paraId="7E81B706" w14:textId="6A2011F1" w:rsidR="007B5D1C" w:rsidRPr="00B874FD" w:rsidRDefault="007B5D1C" w:rsidP="007B5D1C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Complexity: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Primarily software</w:t>
      </w:r>
      <w:r w:rsidR="005253E4">
        <w:rPr>
          <w:rFonts w:asciiTheme="majorHAnsi" w:eastAsia="Times New Roman" w:hAnsiTheme="majorHAnsi" w:cstheme="majorHAnsi"/>
          <w:sz w:val="24"/>
          <w:szCs w:val="24"/>
        </w:rPr>
        <w:t>/firmware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; </w:t>
      </w:r>
      <w:r w:rsidR="005253E4">
        <w:rPr>
          <w:rFonts w:asciiTheme="majorHAnsi" w:eastAsia="Times New Roman" w:hAnsiTheme="majorHAnsi" w:cstheme="majorHAnsi"/>
          <w:sz w:val="24"/>
          <w:szCs w:val="24"/>
        </w:rPr>
        <w:t>acceptable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spec impact relative to energy/TCO gains.</w:t>
      </w:r>
    </w:p>
    <w:p w14:paraId="515751A5" w14:textId="77777777" w:rsidR="007B5D1C" w:rsidRPr="00B874FD" w:rsidRDefault="00000000" w:rsidP="007B5D1C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pict w14:anchorId="1992FD91">
          <v:rect id="_x0000_i1033" style="width:0;height:1.5pt" o:hralign="center" o:hrstd="t" o:hr="t" fillcolor="#a0a0a0" stroked="f"/>
        </w:pict>
      </w:r>
    </w:p>
    <w:p w14:paraId="1DE41982" w14:textId="77777777" w:rsidR="007B5D1C" w:rsidRPr="00B874FD" w:rsidRDefault="007B5D1C" w:rsidP="007B5D1C">
      <w:pPr>
        <w:spacing w:before="100" w:beforeAutospacing="1" w:after="100" w:afterAutospacing="1" w:line="240" w:lineRule="auto"/>
        <w:outlineLvl w:val="0"/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  <w:t>9. Policy &amp; Market Relevance</w:t>
      </w:r>
    </w:p>
    <w:p w14:paraId="52B35FA6" w14:textId="77777777" w:rsidR="007B5D1C" w:rsidRPr="00B874FD" w:rsidRDefault="007B5D1C" w:rsidP="007B5D1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Cost-sensitive regions: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Dual approach reduces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X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and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Y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>, enabling more sites per budget.</w:t>
      </w:r>
    </w:p>
    <w:p w14:paraId="466951D3" w14:textId="77777777" w:rsidR="007B5D1C" w:rsidRPr="00B874FD" w:rsidRDefault="007B5D1C" w:rsidP="007B5D1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Energy-constrained regions: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Lowers site power and thermal load, improving reliability and OPEX.</w:t>
      </w:r>
    </w:p>
    <w:p w14:paraId="5174E26B" w14:textId="77777777" w:rsidR="007B5D1C" w:rsidRPr="00B874FD" w:rsidRDefault="007B5D1C" w:rsidP="007B5D1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Legacy networks: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Even SW-only introduction (where feasible) reduces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Y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with potential range benefits at equal EIRP.</w:t>
      </w:r>
    </w:p>
    <w:p w14:paraId="0C1F09C0" w14:textId="77777777" w:rsidR="007B5D1C" w:rsidRPr="00B874FD" w:rsidRDefault="00000000" w:rsidP="007B5D1C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pict w14:anchorId="37165188">
          <v:rect id="_x0000_i1034" style="width:0;height:1.5pt" o:hralign="center" o:hrstd="t" o:hr="t" fillcolor="#a0a0a0" stroked="f"/>
        </w:pict>
      </w:r>
    </w:p>
    <w:p w14:paraId="1DC5CD4A" w14:textId="77777777" w:rsidR="007B5D1C" w:rsidRPr="00B874FD" w:rsidRDefault="007B5D1C" w:rsidP="007B5D1C">
      <w:pPr>
        <w:spacing w:before="100" w:beforeAutospacing="1" w:after="100" w:afterAutospacing="1" w:line="240" w:lineRule="auto"/>
        <w:outlineLvl w:val="0"/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kern w:val="36"/>
          <w:sz w:val="24"/>
          <w:szCs w:val="24"/>
        </w:rPr>
        <w:t>10. Conclusion</w:t>
      </w:r>
    </w:p>
    <w:p w14:paraId="48614EBF" w14:textId="322DB5B1" w:rsidR="007B5D1C" w:rsidRPr="00B874FD" w:rsidRDefault="007B5D1C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A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dual-waveform (OTFDM + CP-OFDM)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strategy for 6G DL provides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equal coverage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with approximately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45–50% lower energy</w:t>
      </w:r>
      <w:r w:rsidR="00B80BA6">
        <w:rPr>
          <w:rFonts w:asciiTheme="majorHAnsi" w:eastAsia="Times New Roman" w:hAnsiTheme="majorHAnsi" w:cstheme="majorHAnsi"/>
          <w:b/>
          <w:bCs/>
          <w:sz w:val="24"/>
          <w:szCs w:val="24"/>
        </w:rPr>
        <w:t xml:space="preserve"> for 7Ghz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(≈50–55% </w:t>
      </w:r>
      <w:r w:rsidR="00B80BA6">
        <w:rPr>
          <w:rFonts w:asciiTheme="majorHAnsi" w:eastAsia="Times New Roman" w:hAnsiTheme="majorHAnsi" w:cstheme="majorHAnsi"/>
          <w:sz w:val="24"/>
          <w:szCs w:val="24"/>
        </w:rPr>
        <w:t>for n78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),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35–60% lower cost</w:t>
      </w:r>
      <w:r w:rsidR="00B80BA6">
        <w:rPr>
          <w:rFonts w:asciiTheme="majorHAnsi" w:eastAsia="Times New Roman" w:hAnsiTheme="majorHAnsi" w:cstheme="majorHAnsi"/>
          <w:b/>
          <w:bCs/>
          <w:sz w:val="24"/>
          <w:szCs w:val="24"/>
        </w:rPr>
        <w:t xml:space="preserve"> for 7GHz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(≈40–65% </w:t>
      </w:r>
      <w:r w:rsidR="00B80BA6">
        <w:rPr>
          <w:rFonts w:asciiTheme="majorHAnsi" w:eastAsia="Times New Roman" w:hAnsiTheme="majorHAnsi" w:cstheme="majorHAnsi"/>
          <w:sz w:val="24"/>
          <w:szCs w:val="24"/>
        </w:rPr>
        <w:t>for n78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), and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10–20%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smaller/lighter radios. Gains outweigh the specification additions, and many existing platforms can adopt OTFDM via software</w:t>
      </w:r>
      <w:r w:rsidR="000C2996">
        <w:rPr>
          <w:rFonts w:asciiTheme="majorHAnsi" w:eastAsia="Times New Roman" w:hAnsiTheme="majorHAnsi" w:cstheme="majorHAnsi"/>
          <w:sz w:val="24"/>
          <w:szCs w:val="24"/>
        </w:rPr>
        <w:t>/firmware.</w:t>
      </w:r>
    </w:p>
    <w:p w14:paraId="5816DE6F" w14:textId="77777777" w:rsidR="007B5D1C" w:rsidRPr="00B874FD" w:rsidRDefault="00000000" w:rsidP="007B5D1C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pict w14:anchorId="6E42AE89">
          <v:rect id="_x0000_i1035" style="width:0;height:1.5pt" o:hralign="center" o:hrstd="t" o:hr="t" fillcolor="#a0a0a0" stroked="f"/>
        </w:pict>
      </w:r>
    </w:p>
    <w:p w14:paraId="00603B7E" w14:textId="77777777" w:rsidR="007B5D1C" w:rsidRPr="00B874FD" w:rsidRDefault="007B5D1C" w:rsidP="007B5D1C">
      <w:pPr>
        <w:spacing w:before="100" w:beforeAutospacing="1" w:after="100" w:afterAutospacing="1" w:line="240" w:lineRule="auto"/>
        <w:outlineLvl w:val="1"/>
        <w:rPr>
          <w:rFonts w:asciiTheme="majorHAnsi" w:eastAsia="Times New Roman" w:hAnsiTheme="majorHAnsi" w:cstheme="majorHAnsi"/>
          <w:b/>
          <w:bCs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Annex A — Normalization &amp; Assumptions</w:t>
      </w:r>
    </w:p>
    <w:p w14:paraId="06D70B39" w14:textId="77777777" w:rsidR="007B5D1C" w:rsidRPr="00B874FD" w:rsidRDefault="007B5D1C" w:rsidP="007B5D1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lastRenderedPageBreak/>
        <w:t>Equal-coverage condition: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Compare modes at equal boresight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EIRP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per sector.</w:t>
      </w:r>
    </w:p>
    <w:p w14:paraId="02D630E6" w14:textId="77777777" w:rsidR="007B5D1C" w:rsidRPr="00B874FD" w:rsidRDefault="007B5D1C" w:rsidP="007B5D1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Normalization: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OFDM Energy = Y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,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OFDM BoM = X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>; report OTFDM as % of Y/X.</w:t>
      </w:r>
    </w:p>
    <w:p w14:paraId="6E1EA954" w14:textId="77777777" w:rsidR="007B5D1C" w:rsidRPr="00B874FD" w:rsidRDefault="007B5D1C" w:rsidP="007B5D1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Arrays: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Examples use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128TR @ ~7 GHz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and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32TR @ n78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>; conclusions extend proportionally.</w:t>
      </w:r>
    </w:p>
    <w:p w14:paraId="2952FEE6" w14:textId="77777777" w:rsidR="007B5D1C" w:rsidRPr="00B874FD" w:rsidRDefault="007B5D1C" w:rsidP="007B5D1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PAPR/back-off: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CP-OFDM requires larger back-off at cell edge; OTFDM targets near-saturation with very low PAPR.</w:t>
      </w:r>
    </w:p>
    <w:p w14:paraId="3678839D" w14:textId="77777777" w:rsidR="007B5D1C" w:rsidRPr="00B874FD" w:rsidRDefault="007B5D1C" w:rsidP="007B5D1C">
      <w:pPr>
        <w:spacing w:before="100" w:beforeAutospacing="1" w:after="100" w:afterAutospacing="1" w:line="240" w:lineRule="auto"/>
        <w:outlineLvl w:val="1"/>
        <w:rPr>
          <w:rFonts w:asciiTheme="majorHAnsi" w:eastAsia="Times New Roman" w:hAnsiTheme="majorHAnsi" w:cstheme="majorHAnsi"/>
          <w:b/>
          <w:bCs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Annex B — Engineering Rationale (Informative)</w:t>
      </w:r>
    </w:p>
    <w:p w14:paraId="485DE07F" w14:textId="77777777" w:rsidR="007B5D1C" w:rsidRPr="00B874FD" w:rsidRDefault="007B5D1C" w:rsidP="007B5D1C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PA efficiency: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Low PAPR → smaller back-off → higher drain efficiency at required linearity.</w:t>
      </w:r>
    </w:p>
    <w:p w14:paraId="547A4665" w14:textId="77777777" w:rsidR="007B5D1C" w:rsidRPr="00B874FD" w:rsidRDefault="007B5D1C" w:rsidP="007B5D1C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Thermals: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Less waste heat → smaller heatsinks/fans → lower mass/volume.</w:t>
      </w:r>
    </w:p>
    <w:p w14:paraId="71EB7DDC" w14:textId="0C99AF81" w:rsidR="007B5D1C" w:rsidRPr="00B874FD" w:rsidRDefault="007B5D1C" w:rsidP="007B5D1C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Receiver stack: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OTFDM reuses OFDM-grade </w:t>
      </w:r>
      <w:r w:rsidR="00F26E1C">
        <w:rPr>
          <w:rFonts w:asciiTheme="majorHAnsi" w:eastAsia="Times New Roman" w:hAnsiTheme="majorHAnsi" w:cstheme="majorHAnsi"/>
          <w:sz w:val="24"/>
          <w:szCs w:val="24"/>
        </w:rPr>
        <w:t>processing DFT/FFTs etc.</w:t>
      </w:r>
    </w:p>
    <w:p w14:paraId="5BC05172" w14:textId="77777777" w:rsidR="007B5D1C" w:rsidRPr="00B874FD" w:rsidRDefault="007B5D1C" w:rsidP="007B5D1C">
      <w:pPr>
        <w:spacing w:before="100" w:beforeAutospacing="1" w:after="100" w:afterAutospacing="1" w:line="240" w:lineRule="auto"/>
        <w:outlineLvl w:val="1"/>
        <w:rPr>
          <w:rFonts w:asciiTheme="majorHAnsi" w:eastAsia="Times New Roman" w:hAnsiTheme="majorHAnsi" w:cstheme="majorHAnsi"/>
          <w:b/>
          <w:bCs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Annex C — Operator Guidance (Informative)</w:t>
      </w:r>
    </w:p>
    <w:p w14:paraId="7C0164A4" w14:textId="77777777" w:rsidR="007B5D1C" w:rsidRPr="00B874FD" w:rsidRDefault="007B5D1C" w:rsidP="007B5D1C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Schedule OTFDM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for cell-edge, indoor, FWA, and background traffic.</w:t>
      </w:r>
    </w:p>
    <w:p w14:paraId="5C7EECCD" w14:textId="77777777" w:rsidR="007B5D1C" w:rsidRPr="00B874FD" w:rsidRDefault="007B5D1C" w:rsidP="007B5D1C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Schedule CP-OFDM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for hot-spot, near-site, multi-beam peaks.</w:t>
      </w:r>
    </w:p>
    <w:p w14:paraId="220C14D1" w14:textId="77777777" w:rsidR="007B5D1C" w:rsidRPr="00B874FD" w:rsidRDefault="00000000" w:rsidP="007B5D1C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pict w14:anchorId="0F2EBFB3">
          <v:rect id="_x0000_i1036" style="width:0;height:1.5pt" o:hralign="center" o:hrstd="t" o:hr="t" fillcolor="#a0a0a0" stroked="f"/>
        </w:pict>
      </w:r>
    </w:p>
    <w:p w14:paraId="44875384" w14:textId="77777777" w:rsidR="007B5D1C" w:rsidRPr="00B874FD" w:rsidRDefault="007B5D1C" w:rsidP="007B5D1C">
      <w:pPr>
        <w:spacing w:before="100" w:beforeAutospacing="1" w:after="100" w:afterAutospacing="1" w:line="240" w:lineRule="auto"/>
        <w:outlineLvl w:val="1"/>
        <w:rPr>
          <w:rFonts w:asciiTheme="majorHAnsi" w:eastAsia="Times New Roman" w:hAnsiTheme="majorHAnsi" w:cstheme="majorHAnsi"/>
          <w:b/>
          <w:bCs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Appendix A — Quick Comparison (At a Glance)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9"/>
        <w:gridCol w:w="2004"/>
        <w:gridCol w:w="1524"/>
        <w:gridCol w:w="3459"/>
      </w:tblGrid>
      <w:tr w:rsidR="007B5D1C" w:rsidRPr="00B874FD" w14:paraId="6174B5A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69BD4A2" w14:textId="77777777" w:rsidR="007B5D1C" w:rsidRPr="00B874FD" w:rsidRDefault="007B5D1C" w:rsidP="007B5D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Feature</w:t>
            </w:r>
          </w:p>
        </w:tc>
        <w:tc>
          <w:tcPr>
            <w:tcW w:w="0" w:type="auto"/>
            <w:vAlign w:val="center"/>
            <w:hideMark/>
          </w:tcPr>
          <w:p w14:paraId="733910FB" w14:textId="77777777" w:rsidR="007B5D1C" w:rsidRPr="00B874FD" w:rsidRDefault="007B5D1C" w:rsidP="007B5D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CP-OFDM (NR)</w:t>
            </w:r>
          </w:p>
        </w:tc>
        <w:tc>
          <w:tcPr>
            <w:tcW w:w="0" w:type="auto"/>
            <w:vAlign w:val="center"/>
            <w:hideMark/>
          </w:tcPr>
          <w:p w14:paraId="6F4D6DFC" w14:textId="77777777" w:rsidR="007B5D1C" w:rsidRPr="00B874FD" w:rsidRDefault="007B5D1C" w:rsidP="007B5D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DFT-s-OFDM (NR)</w:t>
            </w:r>
          </w:p>
        </w:tc>
        <w:tc>
          <w:tcPr>
            <w:tcW w:w="0" w:type="auto"/>
            <w:vAlign w:val="center"/>
            <w:hideMark/>
          </w:tcPr>
          <w:p w14:paraId="08813FAE" w14:textId="77777777" w:rsidR="007B5D1C" w:rsidRPr="00B874FD" w:rsidRDefault="007B5D1C" w:rsidP="007B5D1C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OTFDM (proposed)</w:t>
            </w:r>
          </w:p>
        </w:tc>
      </w:tr>
      <w:tr w:rsidR="007B5D1C" w:rsidRPr="00B874FD" w14:paraId="08841DF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6A81EB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PAPR / PA back-off</w:t>
            </w:r>
          </w:p>
        </w:tc>
        <w:tc>
          <w:tcPr>
            <w:tcW w:w="0" w:type="auto"/>
            <w:vAlign w:val="center"/>
            <w:hideMark/>
          </w:tcPr>
          <w:p w14:paraId="7206E691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High / High</w:t>
            </w:r>
          </w:p>
        </w:tc>
        <w:tc>
          <w:tcPr>
            <w:tcW w:w="0" w:type="auto"/>
            <w:vAlign w:val="center"/>
            <w:hideMark/>
          </w:tcPr>
          <w:p w14:paraId="0DC82C7C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Low / Low</w:t>
            </w:r>
          </w:p>
        </w:tc>
        <w:tc>
          <w:tcPr>
            <w:tcW w:w="0" w:type="auto"/>
            <w:vAlign w:val="center"/>
            <w:hideMark/>
          </w:tcPr>
          <w:p w14:paraId="535F426C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Low / Low</w:t>
            </w:r>
          </w:p>
        </w:tc>
      </w:tr>
      <w:tr w:rsidR="007B5D1C" w:rsidRPr="00B874FD" w14:paraId="2326950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7EB325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DMRS location</w:t>
            </w:r>
          </w:p>
        </w:tc>
        <w:tc>
          <w:tcPr>
            <w:tcW w:w="0" w:type="auto"/>
            <w:vAlign w:val="center"/>
            <w:hideMark/>
          </w:tcPr>
          <w:p w14:paraId="4AAB7C8A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Full-symbol</w:t>
            </w:r>
          </w:p>
        </w:tc>
        <w:tc>
          <w:tcPr>
            <w:tcW w:w="0" w:type="auto"/>
            <w:vAlign w:val="center"/>
            <w:hideMark/>
          </w:tcPr>
          <w:p w14:paraId="2FD59BC4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Full-symbol</w:t>
            </w:r>
          </w:p>
        </w:tc>
        <w:tc>
          <w:tcPr>
            <w:tcW w:w="0" w:type="auto"/>
            <w:vAlign w:val="center"/>
            <w:hideMark/>
          </w:tcPr>
          <w:p w14:paraId="30C57BAE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Within-symbol (time-packed pre-DFT)</w:t>
            </w:r>
          </w:p>
        </w:tc>
      </w:tr>
      <w:tr w:rsidR="007B5D1C" w:rsidRPr="00B874FD" w14:paraId="0AFD67D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2F3C8E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Per-symbol CE</w:t>
            </w:r>
          </w:p>
        </w:tc>
        <w:tc>
          <w:tcPr>
            <w:tcW w:w="0" w:type="auto"/>
            <w:vAlign w:val="center"/>
            <w:hideMark/>
          </w:tcPr>
          <w:p w14:paraId="2132CA5C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3489FCCC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2CB3DBA1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Yes</w:t>
            </w:r>
          </w:p>
        </w:tc>
      </w:tr>
      <w:tr w:rsidR="007B5D1C" w:rsidRPr="00B874FD" w14:paraId="7B76F49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8546FF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One-symbol TTI</w:t>
            </w:r>
          </w:p>
        </w:tc>
        <w:tc>
          <w:tcPr>
            <w:tcW w:w="0" w:type="auto"/>
            <w:vAlign w:val="center"/>
            <w:hideMark/>
          </w:tcPr>
          <w:p w14:paraId="32017EB4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Inefficient</w:t>
            </w:r>
          </w:p>
        </w:tc>
        <w:tc>
          <w:tcPr>
            <w:tcW w:w="0" w:type="auto"/>
            <w:vAlign w:val="center"/>
            <w:hideMark/>
          </w:tcPr>
          <w:p w14:paraId="7E667F9A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Inefficient</w:t>
            </w:r>
          </w:p>
        </w:tc>
        <w:tc>
          <w:tcPr>
            <w:tcW w:w="0" w:type="auto"/>
            <w:vAlign w:val="center"/>
            <w:hideMark/>
          </w:tcPr>
          <w:p w14:paraId="3D3A2A56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Practical</w:t>
            </w:r>
          </w:p>
        </w:tc>
      </w:tr>
      <w:tr w:rsidR="007B5D1C" w:rsidRPr="00B874FD" w14:paraId="31CB90F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922C69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DL intra-symbol multi-UE</w:t>
            </w:r>
          </w:p>
        </w:tc>
        <w:tc>
          <w:tcPr>
            <w:tcW w:w="0" w:type="auto"/>
            <w:vAlign w:val="center"/>
            <w:hideMark/>
          </w:tcPr>
          <w:p w14:paraId="0BBE6CD3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Yes (FDM) with high PAPR</w:t>
            </w:r>
          </w:p>
        </w:tc>
        <w:tc>
          <w:tcPr>
            <w:tcW w:w="0" w:type="auto"/>
            <w:vAlign w:val="center"/>
            <w:hideMark/>
          </w:tcPr>
          <w:p w14:paraId="2361825E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Not practical</w:t>
            </w:r>
          </w:p>
        </w:tc>
        <w:tc>
          <w:tcPr>
            <w:tcW w:w="0" w:type="auto"/>
            <w:vAlign w:val="center"/>
            <w:hideMark/>
          </w:tcPr>
          <w:p w14:paraId="6ED30DF6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Yes (TDM) with low PAPR</w:t>
            </w:r>
          </w:p>
        </w:tc>
      </w:tr>
      <w:tr w:rsidR="007B5D1C" w:rsidRPr="00B874FD" w14:paraId="2CAFF83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849A68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Excess-BW shaping</w:t>
            </w:r>
          </w:p>
        </w:tc>
        <w:tc>
          <w:tcPr>
            <w:tcW w:w="0" w:type="auto"/>
            <w:vAlign w:val="center"/>
            <w:hideMark/>
          </w:tcPr>
          <w:p w14:paraId="1F2489B6" w14:textId="49FFF7E1" w:rsidR="007B5D1C" w:rsidRPr="00B874FD" w:rsidRDefault="00D9672B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>
              <w:rPr>
                <w:rFonts w:asciiTheme="majorHAnsi" w:eastAsia="Times New Roman" w:hAnsiTheme="majorHAnsi" w:cstheme="majorHAnsi"/>
                <w:sz w:val="24"/>
                <w:szCs w:val="24"/>
              </w:rPr>
              <w:t>NA</w:t>
            </w:r>
          </w:p>
        </w:tc>
        <w:tc>
          <w:tcPr>
            <w:tcW w:w="0" w:type="auto"/>
            <w:vAlign w:val="center"/>
            <w:hideMark/>
          </w:tcPr>
          <w:p w14:paraId="57C3BD3E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Optional</w:t>
            </w:r>
          </w:p>
        </w:tc>
        <w:tc>
          <w:tcPr>
            <w:tcW w:w="0" w:type="auto"/>
            <w:vAlign w:val="center"/>
            <w:hideMark/>
          </w:tcPr>
          <w:p w14:paraId="0B3FE139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Controls effective channel length &amp; DMRS sizing</w:t>
            </w:r>
          </w:p>
        </w:tc>
      </w:tr>
      <w:tr w:rsidR="007B5D1C" w:rsidRPr="00B874FD" w14:paraId="3FFED90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D110EB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Coexistence with NR</w:t>
            </w:r>
          </w:p>
        </w:tc>
        <w:tc>
          <w:tcPr>
            <w:tcW w:w="0" w:type="auto"/>
            <w:vAlign w:val="center"/>
            <w:hideMark/>
          </w:tcPr>
          <w:p w14:paraId="7082EC26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Native</w:t>
            </w:r>
          </w:p>
        </w:tc>
        <w:tc>
          <w:tcPr>
            <w:tcW w:w="0" w:type="auto"/>
            <w:vAlign w:val="center"/>
            <w:hideMark/>
          </w:tcPr>
          <w:p w14:paraId="69AA537B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sz w:val="24"/>
                <w:szCs w:val="24"/>
              </w:rPr>
              <w:t>Native</w:t>
            </w:r>
          </w:p>
        </w:tc>
        <w:tc>
          <w:tcPr>
            <w:tcW w:w="0" w:type="auto"/>
            <w:vAlign w:val="center"/>
            <w:hideMark/>
          </w:tcPr>
          <w:p w14:paraId="46518241" w14:textId="77777777" w:rsidR="007B5D1C" w:rsidRPr="00B874FD" w:rsidRDefault="007B5D1C" w:rsidP="007B5D1C">
            <w:pPr>
              <w:spacing w:after="0" w:line="240" w:lineRule="auto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B874FD"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  <w:t>Native (OFDM shell)</w:t>
            </w:r>
          </w:p>
        </w:tc>
      </w:tr>
    </w:tbl>
    <w:p w14:paraId="2ED873C0" w14:textId="77777777" w:rsidR="007B5D1C" w:rsidRPr="00B874FD" w:rsidRDefault="00000000" w:rsidP="007B5D1C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pict w14:anchorId="0F7CE84F">
          <v:rect id="_x0000_i1037" style="width:0;height:1.5pt" o:hralign="center" o:hrstd="t" o:hr="t" fillcolor="#a0a0a0" stroked="f"/>
        </w:pict>
      </w:r>
    </w:p>
    <w:p w14:paraId="40DD6BE9" w14:textId="77777777" w:rsidR="007B5D1C" w:rsidRPr="00B874FD" w:rsidRDefault="007B5D1C" w:rsidP="007B5D1C">
      <w:pPr>
        <w:spacing w:before="100" w:beforeAutospacing="1" w:after="100" w:afterAutospacing="1" w:line="240" w:lineRule="auto"/>
        <w:outlineLvl w:val="1"/>
        <w:rPr>
          <w:rFonts w:asciiTheme="majorHAnsi" w:eastAsia="Times New Roman" w:hAnsiTheme="majorHAnsi" w:cstheme="majorHAnsi"/>
          <w:b/>
          <w:bCs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References</w:t>
      </w:r>
    </w:p>
    <w:p w14:paraId="09819759" w14:textId="77777777" w:rsidR="007B5D1C" w:rsidRPr="00B874FD" w:rsidRDefault="007B5D1C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[1] R1-2507534: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Design Principles and Evaluation KPIs for 6G Candidate Waveforms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br/>
        <w:t xml:space="preserve">[2] R1-2507535: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Link-Level Evaluation of OTFDM Waveform: Assumptions and Performance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br/>
        <w:t xml:space="preserve">[3] R1-2507536: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6G BTS Cost Optimization: Waveform Choices and MIMO Trade-offs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br/>
        <w:t xml:space="preserve">[4] R1-2507537: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Case for π/2-BPSK DFT-s-OFDM in 6G NR (Low PAPR, Cell-Edge Gains)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br/>
        <w:t xml:space="preserve">[5] R1-2507539: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Waveform Evaluation Considerations for 6G Uplink Control Channels</w:t>
      </w:r>
    </w:p>
    <w:p w14:paraId="4B97F2AB" w14:textId="77777777" w:rsidR="007B5D1C" w:rsidRPr="00B874FD" w:rsidRDefault="00000000" w:rsidP="007B5D1C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lastRenderedPageBreak/>
        <w:pict w14:anchorId="45E8CD9B">
          <v:rect id="_x0000_i1038" style="width:0;height:1.5pt" o:hralign="center" o:hrstd="t" o:hr="t" fillcolor="#a0a0a0" stroked="f"/>
        </w:pict>
      </w:r>
    </w:p>
    <w:p w14:paraId="1F4572F3" w14:textId="24686FF9" w:rsidR="007B5D1C" w:rsidRPr="00B874FD" w:rsidRDefault="007B5D1C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Requested Decision</w:t>
      </w:r>
    </w:p>
    <w:p w14:paraId="46578C2C" w14:textId="37370013" w:rsidR="007B5D1C" w:rsidRPr="00B874FD" w:rsidRDefault="007B5D1C" w:rsidP="007B5D1C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Agree that a </w:t>
      </w:r>
      <w:r w:rsidRPr="00B874FD">
        <w:rPr>
          <w:rFonts w:asciiTheme="majorHAnsi" w:eastAsia="Times New Roman" w:hAnsiTheme="majorHAnsi" w:cstheme="majorHAnsi"/>
          <w:b/>
          <w:bCs/>
          <w:sz w:val="24"/>
          <w:szCs w:val="24"/>
        </w:rPr>
        <w:t>dual-waveform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 xml:space="preserve"> (</w:t>
      </w:r>
      <w:r w:rsidR="00B3242F">
        <w:rPr>
          <w:rFonts w:asciiTheme="majorHAnsi" w:eastAsia="Times New Roman" w:hAnsiTheme="majorHAnsi" w:cstheme="majorHAnsi"/>
          <w:sz w:val="24"/>
          <w:szCs w:val="24"/>
        </w:rPr>
        <w:t>Low PAPR</w:t>
      </w:r>
      <w:r w:rsidRPr="00B874FD">
        <w:rPr>
          <w:rFonts w:asciiTheme="majorHAnsi" w:eastAsia="Times New Roman" w:hAnsiTheme="majorHAnsi" w:cstheme="majorHAnsi"/>
          <w:sz w:val="24"/>
          <w:szCs w:val="24"/>
        </w:rPr>
        <w:t>+ CP-OFDM) approach is in-scope for the 6G DL Study Item within the OFDM family (including DFT-s-OFDM-based options). Invite further study</w:t>
      </w:r>
      <w:r w:rsidR="003A51E4">
        <w:rPr>
          <w:rFonts w:asciiTheme="majorHAnsi" w:eastAsia="Times New Roman" w:hAnsiTheme="majorHAnsi" w:cstheme="majorHAnsi"/>
          <w:sz w:val="24"/>
          <w:szCs w:val="24"/>
        </w:rPr>
        <w:t xml:space="preserve"> and decision.</w:t>
      </w:r>
    </w:p>
    <w:p w14:paraId="56CF3B3A" w14:textId="77777777" w:rsidR="00AD1443" w:rsidRPr="00B874FD" w:rsidRDefault="00AD1443" w:rsidP="007B5D1C">
      <w:pPr>
        <w:rPr>
          <w:rFonts w:asciiTheme="majorHAnsi" w:hAnsiTheme="majorHAnsi" w:cstheme="majorHAnsi"/>
          <w:sz w:val="24"/>
          <w:szCs w:val="24"/>
        </w:rPr>
      </w:pPr>
    </w:p>
    <w:sectPr w:rsidR="00AD1443" w:rsidRPr="00B874F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27913"/>
    <w:multiLevelType w:val="multilevel"/>
    <w:tmpl w:val="2B8AD2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0A3A015B"/>
    <w:multiLevelType w:val="multilevel"/>
    <w:tmpl w:val="61FEC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713B8D"/>
    <w:multiLevelType w:val="multilevel"/>
    <w:tmpl w:val="BCF6DB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128935FD"/>
    <w:multiLevelType w:val="multilevel"/>
    <w:tmpl w:val="CCF0B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BB5479"/>
    <w:multiLevelType w:val="multilevel"/>
    <w:tmpl w:val="DF72CA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1FE66105"/>
    <w:multiLevelType w:val="multilevel"/>
    <w:tmpl w:val="A6383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2E8014AF"/>
    <w:multiLevelType w:val="multilevel"/>
    <w:tmpl w:val="821AC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 w15:restartNumberingAfterBreak="0">
    <w:nsid w:val="2EC564A9"/>
    <w:multiLevelType w:val="multilevel"/>
    <w:tmpl w:val="C888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165D48"/>
    <w:multiLevelType w:val="multilevel"/>
    <w:tmpl w:val="95205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8305B8"/>
    <w:multiLevelType w:val="multilevel"/>
    <w:tmpl w:val="1318E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373C42"/>
    <w:multiLevelType w:val="multilevel"/>
    <w:tmpl w:val="F48A15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433D4599"/>
    <w:multiLevelType w:val="multilevel"/>
    <w:tmpl w:val="827C41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535B0A5A"/>
    <w:multiLevelType w:val="multilevel"/>
    <w:tmpl w:val="A6AA3C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556C6167"/>
    <w:multiLevelType w:val="multilevel"/>
    <w:tmpl w:val="EFA8BC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4" w15:restartNumberingAfterBreak="0">
    <w:nsid w:val="58FF6C7F"/>
    <w:multiLevelType w:val="multilevel"/>
    <w:tmpl w:val="45006C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6245385E"/>
    <w:multiLevelType w:val="multilevel"/>
    <w:tmpl w:val="7C683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7565F7"/>
    <w:multiLevelType w:val="multilevel"/>
    <w:tmpl w:val="06A8D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69E00176"/>
    <w:multiLevelType w:val="multilevel"/>
    <w:tmpl w:val="6672A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301676"/>
    <w:multiLevelType w:val="multilevel"/>
    <w:tmpl w:val="AAE47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A43BE9"/>
    <w:multiLevelType w:val="multilevel"/>
    <w:tmpl w:val="2DD252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0" w15:restartNumberingAfterBreak="0">
    <w:nsid w:val="786D2D16"/>
    <w:multiLevelType w:val="multilevel"/>
    <w:tmpl w:val="A866F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206BE7"/>
    <w:multiLevelType w:val="multilevel"/>
    <w:tmpl w:val="B6C67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A4E67C1"/>
    <w:multiLevelType w:val="multilevel"/>
    <w:tmpl w:val="27069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9014A1"/>
    <w:multiLevelType w:val="multilevel"/>
    <w:tmpl w:val="23E095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4" w15:restartNumberingAfterBreak="0">
    <w:nsid w:val="7B9F5C54"/>
    <w:multiLevelType w:val="multilevel"/>
    <w:tmpl w:val="8244C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DE47C9"/>
    <w:multiLevelType w:val="multilevel"/>
    <w:tmpl w:val="38161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CE660F1"/>
    <w:multiLevelType w:val="multilevel"/>
    <w:tmpl w:val="B18CE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EF31383"/>
    <w:multiLevelType w:val="multilevel"/>
    <w:tmpl w:val="70806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2886183">
    <w:abstractNumId w:val="11"/>
  </w:num>
  <w:num w:numId="2" w16cid:durableId="755857508">
    <w:abstractNumId w:val="13"/>
  </w:num>
  <w:num w:numId="3" w16cid:durableId="1120608319">
    <w:abstractNumId w:val="2"/>
  </w:num>
  <w:num w:numId="4" w16cid:durableId="1679497628">
    <w:abstractNumId w:val="12"/>
  </w:num>
  <w:num w:numId="5" w16cid:durableId="819350996">
    <w:abstractNumId w:val="6"/>
  </w:num>
  <w:num w:numId="6" w16cid:durableId="2067947132">
    <w:abstractNumId w:val="10"/>
  </w:num>
  <w:num w:numId="7" w16cid:durableId="551773860">
    <w:abstractNumId w:val="0"/>
  </w:num>
  <w:num w:numId="8" w16cid:durableId="228617764">
    <w:abstractNumId w:val="4"/>
  </w:num>
  <w:num w:numId="9" w16cid:durableId="1763842437">
    <w:abstractNumId w:val="16"/>
  </w:num>
  <w:num w:numId="10" w16cid:durableId="1945455517">
    <w:abstractNumId w:val="23"/>
  </w:num>
  <w:num w:numId="11" w16cid:durableId="1145901130">
    <w:abstractNumId w:val="14"/>
  </w:num>
  <w:num w:numId="12" w16cid:durableId="846821991">
    <w:abstractNumId w:val="5"/>
  </w:num>
  <w:num w:numId="13" w16cid:durableId="854807027">
    <w:abstractNumId w:val="19"/>
  </w:num>
  <w:num w:numId="14" w16cid:durableId="119032573">
    <w:abstractNumId w:val="7"/>
  </w:num>
  <w:num w:numId="15" w16cid:durableId="1890799981">
    <w:abstractNumId w:val="3"/>
  </w:num>
  <w:num w:numId="16" w16cid:durableId="216400009">
    <w:abstractNumId w:val="20"/>
  </w:num>
  <w:num w:numId="17" w16cid:durableId="1839346375">
    <w:abstractNumId w:val="9"/>
  </w:num>
  <w:num w:numId="18" w16cid:durableId="2031491959">
    <w:abstractNumId w:val="8"/>
  </w:num>
  <w:num w:numId="19" w16cid:durableId="154031516">
    <w:abstractNumId w:val="15"/>
  </w:num>
  <w:num w:numId="20" w16cid:durableId="905070106">
    <w:abstractNumId w:val="24"/>
  </w:num>
  <w:num w:numId="21" w16cid:durableId="564218073">
    <w:abstractNumId w:val="17"/>
  </w:num>
  <w:num w:numId="22" w16cid:durableId="1254776787">
    <w:abstractNumId w:val="22"/>
  </w:num>
  <w:num w:numId="23" w16cid:durableId="1819614189">
    <w:abstractNumId w:val="21"/>
  </w:num>
  <w:num w:numId="24" w16cid:durableId="179005823">
    <w:abstractNumId w:val="25"/>
  </w:num>
  <w:num w:numId="25" w16cid:durableId="1386022337">
    <w:abstractNumId w:val="1"/>
  </w:num>
  <w:num w:numId="26" w16cid:durableId="1907178332">
    <w:abstractNumId w:val="18"/>
  </w:num>
  <w:num w:numId="27" w16cid:durableId="1544708945">
    <w:abstractNumId w:val="27"/>
  </w:num>
  <w:num w:numId="28" w16cid:durableId="192087058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443"/>
    <w:rsid w:val="00020975"/>
    <w:rsid w:val="000C2996"/>
    <w:rsid w:val="001C4A6A"/>
    <w:rsid w:val="00292C3D"/>
    <w:rsid w:val="002E3CA0"/>
    <w:rsid w:val="003A51E4"/>
    <w:rsid w:val="003D7E33"/>
    <w:rsid w:val="005253E4"/>
    <w:rsid w:val="006750F2"/>
    <w:rsid w:val="006D4E83"/>
    <w:rsid w:val="0071037A"/>
    <w:rsid w:val="00752FDA"/>
    <w:rsid w:val="00790AC8"/>
    <w:rsid w:val="00791AFC"/>
    <w:rsid w:val="007B5D1C"/>
    <w:rsid w:val="007E19FA"/>
    <w:rsid w:val="007F741A"/>
    <w:rsid w:val="00963F17"/>
    <w:rsid w:val="009B71B6"/>
    <w:rsid w:val="00A50F2D"/>
    <w:rsid w:val="00A51FB2"/>
    <w:rsid w:val="00AD1443"/>
    <w:rsid w:val="00B3242F"/>
    <w:rsid w:val="00B72F91"/>
    <w:rsid w:val="00B7691C"/>
    <w:rsid w:val="00B80BA6"/>
    <w:rsid w:val="00B874FD"/>
    <w:rsid w:val="00BC72FB"/>
    <w:rsid w:val="00D9672B"/>
    <w:rsid w:val="00DC4C03"/>
    <w:rsid w:val="00E01946"/>
    <w:rsid w:val="00E157E0"/>
    <w:rsid w:val="00E961A4"/>
    <w:rsid w:val="00F26E1C"/>
    <w:rsid w:val="00F31F90"/>
    <w:rsid w:val="00FB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2A014"/>
  <w15:docId w15:val="{8076EB0D-F5E3-4439-94FB-4C67D8C00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IN" w:eastAsia="en-IN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color w:val="2F5496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color w:val="2F5496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2F549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</w:pPr>
    <w:rPr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color w:val="595959"/>
      <w:sz w:val="28"/>
      <w:szCs w:val="2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kiran kumar kuchi</dc:creator>
  <cp:lastModifiedBy>kiran kumar kuchi</cp:lastModifiedBy>
  <cp:revision>24</cp:revision>
  <dcterms:created xsi:type="dcterms:W3CDTF">2025-10-02T09:01:00Z</dcterms:created>
  <dcterms:modified xsi:type="dcterms:W3CDTF">2025-10-03T02:36:00Z</dcterms:modified>
</cp:coreProperties>
</file>