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2D73EA" w14:textId="4668B287" w:rsidR="00E56CB7" w:rsidRPr="00E56CB7" w:rsidRDefault="00E56CB7" w:rsidP="00E56CB7">
      <w:pPr>
        <w:tabs>
          <w:tab w:val="right" w:pos="9216"/>
        </w:tabs>
        <w:autoSpaceDE w:val="0"/>
        <w:autoSpaceDN w:val="0"/>
        <w:adjustRightInd w:val="0"/>
        <w:snapToGrid w:val="0"/>
        <w:rPr>
          <w:rFonts w:cs="Times New Roman"/>
          <w:b/>
          <w:kern w:val="2"/>
          <w:sz w:val="21"/>
          <w:szCs w:val="21"/>
        </w:rPr>
      </w:pPr>
      <w:r w:rsidRPr="00E56CB7">
        <w:rPr>
          <w:rFonts w:ascii="Calibri" w:hAnsi="Calibri" w:cs="Times New Roman"/>
          <w:noProof/>
          <w:kern w:val="2"/>
          <w:sz w:val="21"/>
        </w:rPr>
        <mc:AlternateContent>
          <mc:Choice Requires="wps">
            <w:drawing>
              <wp:anchor distT="0" distB="0" distL="114300" distR="114300" simplePos="0" relativeHeight="251659264" behindDoc="0" locked="1" layoutInCell="1" allowOverlap="1" wp14:anchorId="2E4A9D75" wp14:editId="7F875D8D">
                <wp:simplePos x="0" y="0"/>
                <wp:positionH relativeFrom="column">
                  <wp:posOffset>0</wp:posOffset>
                </wp:positionH>
                <wp:positionV relativeFrom="paragraph">
                  <wp:posOffset>0</wp:posOffset>
                </wp:positionV>
                <wp:extent cx="635" cy="635"/>
                <wp:effectExtent l="0" t="0" r="0" b="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C030D0"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E56CB7">
        <w:rPr>
          <w:rFonts w:cs="Times New Roman"/>
          <w:b/>
          <w:noProof/>
          <w:kern w:val="2"/>
          <w:sz w:val="21"/>
          <w:szCs w:val="21"/>
        </w:rPr>
        <w:t>3GPP TSG</w:t>
      </w:r>
      <w:r w:rsidR="003472B2">
        <w:rPr>
          <w:rFonts w:cs="Times New Roman"/>
          <w:b/>
          <w:noProof/>
          <w:kern w:val="2"/>
          <w:sz w:val="21"/>
          <w:szCs w:val="21"/>
        </w:rPr>
        <w:t xml:space="preserve"> </w:t>
      </w:r>
      <w:r w:rsidRPr="00E56CB7">
        <w:rPr>
          <w:rFonts w:cs="Times New Roman"/>
          <w:b/>
          <w:noProof/>
          <w:kern w:val="2"/>
          <w:sz w:val="21"/>
          <w:szCs w:val="21"/>
        </w:rPr>
        <w:t>RAN WG1 Meeting #1</w:t>
      </w:r>
      <w:r w:rsidRPr="00E56CB7">
        <w:rPr>
          <w:rFonts w:cs="Times New Roman" w:hint="eastAsia"/>
          <w:b/>
          <w:noProof/>
          <w:kern w:val="2"/>
          <w:sz w:val="21"/>
          <w:szCs w:val="21"/>
        </w:rPr>
        <w:t>22</w:t>
      </w:r>
      <w:r w:rsidR="001112E9" w:rsidRPr="001112E9">
        <w:rPr>
          <w:rFonts w:cs="Times New Roman"/>
          <w:b/>
          <w:noProof/>
          <w:kern w:val="2"/>
          <w:sz w:val="21"/>
          <w:szCs w:val="21"/>
        </w:rPr>
        <w:t>bis</w:t>
      </w:r>
      <w:r w:rsidRPr="00E56CB7">
        <w:rPr>
          <w:rFonts w:cs="Times New Roman"/>
          <w:b/>
          <w:kern w:val="2"/>
          <w:sz w:val="21"/>
          <w:szCs w:val="21"/>
        </w:rPr>
        <w:tab/>
      </w:r>
      <w:r w:rsidR="00523BF6" w:rsidRPr="00523BF6">
        <w:rPr>
          <w:rFonts w:cs="Times New Roman"/>
          <w:b/>
          <w:kern w:val="2"/>
          <w:sz w:val="21"/>
          <w:szCs w:val="21"/>
        </w:rPr>
        <w:t>R1-250</w:t>
      </w:r>
      <w:r w:rsidR="00C82EE6">
        <w:rPr>
          <w:rFonts w:cs="Times New Roman"/>
          <w:b/>
          <w:kern w:val="2"/>
          <w:sz w:val="21"/>
          <w:szCs w:val="21"/>
        </w:rPr>
        <w:t>7205</w:t>
      </w:r>
    </w:p>
    <w:p w14:paraId="48C4CB66" w14:textId="23BD238A" w:rsidR="00E56CB7" w:rsidRPr="00E56CB7" w:rsidRDefault="001112E9" w:rsidP="00E56CB7">
      <w:pPr>
        <w:spacing w:after="120"/>
        <w:outlineLvl w:val="0"/>
        <w:rPr>
          <w:rFonts w:cs="Times New Roman"/>
          <w:b/>
          <w:noProof/>
          <w:kern w:val="2"/>
          <w:sz w:val="21"/>
          <w:szCs w:val="21"/>
        </w:rPr>
      </w:pPr>
      <w:r w:rsidRPr="001112E9">
        <w:rPr>
          <w:rFonts w:cs="Times New Roman"/>
          <w:b/>
          <w:noProof/>
          <w:kern w:val="2"/>
          <w:sz w:val="21"/>
          <w:szCs w:val="21"/>
        </w:rPr>
        <w:t>Prague, Czech, Oct 13rd – 17th , 2025</w:t>
      </w:r>
    </w:p>
    <w:p w14:paraId="40BBD767" w14:textId="77777777" w:rsidR="00E56CB7" w:rsidRPr="00E56CB7" w:rsidRDefault="00E56CB7" w:rsidP="00E56CB7">
      <w:pPr>
        <w:pBdr>
          <w:top w:val="single" w:sz="4" w:space="1" w:color="auto"/>
        </w:pBdr>
        <w:autoSpaceDE w:val="0"/>
        <w:autoSpaceDN w:val="0"/>
        <w:adjustRightInd w:val="0"/>
        <w:snapToGrid w:val="0"/>
        <w:rPr>
          <w:rFonts w:cs="Times New Roman"/>
          <w:b/>
          <w:kern w:val="2"/>
          <w:sz w:val="21"/>
          <w:szCs w:val="21"/>
          <w:lang w:val="en-GB"/>
        </w:rPr>
      </w:pPr>
    </w:p>
    <w:p w14:paraId="014371F9" w14:textId="62D76F63" w:rsidR="00E56CB7" w:rsidRPr="00E56CB7" w:rsidRDefault="00E56CB7" w:rsidP="00E56CB7">
      <w:pPr>
        <w:autoSpaceDE w:val="0"/>
        <w:autoSpaceDN w:val="0"/>
        <w:adjustRightInd w:val="0"/>
        <w:snapToGrid w:val="0"/>
        <w:spacing w:after="60"/>
        <w:ind w:left="1555" w:hanging="1555"/>
        <w:rPr>
          <w:rFonts w:cs="Times New Roman"/>
          <w:b/>
          <w:kern w:val="2"/>
          <w:sz w:val="21"/>
          <w:szCs w:val="21"/>
        </w:rPr>
      </w:pPr>
      <w:r w:rsidRPr="00E56CB7">
        <w:rPr>
          <w:rFonts w:cs="Times New Roman"/>
          <w:b/>
          <w:kern w:val="2"/>
          <w:sz w:val="21"/>
          <w:szCs w:val="21"/>
        </w:rPr>
        <w:t>Agenda Item:</w:t>
      </w:r>
      <w:r w:rsidRPr="00E56CB7">
        <w:rPr>
          <w:rFonts w:cs="Times New Roman"/>
          <w:b/>
          <w:kern w:val="2"/>
          <w:sz w:val="21"/>
          <w:szCs w:val="21"/>
        </w:rPr>
        <w:tab/>
      </w:r>
      <w:r w:rsidR="001112E9" w:rsidRPr="001112E9">
        <w:rPr>
          <w:rFonts w:cs="Times New Roman"/>
          <w:b/>
          <w:kern w:val="2"/>
          <w:sz w:val="21"/>
          <w:szCs w:val="21"/>
        </w:rPr>
        <w:t>10.1.1.1</w:t>
      </w:r>
    </w:p>
    <w:p w14:paraId="137811FC" w14:textId="77777777" w:rsidR="00E56CB7" w:rsidRPr="00E56CB7" w:rsidRDefault="00E56CB7" w:rsidP="00E56CB7">
      <w:pPr>
        <w:autoSpaceDE w:val="0"/>
        <w:autoSpaceDN w:val="0"/>
        <w:adjustRightInd w:val="0"/>
        <w:snapToGrid w:val="0"/>
        <w:spacing w:after="60"/>
        <w:ind w:left="1555" w:hanging="1555"/>
        <w:rPr>
          <w:rFonts w:cs="Times New Roman"/>
          <w:b/>
          <w:kern w:val="2"/>
          <w:sz w:val="21"/>
          <w:szCs w:val="21"/>
        </w:rPr>
      </w:pPr>
      <w:r w:rsidRPr="00E56CB7">
        <w:rPr>
          <w:rFonts w:cs="Times New Roman"/>
          <w:b/>
          <w:kern w:val="2"/>
          <w:sz w:val="21"/>
          <w:szCs w:val="21"/>
        </w:rPr>
        <w:t>Source:</w:t>
      </w:r>
      <w:r w:rsidRPr="00E56CB7">
        <w:rPr>
          <w:rFonts w:cs="Times New Roman"/>
          <w:b/>
          <w:kern w:val="2"/>
          <w:sz w:val="21"/>
          <w:szCs w:val="21"/>
        </w:rPr>
        <w:tab/>
      </w:r>
      <w:r w:rsidRPr="00E56CB7">
        <w:rPr>
          <w:rFonts w:cs="Times New Roman" w:hint="eastAsia"/>
          <w:b/>
          <w:kern w:val="2"/>
          <w:sz w:val="21"/>
          <w:szCs w:val="21"/>
        </w:rPr>
        <w:t>HONOR</w:t>
      </w:r>
    </w:p>
    <w:p w14:paraId="0056B0B1" w14:textId="53010602" w:rsidR="00E56CB7" w:rsidRPr="00E56CB7" w:rsidRDefault="00E56CB7" w:rsidP="00E56CB7">
      <w:pPr>
        <w:autoSpaceDE w:val="0"/>
        <w:autoSpaceDN w:val="0"/>
        <w:adjustRightInd w:val="0"/>
        <w:snapToGrid w:val="0"/>
        <w:spacing w:after="60"/>
        <w:ind w:left="1555" w:hanging="1555"/>
        <w:rPr>
          <w:rFonts w:cs="Times New Roman"/>
          <w:b/>
          <w:kern w:val="2"/>
          <w:sz w:val="21"/>
          <w:szCs w:val="21"/>
        </w:rPr>
      </w:pPr>
      <w:r w:rsidRPr="00E56CB7">
        <w:rPr>
          <w:rFonts w:cs="Times New Roman"/>
          <w:b/>
          <w:kern w:val="2"/>
          <w:sz w:val="21"/>
          <w:szCs w:val="21"/>
        </w:rPr>
        <w:t>Title:</w:t>
      </w:r>
      <w:r w:rsidRPr="00E56CB7">
        <w:rPr>
          <w:rFonts w:cs="Times New Roman"/>
          <w:b/>
          <w:kern w:val="2"/>
          <w:sz w:val="21"/>
          <w:szCs w:val="21"/>
        </w:rPr>
        <w:tab/>
      </w:r>
      <w:r w:rsidR="001112E9" w:rsidRPr="001112E9">
        <w:rPr>
          <w:rFonts w:cs="Times New Roman"/>
          <w:b/>
          <w:kern w:val="2"/>
          <w:sz w:val="21"/>
          <w:szCs w:val="21"/>
        </w:rPr>
        <w:t>Inference related aspects for CSI compression</w:t>
      </w:r>
    </w:p>
    <w:p w14:paraId="18C52180" w14:textId="77777777" w:rsidR="00E56CB7" w:rsidRPr="00E56CB7" w:rsidRDefault="00E56CB7" w:rsidP="00E56CB7">
      <w:pPr>
        <w:autoSpaceDE w:val="0"/>
        <w:autoSpaceDN w:val="0"/>
        <w:adjustRightInd w:val="0"/>
        <w:snapToGrid w:val="0"/>
        <w:spacing w:after="60"/>
        <w:ind w:left="1555" w:hanging="1555"/>
        <w:rPr>
          <w:rFonts w:cs="Times New Roman"/>
          <w:b/>
          <w:kern w:val="2"/>
          <w:sz w:val="21"/>
          <w:szCs w:val="21"/>
        </w:rPr>
      </w:pPr>
      <w:r w:rsidRPr="00E56CB7">
        <w:rPr>
          <w:rFonts w:cs="Times New Roman"/>
          <w:b/>
          <w:kern w:val="2"/>
          <w:sz w:val="21"/>
          <w:szCs w:val="21"/>
        </w:rPr>
        <w:t>Document for:</w:t>
      </w:r>
      <w:r w:rsidRPr="00E56CB7">
        <w:rPr>
          <w:rFonts w:cs="Times New Roman"/>
          <w:b/>
          <w:kern w:val="2"/>
          <w:sz w:val="21"/>
          <w:szCs w:val="21"/>
        </w:rPr>
        <w:tab/>
        <w:t>Discussion and Decision</w:t>
      </w:r>
    </w:p>
    <w:p w14:paraId="5DA2E741" w14:textId="77777777" w:rsidR="00E56CB7" w:rsidRPr="00E56CB7" w:rsidRDefault="00E56CB7" w:rsidP="00E56CB7">
      <w:pPr>
        <w:pBdr>
          <w:bottom w:val="single" w:sz="4" w:space="1" w:color="auto"/>
        </w:pBdr>
        <w:autoSpaceDE w:val="0"/>
        <w:autoSpaceDN w:val="0"/>
        <w:adjustRightInd w:val="0"/>
        <w:snapToGrid w:val="0"/>
        <w:rPr>
          <w:rFonts w:cs="Times New Roman"/>
          <w:b/>
          <w:kern w:val="2"/>
          <w:sz w:val="21"/>
          <w:szCs w:val="21"/>
        </w:rPr>
      </w:pPr>
    </w:p>
    <w:p w14:paraId="4D8E9E92" w14:textId="77777777" w:rsidR="00E56CB7" w:rsidRPr="00E56CB7" w:rsidRDefault="00E56CB7" w:rsidP="007E4DE3">
      <w:pPr>
        <w:keepNext/>
        <w:widowControl w:val="0"/>
        <w:numPr>
          <w:ilvl w:val="0"/>
          <w:numId w:val="7"/>
        </w:numPr>
        <w:autoSpaceDE w:val="0"/>
        <w:autoSpaceDN w:val="0"/>
        <w:adjustRightInd w:val="0"/>
        <w:snapToGrid w:val="0"/>
        <w:spacing w:before="120" w:after="120"/>
        <w:ind w:left="431" w:hanging="431"/>
        <w:jc w:val="both"/>
        <w:outlineLvl w:val="0"/>
        <w:rPr>
          <w:rFonts w:cs="Times New Roman"/>
          <w:b/>
          <w:bCs/>
          <w:sz w:val="28"/>
          <w:szCs w:val="28"/>
          <w:lang w:eastAsia="en-US"/>
        </w:rPr>
      </w:pPr>
      <w:bookmarkStart w:id="0" w:name="_Ref124589705"/>
      <w:bookmarkStart w:id="1" w:name="_Ref129681862"/>
      <w:r w:rsidRPr="00E56CB7">
        <w:rPr>
          <w:rFonts w:cs="Times New Roman"/>
          <w:b/>
          <w:bCs/>
          <w:sz w:val="28"/>
          <w:szCs w:val="28"/>
          <w:lang w:eastAsia="en-US"/>
        </w:rPr>
        <w:t>Introduction</w:t>
      </w:r>
      <w:bookmarkEnd w:id="0"/>
      <w:bookmarkEnd w:id="1"/>
    </w:p>
    <w:p w14:paraId="6987E341" w14:textId="0DF6DB18" w:rsidR="000017E3" w:rsidRDefault="000017E3" w:rsidP="00EF38CE">
      <w:pPr>
        <w:pStyle w:val="a0"/>
        <w:snapToGrid w:val="0"/>
        <w:spacing w:before="120"/>
        <w:jc w:val="both"/>
      </w:pPr>
      <w:r>
        <w:t>In RAN#10</w:t>
      </w:r>
      <w:r w:rsidR="001112E9">
        <w:t>8</w:t>
      </w:r>
      <w:r>
        <w:t xml:space="preserve">, it is concluded that CSI </w:t>
      </w:r>
      <w:r w:rsidR="001112E9">
        <w:t>compression</w:t>
      </w:r>
      <w:r>
        <w:t xml:space="preserve"> moves to normative phase. Following objectives are captured in updated WID [1] as below</w:t>
      </w:r>
      <w:r w:rsidR="00A33E5A">
        <w:t>:</w:t>
      </w:r>
    </w:p>
    <w:tbl>
      <w:tblPr>
        <w:tblStyle w:val="ae"/>
        <w:tblW w:w="9016" w:type="dxa"/>
        <w:tblLayout w:type="fixed"/>
        <w:tblLook w:val="04A0" w:firstRow="1" w:lastRow="0" w:firstColumn="1" w:lastColumn="0" w:noHBand="0" w:noVBand="1"/>
      </w:tblPr>
      <w:tblGrid>
        <w:gridCol w:w="9016"/>
      </w:tblGrid>
      <w:tr w:rsidR="000017E3" w14:paraId="43D3D907" w14:textId="77777777" w:rsidTr="006C4D64">
        <w:tc>
          <w:tcPr>
            <w:tcW w:w="9016" w:type="dxa"/>
          </w:tcPr>
          <w:p w14:paraId="6532AA15" w14:textId="77777777" w:rsidR="001112E9" w:rsidRPr="001112E9" w:rsidRDefault="001112E9" w:rsidP="00EF38CE">
            <w:pPr>
              <w:snapToGrid w:val="0"/>
              <w:spacing w:before="120" w:after="120"/>
              <w:jc w:val="both"/>
              <w:rPr>
                <w:rFonts w:ascii="Times" w:eastAsia="Times New Roman" w:hAnsi="Times" w:cs="Times"/>
                <w:bCs/>
                <w:sz w:val="20"/>
                <w:szCs w:val="20"/>
                <w:lang w:eastAsia="en-GB"/>
              </w:rPr>
            </w:pPr>
            <w:r w:rsidRPr="001112E9">
              <w:rPr>
                <w:rFonts w:ascii="Times" w:eastAsia="Times New Roman" w:hAnsi="Times" w:cs="Times"/>
                <w:b/>
                <w:color w:val="0000FF"/>
                <w:sz w:val="20"/>
                <w:szCs w:val="20"/>
                <w:lang w:eastAsia="en-GB"/>
              </w:rPr>
              <w:t>CSI feedback enhancement</w:t>
            </w:r>
            <w:r w:rsidRPr="001112E9">
              <w:rPr>
                <w:rFonts w:ascii="Times" w:eastAsia="Times New Roman" w:hAnsi="Times" w:cs="Times"/>
                <w:bCs/>
                <w:sz w:val="20"/>
                <w:szCs w:val="20"/>
                <w:lang w:eastAsia="en-GB"/>
              </w:rPr>
              <w:t>, encompassing (two-sided model) [RAN1, RAN2]:</w:t>
            </w:r>
          </w:p>
          <w:p w14:paraId="63B3E6C8" w14:textId="77777777" w:rsidR="001112E9" w:rsidRPr="001112E9" w:rsidRDefault="001112E9" w:rsidP="007E4DE3">
            <w:pPr>
              <w:widowControl w:val="0"/>
              <w:numPr>
                <w:ilvl w:val="0"/>
                <w:numId w:val="10"/>
              </w:numPr>
              <w:overflowPunct w:val="0"/>
              <w:autoSpaceDE w:val="0"/>
              <w:autoSpaceDN w:val="0"/>
              <w:adjustRightInd w:val="0"/>
              <w:snapToGrid w:val="0"/>
              <w:spacing w:before="120" w:after="120"/>
              <w:jc w:val="both"/>
              <w:textAlignment w:val="baseline"/>
              <w:rPr>
                <w:rFonts w:ascii="Times" w:eastAsia="Calibri" w:hAnsi="Times" w:cs="Times"/>
                <w:bCs/>
                <w:sz w:val="20"/>
                <w:szCs w:val="20"/>
                <w:lang w:eastAsia="en-US"/>
              </w:rPr>
            </w:pPr>
            <w:r w:rsidRPr="001112E9">
              <w:rPr>
                <w:rFonts w:ascii="Times" w:eastAsia="Calibri" w:hAnsi="Times" w:cs="Times"/>
                <w:bCs/>
                <w:sz w:val="20"/>
                <w:szCs w:val="20"/>
                <w:lang w:eastAsia="en-US"/>
              </w:rPr>
              <w:t xml:space="preserve">CSI spatial/frequency compression without temporal aspects (“Case 0”), </w:t>
            </w:r>
          </w:p>
          <w:p w14:paraId="07A969DD" w14:textId="77777777" w:rsidR="001112E9" w:rsidRPr="001112E9" w:rsidRDefault="001112E9" w:rsidP="007E4DE3">
            <w:pPr>
              <w:widowControl w:val="0"/>
              <w:numPr>
                <w:ilvl w:val="0"/>
                <w:numId w:val="10"/>
              </w:numPr>
              <w:overflowPunct w:val="0"/>
              <w:autoSpaceDE w:val="0"/>
              <w:autoSpaceDN w:val="0"/>
              <w:adjustRightInd w:val="0"/>
              <w:snapToGrid w:val="0"/>
              <w:spacing w:before="120" w:after="120"/>
              <w:jc w:val="both"/>
              <w:textAlignment w:val="baseline"/>
              <w:rPr>
                <w:rFonts w:ascii="Times" w:eastAsia="Calibri" w:hAnsi="Times" w:cs="Times"/>
                <w:bCs/>
                <w:sz w:val="20"/>
                <w:szCs w:val="20"/>
                <w:lang w:eastAsia="en-US"/>
              </w:rPr>
            </w:pPr>
            <w:r w:rsidRPr="001112E9">
              <w:rPr>
                <w:rFonts w:ascii="Times" w:eastAsia="Calibri" w:hAnsi="Times" w:cs="Times"/>
                <w:bCs/>
                <w:sz w:val="20"/>
                <w:szCs w:val="20"/>
                <w:lang w:eastAsia="en-US"/>
              </w:rPr>
              <w:t xml:space="preserve">Specify necessary </w:t>
            </w:r>
            <w:proofErr w:type="spellStart"/>
            <w:r w:rsidRPr="001112E9">
              <w:rPr>
                <w:rFonts w:ascii="Times" w:eastAsia="Calibri" w:hAnsi="Times" w:cs="Times"/>
                <w:bCs/>
                <w:sz w:val="20"/>
                <w:szCs w:val="20"/>
                <w:lang w:eastAsia="en-US"/>
              </w:rPr>
              <w:t>signalling</w:t>
            </w:r>
            <w:proofErr w:type="spellEnd"/>
            <w:r w:rsidRPr="001112E9">
              <w:rPr>
                <w:rFonts w:ascii="Times" w:eastAsia="Calibri" w:hAnsi="Times" w:cs="Times"/>
                <w:bCs/>
                <w:sz w:val="20"/>
                <w:szCs w:val="20"/>
                <w:lang w:eastAsia="en-US"/>
              </w:rPr>
              <w:t xml:space="preserve">/mechanism(s) as per the identified potential specification impacts in </w:t>
            </w:r>
            <w:proofErr w:type="spellStart"/>
            <w:r w:rsidRPr="001112E9">
              <w:rPr>
                <w:rFonts w:ascii="Times" w:eastAsia="Calibri" w:hAnsi="Times" w:cs="Times"/>
                <w:bCs/>
                <w:sz w:val="20"/>
                <w:szCs w:val="20"/>
                <w:lang w:eastAsia="en-US"/>
              </w:rPr>
              <w:t>FS_NR_AIML_Air</w:t>
            </w:r>
            <w:proofErr w:type="spellEnd"/>
            <w:r w:rsidRPr="001112E9">
              <w:rPr>
                <w:rFonts w:ascii="Times" w:eastAsia="Calibri" w:hAnsi="Times" w:cs="Times"/>
                <w:bCs/>
                <w:sz w:val="20"/>
                <w:szCs w:val="20"/>
                <w:lang w:eastAsia="en-US"/>
              </w:rPr>
              <w:t xml:space="preserve"> , including:</w:t>
            </w:r>
          </w:p>
          <w:p w14:paraId="094F09A6" w14:textId="77777777" w:rsidR="001112E9" w:rsidRPr="001112E9" w:rsidRDefault="001112E9" w:rsidP="007E4DE3">
            <w:pPr>
              <w:widowControl w:val="0"/>
              <w:numPr>
                <w:ilvl w:val="1"/>
                <w:numId w:val="9"/>
              </w:numPr>
              <w:overflowPunct w:val="0"/>
              <w:autoSpaceDE w:val="0"/>
              <w:autoSpaceDN w:val="0"/>
              <w:adjustRightInd w:val="0"/>
              <w:snapToGrid w:val="0"/>
              <w:spacing w:before="120" w:after="120"/>
              <w:jc w:val="both"/>
              <w:textAlignment w:val="baseline"/>
              <w:rPr>
                <w:rFonts w:ascii="Times" w:eastAsia="Calibri" w:hAnsi="Times" w:cs="Times"/>
                <w:bCs/>
                <w:sz w:val="20"/>
                <w:szCs w:val="20"/>
                <w:lang w:eastAsia="en-US"/>
              </w:rPr>
            </w:pPr>
            <w:r w:rsidRPr="001112E9">
              <w:rPr>
                <w:rFonts w:ascii="Times" w:eastAsia="Calibri" w:hAnsi="Times" w:cs="Times"/>
                <w:bCs/>
                <w:sz w:val="20"/>
                <w:szCs w:val="20"/>
                <w:lang w:eastAsia="en-US"/>
              </w:rPr>
              <w:t>Model pairing procedure including ID and applicability reporting</w:t>
            </w:r>
          </w:p>
          <w:p w14:paraId="3831C7EC" w14:textId="77777777" w:rsidR="001112E9" w:rsidRPr="001112E9" w:rsidRDefault="001112E9" w:rsidP="007E4DE3">
            <w:pPr>
              <w:widowControl w:val="0"/>
              <w:numPr>
                <w:ilvl w:val="1"/>
                <w:numId w:val="9"/>
              </w:numPr>
              <w:overflowPunct w:val="0"/>
              <w:autoSpaceDE w:val="0"/>
              <w:autoSpaceDN w:val="0"/>
              <w:adjustRightInd w:val="0"/>
              <w:snapToGrid w:val="0"/>
              <w:spacing w:before="120" w:after="120"/>
              <w:jc w:val="both"/>
              <w:textAlignment w:val="baseline"/>
              <w:rPr>
                <w:rFonts w:ascii="Times" w:eastAsia="Calibri" w:hAnsi="Times" w:cs="Times"/>
                <w:bCs/>
                <w:sz w:val="20"/>
                <w:szCs w:val="20"/>
                <w:lang w:eastAsia="en-US"/>
              </w:rPr>
            </w:pPr>
            <w:r w:rsidRPr="001112E9">
              <w:rPr>
                <w:rFonts w:ascii="Times" w:eastAsia="Calibri" w:hAnsi="Times" w:cs="Times"/>
                <w:bCs/>
                <w:sz w:val="20"/>
                <w:szCs w:val="20"/>
                <w:lang w:eastAsia="en-US"/>
              </w:rPr>
              <w:t>Inference aspects including target CSI type, measurement and report configuration, CQI RI determination, payload determination, quantization configuration codebook, UCI mapping, CSI processing criteria and timeline, priority rules for CSI reports</w:t>
            </w:r>
          </w:p>
          <w:p w14:paraId="68CF7F6D" w14:textId="77777777" w:rsidR="001112E9" w:rsidRPr="001112E9" w:rsidRDefault="001112E9" w:rsidP="007E4DE3">
            <w:pPr>
              <w:widowControl w:val="0"/>
              <w:numPr>
                <w:ilvl w:val="1"/>
                <w:numId w:val="9"/>
              </w:numPr>
              <w:overflowPunct w:val="0"/>
              <w:autoSpaceDE w:val="0"/>
              <w:autoSpaceDN w:val="0"/>
              <w:adjustRightInd w:val="0"/>
              <w:snapToGrid w:val="0"/>
              <w:spacing w:before="120" w:after="120"/>
              <w:jc w:val="both"/>
              <w:textAlignment w:val="baseline"/>
              <w:rPr>
                <w:rFonts w:ascii="Times" w:eastAsia="Calibri" w:hAnsi="Times" w:cs="Times"/>
                <w:bCs/>
                <w:sz w:val="20"/>
                <w:szCs w:val="20"/>
                <w:lang w:eastAsia="en-US"/>
              </w:rPr>
            </w:pPr>
            <w:r w:rsidRPr="001112E9">
              <w:rPr>
                <w:rFonts w:ascii="Times" w:eastAsia="Calibri" w:hAnsi="Times" w:cs="Times"/>
                <w:bCs/>
                <w:sz w:val="20"/>
                <w:szCs w:val="20"/>
                <w:lang w:eastAsia="en-US"/>
              </w:rPr>
              <w:t>NW and UE side data collection for training,</w:t>
            </w:r>
          </w:p>
          <w:p w14:paraId="7B585881" w14:textId="77777777" w:rsidR="001112E9" w:rsidRPr="001112E9" w:rsidRDefault="001112E9" w:rsidP="007E4DE3">
            <w:pPr>
              <w:widowControl w:val="0"/>
              <w:numPr>
                <w:ilvl w:val="2"/>
                <w:numId w:val="9"/>
              </w:numPr>
              <w:overflowPunct w:val="0"/>
              <w:autoSpaceDE w:val="0"/>
              <w:autoSpaceDN w:val="0"/>
              <w:adjustRightInd w:val="0"/>
              <w:snapToGrid w:val="0"/>
              <w:spacing w:before="120" w:after="120"/>
              <w:jc w:val="both"/>
              <w:textAlignment w:val="baseline"/>
              <w:rPr>
                <w:rFonts w:ascii="Times" w:eastAsia="Calibri" w:hAnsi="Times" w:cs="Times"/>
                <w:bCs/>
                <w:sz w:val="20"/>
                <w:szCs w:val="20"/>
                <w:lang w:eastAsia="en-US"/>
              </w:rPr>
            </w:pPr>
            <w:r w:rsidRPr="001112E9">
              <w:rPr>
                <w:rFonts w:ascii="Times" w:eastAsia="Calibri" w:hAnsi="Times" w:cs="Times"/>
                <w:bCs/>
                <w:sz w:val="20"/>
                <w:szCs w:val="20"/>
                <w:lang w:eastAsia="en-US"/>
              </w:rPr>
              <w:t>Target CSI format</w:t>
            </w:r>
          </w:p>
          <w:p w14:paraId="074839E3" w14:textId="77777777" w:rsidR="001112E9" w:rsidRPr="001112E9" w:rsidRDefault="001112E9" w:rsidP="007E4DE3">
            <w:pPr>
              <w:widowControl w:val="0"/>
              <w:numPr>
                <w:ilvl w:val="2"/>
                <w:numId w:val="9"/>
              </w:numPr>
              <w:overflowPunct w:val="0"/>
              <w:autoSpaceDE w:val="0"/>
              <w:autoSpaceDN w:val="0"/>
              <w:adjustRightInd w:val="0"/>
              <w:snapToGrid w:val="0"/>
              <w:spacing w:before="120" w:after="120"/>
              <w:jc w:val="both"/>
              <w:textAlignment w:val="baseline"/>
              <w:rPr>
                <w:rFonts w:ascii="Times" w:eastAsia="Calibri" w:hAnsi="Times" w:cs="Times"/>
                <w:bCs/>
                <w:sz w:val="20"/>
                <w:szCs w:val="20"/>
                <w:lang w:eastAsia="en-US"/>
              </w:rPr>
            </w:pPr>
            <w:r w:rsidRPr="001112E9">
              <w:rPr>
                <w:rFonts w:ascii="Times" w:eastAsia="Calibri" w:hAnsi="Times" w:cs="Times"/>
                <w:bCs/>
                <w:sz w:val="20"/>
                <w:szCs w:val="20"/>
                <w:lang w:eastAsia="en-US"/>
              </w:rPr>
              <w:t>Note The framework defined in BM and CSI prediction use cases could be reused</w:t>
            </w:r>
          </w:p>
          <w:p w14:paraId="5DE8B77B" w14:textId="78E17807" w:rsidR="000017E3" w:rsidRDefault="001112E9" w:rsidP="007E4DE3">
            <w:pPr>
              <w:widowControl w:val="0"/>
              <w:numPr>
                <w:ilvl w:val="2"/>
                <w:numId w:val="6"/>
              </w:numPr>
              <w:snapToGrid w:val="0"/>
              <w:spacing w:before="120" w:after="120"/>
              <w:jc w:val="both"/>
              <w:textAlignment w:val="baseline"/>
              <w:rPr>
                <w:bCs/>
              </w:rPr>
            </w:pPr>
            <w:r w:rsidRPr="001112E9">
              <w:rPr>
                <w:rFonts w:ascii="Times" w:eastAsia="Times New Roman" w:hAnsi="Times" w:cs="Times"/>
                <w:bCs/>
                <w:sz w:val="20"/>
                <w:szCs w:val="20"/>
                <w:lang w:eastAsia="en-GB"/>
              </w:rPr>
              <w:t>Specify performance monitoring</w:t>
            </w:r>
          </w:p>
        </w:tc>
      </w:tr>
    </w:tbl>
    <w:p w14:paraId="0E9022FC" w14:textId="5B41EB89" w:rsidR="00671A4E" w:rsidRPr="001112E9" w:rsidRDefault="001112E9" w:rsidP="00EF38CE">
      <w:pPr>
        <w:pStyle w:val="a0"/>
        <w:snapToGrid w:val="0"/>
        <w:spacing w:before="120"/>
        <w:jc w:val="both"/>
      </w:pPr>
      <w:r w:rsidRPr="0071530E">
        <w:rPr>
          <w:rFonts w:eastAsiaTheme="minorEastAsia" w:cs="Times New Roman"/>
          <w:bCs/>
        </w:rPr>
        <w:t>In this paper, we</w:t>
      </w:r>
      <w:r>
        <w:rPr>
          <w:rFonts w:eastAsiaTheme="minorEastAsia" w:cs="Times New Roman"/>
          <w:bCs/>
        </w:rPr>
        <w:t xml:space="preserve"> provide our view on inference related aspects including </w:t>
      </w:r>
      <w:r w:rsidRPr="008B1E43">
        <w:rPr>
          <w:rFonts w:eastAsiaTheme="minorEastAsia" w:cs="Times New Roman"/>
          <w:bCs/>
        </w:rPr>
        <w:t>CQI RI determination, payload determination, quantization configuration codebook, UCI mapping, CSI processing criteria and timeline</w:t>
      </w:r>
      <w:r>
        <w:rPr>
          <w:rFonts w:eastAsiaTheme="minorEastAsia" w:cs="Times New Roman"/>
          <w:bCs/>
        </w:rPr>
        <w:t>.</w:t>
      </w:r>
      <w:r w:rsidRPr="0071530E">
        <w:rPr>
          <w:rFonts w:eastAsiaTheme="minorEastAsia" w:cs="Times New Roman"/>
          <w:bCs/>
        </w:rPr>
        <w:t xml:space="preserve"> </w:t>
      </w:r>
    </w:p>
    <w:p w14:paraId="32B2AD96" w14:textId="51B36508" w:rsidR="00106A8C" w:rsidRPr="00D67AC8" w:rsidRDefault="001112E9" w:rsidP="007E4DE3">
      <w:pPr>
        <w:keepNext/>
        <w:widowControl w:val="0"/>
        <w:numPr>
          <w:ilvl w:val="0"/>
          <w:numId w:val="7"/>
        </w:numPr>
        <w:autoSpaceDE w:val="0"/>
        <w:autoSpaceDN w:val="0"/>
        <w:adjustRightInd w:val="0"/>
        <w:snapToGrid w:val="0"/>
        <w:spacing w:before="120" w:after="120"/>
        <w:ind w:left="431" w:hanging="431"/>
        <w:jc w:val="both"/>
        <w:outlineLvl w:val="0"/>
        <w:rPr>
          <w:rFonts w:cs="Times New Roman"/>
          <w:b/>
          <w:bCs/>
          <w:sz w:val="28"/>
          <w:szCs w:val="28"/>
          <w:lang w:eastAsia="en-US"/>
        </w:rPr>
      </w:pPr>
      <w:r>
        <w:rPr>
          <w:rFonts w:cs="Times New Roman"/>
          <w:b/>
          <w:bCs/>
          <w:sz w:val="28"/>
          <w:szCs w:val="28"/>
        </w:rPr>
        <w:t>Discussion</w:t>
      </w:r>
    </w:p>
    <w:p w14:paraId="0E2755AE" w14:textId="731B5B89" w:rsidR="001112E9" w:rsidRPr="00D57824" w:rsidRDefault="001112E9" w:rsidP="000B4122">
      <w:pPr>
        <w:pStyle w:val="2"/>
        <w:numPr>
          <w:ilvl w:val="1"/>
          <w:numId w:val="1"/>
        </w:numPr>
        <w:autoSpaceDE w:val="0"/>
        <w:autoSpaceDN w:val="0"/>
        <w:adjustRightInd w:val="0"/>
        <w:snapToGrid w:val="0"/>
        <w:spacing w:after="240"/>
        <w:ind w:left="0" w:firstLine="0"/>
        <w:jc w:val="both"/>
        <w:rPr>
          <w:rFonts w:ascii="Times New Roman" w:eastAsiaTheme="minorEastAsia" w:hAnsi="Times New Roman" w:cs="Times New Roman"/>
          <w:b/>
          <w:iCs w:val="0"/>
          <w:szCs w:val="22"/>
        </w:rPr>
      </w:pPr>
      <w:r w:rsidRPr="00D57824">
        <w:rPr>
          <w:rFonts w:ascii="Times New Roman" w:eastAsiaTheme="minorEastAsia" w:hAnsi="Times New Roman" w:cs="Times New Roman"/>
          <w:b/>
          <w:iCs w:val="0"/>
          <w:szCs w:val="22"/>
        </w:rPr>
        <w:t xml:space="preserve">Payload and quantization related aspects </w:t>
      </w:r>
    </w:p>
    <w:p w14:paraId="61FB36B2" w14:textId="38437237" w:rsidR="00650311" w:rsidRPr="00EF38CE" w:rsidRDefault="00650311" w:rsidP="00EF38CE">
      <w:pPr>
        <w:snapToGrid w:val="0"/>
        <w:spacing w:before="120" w:after="120"/>
        <w:jc w:val="both"/>
        <w:rPr>
          <w:rFonts w:eastAsiaTheme="minorEastAsia" w:cs="Times New Roman"/>
          <w:bCs/>
        </w:rPr>
      </w:pPr>
      <w:r w:rsidRPr="00EF38CE">
        <w:rPr>
          <w:rFonts w:eastAsiaTheme="minorEastAsia" w:cs="Times New Roman"/>
          <w:bCs/>
        </w:rPr>
        <w:t>In the RAN1#12</w:t>
      </w:r>
      <w:r w:rsidR="001112E9" w:rsidRPr="00EF38CE">
        <w:rPr>
          <w:rFonts w:eastAsiaTheme="minorEastAsia" w:cs="Times New Roman"/>
          <w:bCs/>
        </w:rPr>
        <w:t>2</w:t>
      </w:r>
      <w:r w:rsidRPr="00EF38CE">
        <w:rPr>
          <w:rFonts w:eastAsiaTheme="minorEastAsia" w:cs="Times New Roman"/>
          <w:bCs/>
        </w:rPr>
        <w:t xml:space="preserve"> meeting, the following agreement</w:t>
      </w:r>
      <w:r w:rsidR="009971CC" w:rsidRPr="00EF38CE">
        <w:rPr>
          <w:rFonts w:eastAsiaTheme="minorEastAsia" w:cs="Times New Roman"/>
          <w:bCs/>
        </w:rPr>
        <w:t>s</w:t>
      </w:r>
      <w:r w:rsidRPr="00EF38CE">
        <w:rPr>
          <w:rFonts w:eastAsiaTheme="minorEastAsia" w:cs="Times New Roman"/>
          <w:bCs/>
        </w:rPr>
        <w:t xml:space="preserve"> wa</w:t>
      </w:r>
      <w:r w:rsidR="009971CC" w:rsidRPr="00EF38CE">
        <w:rPr>
          <w:rFonts w:eastAsiaTheme="minorEastAsia" w:cs="Times New Roman"/>
          <w:bCs/>
        </w:rPr>
        <w:t>re</w:t>
      </w:r>
      <w:r w:rsidRPr="00EF38CE">
        <w:rPr>
          <w:rFonts w:eastAsiaTheme="minorEastAsia" w:cs="Times New Roman"/>
          <w:bCs/>
        </w:rPr>
        <w:t xml:space="preserve"> made regarding </w:t>
      </w:r>
      <w:r w:rsidR="001112E9" w:rsidRPr="00EF38CE">
        <w:rPr>
          <w:rFonts w:eastAsiaTheme="minorEastAsia" w:cs="Times New Roman"/>
          <w:bCs/>
        </w:rPr>
        <w:t>payload size determination and quantization method.</w:t>
      </w:r>
    </w:p>
    <w:tbl>
      <w:tblPr>
        <w:tblStyle w:val="ae"/>
        <w:tblW w:w="0" w:type="auto"/>
        <w:tblLook w:val="04A0" w:firstRow="1" w:lastRow="0" w:firstColumn="1" w:lastColumn="0" w:noHBand="0" w:noVBand="1"/>
      </w:tblPr>
      <w:tblGrid>
        <w:gridCol w:w="9060"/>
      </w:tblGrid>
      <w:tr w:rsidR="00650311" w14:paraId="3DAB82E0" w14:textId="77777777" w:rsidTr="006C4D64">
        <w:tc>
          <w:tcPr>
            <w:tcW w:w="9060" w:type="dxa"/>
          </w:tcPr>
          <w:p w14:paraId="65C0751F" w14:textId="77777777" w:rsidR="00375AE7" w:rsidRPr="00375AE7" w:rsidRDefault="00375AE7" w:rsidP="00EF38CE">
            <w:pPr>
              <w:snapToGrid w:val="0"/>
              <w:spacing w:before="120" w:after="120"/>
              <w:jc w:val="both"/>
              <w:rPr>
                <w:rFonts w:eastAsia="等线" w:cs="Times New Roman"/>
                <w:b/>
                <w:bCs/>
                <w:lang w:val="en-GB"/>
              </w:rPr>
            </w:pPr>
            <w:bookmarkStart w:id="2" w:name="_Hlk205555674"/>
            <w:r w:rsidRPr="00375AE7">
              <w:rPr>
                <w:rFonts w:eastAsia="等线" w:cs="Times New Roman" w:hint="eastAsia"/>
                <w:b/>
                <w:bCs/>
                <w:lang w:val="en-GB"/>
              </w:rPr>
              <w:t>Agreement</w:t>
            </w:r>
            <w:r w:rsidRPr="00375AE7">
              <w:rPr>
                <w:rFonts w:eastAsia="等线" w:cs="Times New Roman"/>
                <w:b/>
                <w:bCs/>
                <w:lang w:val="en-GB"/>
              </w:rPr>
              <w:t xml:space="preserve"> in RAN1#122</w:t>
            </w:r>
          </w:p>
          <w:p w14:paraId="0B92DBA6" w14:textId="77777777" w:rsidR="00375AE7" w:rsidRPr="00375AE7" w:rsidRDefault="00375AE7" w:rsidP="00EF38CE">
            <w:pPr>
              <w:snapToGrid w:val="0"/>
              <w:spacing w:before="120" w:after="120"/>
              <w:jc w:val="both"/>
            </w:pPr>
            <w:r w:rsidRPr="00375AE7">
              <w:t xml:space="preserve">Specify the precoding matrix feedback via two-sided model as follows: For a certain layer </w:t>
            </w:r>
            <m:oMath>
              <m:r>
                <m:rPr>
                  <m:sty m:val="p"/>
                </m:rPr>
                <w:rPr>
                  <w:rFonts w:ascii="Cambria Math" w:hAnsi="Cambria Math"/>
                </w:rPr>
                <m:t>l</m:t>
              </m:r>
            </m:oMath>
            <w:r w:rsidRPr="00375AE7">
              <w:t xml:space="preserve"> and rank </w:t>
            </w:r>
            <m:oMath>
              <m:r>
                <m:rPr>
                  <m:sty m:val="p"/>
                </m:rPr>
                <w:rPr>
                  <w:rFonts w:ascii="Cambria Math" w:hAnsi="Cambria Math"/>
                </w:rPr>
                <m:t>ν</m:t>
              </m:r>
            </m:oMath>
            <w:r w:rsidRPr="00375AE7">
              <w:t xml:space="preserve">, </w:t>
            </w:r>
          </w:p>
          <w:p w14:paraId="1C0130CB" w14:textId="77777777" w:rsidR="00375AE7" w:rsidRPr="00375AE7" w:rsidRDefault="00375AE7" w:rsidP="007E4DE3">
            <w:pPr>
              <w:numPr>
                <w:ilvl w:val="0"/>
                <w:numId w:val="13"/>
              </w:numPr>
              <w:overflowPunct w:val="0"/>
              <w:autoSpaceDE w:val="0"/>
              <w:autoSpaceDN w:val="0"/>
              <w:adjustRightInd w:val="0"/>
              <w:snapToGrid w:val="0"/>
              <w:spacing w:before="120" w:after="120"/>
              <w:jc w:val="both"/>
              <w:textAlignment w:val="baseline"/>
            </w:pPr>
            <w:r w:rsidRPr="00375AE7">
              <w:t xml:space="preserve">A precoding matrix is mapped with a latent message </w:t>
            </w:r>
            <m:oMath>
              <m:sSup>
                <m:sSupPr>
                  <m:ctrlPr>
                    <w:rPr>
                      <w:rFonts w:ascii="Cambria Math" w:hAnsi="Cambria Math"/>
                    </w:rPr>
                  </m:ctrlPr>
                </m:sSupPr>
                <m:e>
                  <m:r>
                    <m:rPr>
                      <m:sty m:val="p"/>
                    </m:rPr>
                    <w:rPr>
                      <w:rFonts w:ascii="Cambria Math" w:hAnsi="Cambria Math"/>
                    </w:rPr>
                    <m:t>z</m:t>
                  </m:r>
                </m:e>
                <m:sup>
                  <m:r>
                    <m:rPr>
                      <m:sty m:val="p"/>
                    </m:rPr>
                    <w:rPr>
                      <w:rFonts w:ascii="Cambria Math" w:hAnsi="Cambria Math"/>
                    </w:rPr>
                    <m:t>l</m:t>
                  </m:r>
                </m:sup>
              </m:sSup>
              <m:r>
                <m:rPr>
                  <m:sty m:val="p"/>
                </m:rPr>
                <w:rPr>
                  <w:rFonts w:ascii="Cambria Math" w:hAnsi="Cambria Math"/>
                </w:rPr>
                <m:t>=</m:t>
              </m:r>
              <m:d>
                <m:dPr>
                  <m:begChr m:val="["/>
                  <m:endChr m:val="]"/>
                  <m:ctrlPr>
                    <w:rPr>
                      <w:rFonts w:ascii="Cambria Math" w:hAnsi="Cambria Math"/>
                    </w:rPr>
                  </m:ctrlPr>
                </m:dPr>
                <m:e>
                  <m:sSubSup>
                    <m:sSubSupPr>
                      <m:ctrlPr>
                        <w:rPr>
                          <w:rFonts w:ascii="Cambria Math" w:hAnsi="Cambria Math"/>
                        </w:rPr>
                      </m:ctrlPr>
                    </m:sSubSupPr>
                    <m:e>
                      <m:r>
                        <m:rPr>
                          <m:sty m:val="p"/>
                        </m:rPr>
                        <w:rPr>
                          <w:rFonts w:ascii="Cambria Math" w:hAnsi="Cambria Math"/>
                        </w:rPr>
                        <m:t>z</m:t>
                      </m:r>
                    </m:e>
                    <m:sub>
                      <m:r>
                        <m:rPr>
                          <m:sty m:val="p"/>
                        </m:rPr>
                        <w:rPr>
                          <w:rFonts w:ascii="Cambria Math" w:hAnsi="Cambria Math"/>
                        </w:rPr>
                        <m:t>0</m:t>
                      </m:r>
                    </m:sub>
                    <m:sup>
                      <m:r>
                        <m:rPr>
                          <m:sty m:val="p"/>
                        </m:rPr>
                        <w:rPr>
                          <w:rFonts w:ascii="Cambria Math" w:hAnsi="Cambria Math"/>
                        </w:rPr>
                        <m:t>l</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z</m:t>
                      </m:r>
                    </m:e>
                    <m:sub>
                      <m:r>
                        <m:rPr>
                          <m:sty m:val="p"/>
                        </m:rPr>
                        <w:rPr>
                          <w:rFonts w:ascii="Cambria Math" w:hAnsi="Cambria Math"/>
                        </w:rPr>
                        <m:t>1</m:t>
                      </m:r>
                    </m:sub>
                    <m:sup>
                      <m:r>
                        <m:rPr>
                          <m:sty m:val="p"/>
                        </m:rPr>
                        <w:rPr>
                          <w:rFonts w:ascii="Cambria Math" w:hAnsi="Cambria Math"/>
                        </w:rPr>
                        <m:t>l</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z</m:t>
                      </m:r>
                    </m:e>
                    <m:sub>
                      <m:sSubSup>
                        <m:sSubSupPr>
                          <m:ctrlPr>
                            <w:rPr>
                              <w:rFonts w:ascii="Cambria Math" w:hAnsi="Cambria Math"/>
                            </w:rPr>
                          </m:ctrlPr>
                        </m:sSubSupPr>
                        <m:e>
                          <m:r>
                            <m:rPr>
                              <m:sty m:val="p"/>
                            </m:rPr>
                            <w:rPr>
                              <w:rFonts w:ascii="Cambria Math" w:hAnsi="Cambria Math"/>
                            </w:rPr>
                            <m:t>d</m:t>
                          </m:r>
                        </m:e>
                        <m:sub>
                          <m:r>
                            <m:rPr>
                              <m:sty m:val="p"/>
                            </m:rPr>
                            <w:rPr>
                              <w:rFonts w:ascii="Cambria Math" w:hAnsi="Cambria Math"/>
                            </w:rPr>
                            <m:t>z</m:t>
                          </m:r>
                        </m:sub>
                        <m:sup>
                          <m:r>
                            <m:rPr>
                              <m:sty m:val="p"/>
                            </m:rPr>
                            <w:rPr>
                              <w:rFonts w:ascii="Cambria Math" w:hAnsi="Cambria Math"/>
                            </w:rPr>
                            <m:t>l,ν</m:t>
                          </m:r>
                        </m:sup>
                      </m:sSubSup>
                      <m:r>
                        <m:rPr>
                          <m:sty m:val="p"/>
                        </m:rPr>
                        <w:rPr>
                          <w:rFonts w:ascii="Cambria Math" w:hAnsi="Cambria Math"/>
                        </w:rPr>
                        <m:t>-1</m:t>
                      </m:r>
                    </m:sub>
                    <m:sup>
                      <m:r>
                        <m:rPr>
                          <m:sty m:val="p"/>
                        </m:rPr>
                        <w:rPr>
                          <w:rFonts w:ascii="Cambria Math" w:hAnsi="Cambria Math"/>
                        </w:rPr>
                        <m:t>l</m:t>
                      </m:r>
                    </m:sup>
                  </m:sSubSup>
                </m:e>
              </m:d>
            </m:oMath>
            <w:r w:rsidRPr="00375AE7">
              <w:t>, with l = 1, ..., v where l is the layer index.</w:t>
            </w:r>
          </w:p>
          <w:p w14:paraId="74B9AC24" w14:textId="77777777" w:rsidR="00375AE7" w:rsidRPr="00375AE7" w:rsidRDefault="00375AE7" w:rsidP="007E4DE3">
            <w:pPr>
              <w:numPr>
                <w:ilvl w:val="1"/>
                <w:numId w:val="13"/>
              </w:numPr>
              <w:overflowPunct w:val="0"/>
              <w:autoSpaceDE w:val="0"/>
              <w:autoSpaceDN w:val="0"/>
              <w:adjustRightInd w:val="0"/>
              <w:snapToGrid w:val="0"/>
              <w:spacing w:before="120" w:after="120"/>
              <w:jc w:val="both"/>
              <w:textAlignment w:val="baseline"/>
            </w:pPr>
            <w:r w:rsidRPr="00375AE7">
              <w:t xml:space="preserve">The mapping is subject to [at least] a pairing ID configured by high-layer </w:t>
            </w:r>
            <w:proofErr w:type="spellStart"/>
            <w:r w:rsidRPr="00375AE7">
              <w:t>signalling</w:t>
            </w:r>
            <w:proofErr w:type="spellEnd"/>
            <w:r w:rsidRPr="00375AE7">
              <w:t xml:space="preserve">. </w:t>
            </w:r>
          </w:p>
          <w:p w14:paraId="120DDD76" w14:textId="77777777" w:rsidR="00375AE7" w:rsidRPr="00E43D3D" w:rsidRDefault="00375AE7" w:rsidP="007E4DE3">
            <w:pPr>
              <w:numPr>
                <w:ilvl w:val="1"/>
                <w:numId w:val="13"/>
              </w:numPr>
              <w:overflowPunct w:val="0"/>
              <w:autoSpaceDE w:val="0"/>
              <w:autoSpaceDN w:val="0"/>
              <w:adjustRightInd w:val="0"/>
              <w:snapToGrid w:val="0"/>
              <w:spacing w:before="120" w:after="120"/>
              <w:jc w:val="both"/>
              <w:textAlignment w:val="baseline"/>
            </w:pPr>
            <w:r w:rsidRPr="00E43D3D">
              <w:t xml:space="preserve">FFS </w:t>
            </w:r>
            <m:oMath>
              <m:sSubSup>
                <m:sSubSupPr>
                  <m:ctrlPr>
                    <w:rPr>
                      <w:rFonts w:ascii="Cambria Math" w:hAnsi="Cambria Math"/>
                    </w:rPr>
                  </m:ctrlPr>
                </m:sSubSupPr>
                <m:e>
                  <m:r>
                    <m:rPr>
                      <m:sty m:val="p"/>
                    </m:rPr>
                    <w:rPr>
                      <w:rFonts w:ascii="Cambria Math" w:hAnsi="Cambria Math"/>
                    </w:rPr>
                    <m:t>d</m:t>
                  </m:r>
                </m:e>
                <m:sub>
                  <m:r>
                    <m:rPr>
                      <m:sty m:val="p"/>
                    </m:rPr>
                    <w:rPr>
                      <w:rFonts w:ascii="Cambria Math" w:hAnsi="Cambria Math"/>
                    </w:rPr>
                    <m:t>z</m:t>
                  </m:r>
                </m:sub>
                <m:sup>
                  <m:r>
                    <m:rPr>
                      <m:sty m:val="p"/>
                    </m:rPr>
                    <w:rPr>
                      <w:rFonts w:ascii="Cambria Math" w:hAnsi="Cambria Math"/>
                    </w:rPr>
                    <m:t>l,ν</m:t>
                  </m:r>
                </m:sup>
              </m:sSubSup>
            </m:oMath>
            <w:r w:rsidRPr="00E43D3D">
              <w:t xml:space="preserve"> is common or specific for different layers or ranks</w:t>
            </w:r>
          </w:p>
          <w:p w14:paraId="38F5BF6D" w14:textId="77777777" w:rsidR="00375AE7" w:rsidRPr="00375AE7" w:rsidRDefault="00375AE7" w:rsidP="007E4DE3">
            <w:pPr>
              <w:numPr>
                <w:ilvl w:val="1"/>
                <w:numId w:val="13"/>
              </w:numPr>
              <w:overflowPunct w:val="0"/>
              <w:autoSpaceDE w:val="0"/>
              <w:autoSpaceDN w:val="0"/>
              <w:adjustRightInd w:val="0"/>
              <w:snapToGrid w:val="0"/>
              <w:spacing w:before="120" w:after="120"/>
              <w:jc w:val="both"/>
              <w:textAlignment w:val="baseline"/>
            </w:pPr>
            <w:r w:rsidRPr="00375AE7">
              <w:t>Note: the terminology “latent message” is used for discussion purposes, the detailed name can be discussed further</w:t>
            </w:r>
          </w:p>
          <w:p w14:paraId="6C67E222" w14:textId="2FF87DD9" w:rsidR="00375AE7" w:rsidRPr="00375AE7" w:rsidRDefault="003472B2" w:rsidP="007E4DE3">
            <w:pPr>
              <w:numPr>
                <w:ilvl w:val="0"/>
                <w:numId w:val="13"/>
              </w:numPr>
              <w:overflowPunct w:val="0"/>
              <w:autoSpaceDE w:val="0"/>
              <w:autoSpaceDN w:val="0"/>
              <w:adjustRightInd w:val="0"/>
              <w:snapToGrid w:val="0"/>
              <w:spacing w:before="120" w:after="120"/>
              <w:jc w:val="both"/>
              <w:textAlignment w:val="baseline"/>
            </w:pPr>
            <m:oMath>
              <m:sSup>
                <m:sSupPr>
                  <m:ctrlPr>
                    <w:rPr>
                      <w:rFonts w:ascii="Cambria Math" w:hAnsi="Cambria Math"/>
                    </w:rPr>
                  </m:ctrlPr>
                </m:sSupPr>
                <m:e>
                  <m:r>
                    <m:rPr>
                      <m:sty m:val="p"/>
                    </m:rPr>
                    <w:rPr>
                      <w:rFonts w:ascii="Cambria Math" w:hAnsi="Cambria Math"/>
                    </w:rPr>
                    <m:t>z</m:t>
                  </m:r>
                </m:e>
                <m:sup>
                  <m:r>
                    <m:rPr>
                      <m:sty m:val="p"/>
                    </m:rPr>
                    <w:rPr>
                      <w:rFonts w:ascii="Cambria Math" w:hAnsi="Cambria Math"/>
                    </w:rPr>
                    <m:t>l</m:t>
                  </m:r>
                </m:sup>
              </m:sSup>
            </m:oMath>
            <w:r w:rsidR="00375AE7" w:rsidRPr="00375AE7">
              <w:t xml:space="preserve"> is quantized and mapped to bit sequence before reporting.</w:t>
            </w:r>
          </w:p>
          <w:p w14:paraId="38AB8E16" w14:textId="072332FE" w:rsidR="00650311" w:rsidRPr="00375AE7" w:rsidRDefault="00650311" w:rsidP="00EF38CE">
            <w:pPr>
              <w:snapToGrid w:val="0"/>
              <w:spacing w:before="120" w:after="120"/>
              <w:jc w:val="both"/>
              <w:rPr>
                <w:rFonts w:eastAsia="等线" w:cs="Times New Roman"/>
                <w:b/>
                <w:bCs/>
                <w:lang w:val="en-GB"/>
              </w:rPr>
            </w:pPr>
            <w:r w:rsidRPr="00375AE7">
              <w:rPr>
                <w:rFonts w:eastAsia="等线" w:cs="Times New Roman" w:hint="eastAsia"/>
                <w:b/>
                <w:bCs/>
                <w:lang w:val="en-GB"/>
              </w:rPr>
              <w:lastRenderedPageBreak/>
              <w:t>Agreement</w:t>
            </w:r>
            <w:r w:rsidRPr="00375AE7">
              <w:rPr>
                <w:rFonts w:eastAsia="等线" w:cs="Times New Roman"/>
                <w:b/>
                <w:bCs/>
                <w:lang w:val="en-GB"/>
              </w:rPr>
              <w:t xml:space="preserve"> in RAN1#12</w:t>
            </w:r>
            <w:r w:rsidR="001112E9" w:rsidRPr="00375AE7">
              <w:rPr>
                <w:rFonts w:eastAsia="等线" w:cs="Times New Roman"/>
                <w:b/>
                <w:bCs/>
                <w:lang w:val="en-GB"/>
              </w:rPr>
              <w:t>2</w:t>
            </w:r>
          </w:p>
          <w:p w14:paraId="2584B251" w14:textId="77777777" w:rsidR="001112E9" w:rsidRPr="00375AE7" w:rsidRDefault="001112E9" w:rsidP="00EF38CE">
            <w:pPr>
              <w:snapToGrid w:val="0"/>
              <w:spacing w:before="120" w:after="120"/>
              <w:jc w:val="both"/>
            </w:pPr>
            <w:r w:rsidRPr="00375AE7">
              <w:t xml:space="preserve">For precoding matrix feedback, for a certain layer </w:t>
            </w:r>
            <m:oMath>
              <m:r>
                <m:rPr>
                  <m:sty m:val="bi"/>
                </m:rPr>
                <w:rPr>
                  <w:rFonts w:ascii="Cambria Math" w:hAnsi="Cambria Math"/>
                </w:rPr>
                <m:t>l</m:t>
              </m:r>
            </m:oMath>
            <w:r w:rsidRPr="00375AE7">
              <w:t xml:space="preserve"> of rank </w:t>
            </w:r>
            <m:oMath>
              <m:r>
                <m:rPr>
                  <m:sty m:val="bi"/>
                </m:rPr>
                <w:rPr>
                  <w:rFonts w:ascii="Cambria Math" w:hAnsi="Cambria Math"/>
                </w:rPr>
                <m:t>ν</m:t>
              </m:r>
            </m:oMath>
            <w:r w:rsidRPr="00375AE7">
              <w:t xml:space="preserve">, the latent message </w:t>
            </w:r>
            <m:oMath>
              <m:sSup>
                <m:sSupPr>
                  <m:ctrlPr>
                    <w:rPr>
                      <w:rFonts w:ascii="Cambria Math" w:hAnsi="Cambria Math"/>
                      <w:b/>
                      <w:i/>
                    </w:rPr>
                  </m:ctrlPr>
                </m:sSupPr>
                <m:e>
                  <m:r>
                    <m:rPr>
                      <m:sty m:val="bi"/>
                    </m:rPr>
                    <w:rPr>
                      <w:rFonts w:ascii="Cambria Math" w:hAnsi="Cambria Math"/>
                    </w:rPr>
                    <m:t>z</m:t>
                  </m:r>
                </m:e>
                <m:sup>
                  <m:r>
                    <m:rPr>
                      <m:sty m:val="bi"/>
                    </m:rPr>
                    <w:rPr>
                      <w:rFonts w:ascii="Cambria Math" w:hAnsi="Cambria Math"/>
                    </w:rPr>
                    <m:t>l</m:t>
                  </m:r>
                </m:sup>
              </m:sSup>
            </m:oMath>
            <w:r w:rsidRPr="00375AE7">
              <w:t xml:space="preserve"> contains </w:t>
            </w: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oMath>
            <w:r w:rsidRPr="00375AE7">
              <w:t xml:space="preserve"> real values</w:t>
            </w:r>
          </w:p>
          <w:p w14:paraId="6EB98D90" w14:textId="77777777" w:rsidR="001112E9" w:rsidRPr="00375AE7" w:rsidRDefault="001112E9" w:rsidP="007E4DE3">
            <w:pPr>
              <w:numPr>
                <w:ilvl w:val="0"/>
                <w:numId w:val="5"/>
              </w:numPr>
              <w:suppressAutoHyphens/>
              <w:snapToGrid w:val="0"/>
              <w:spacing w:before="120" w:after="120"/>
              <w:jc w:val="both"/>
              <w:rPr>
                <w:lang w:eastAsia="x-none"/>
              </w:rPr>
            </w:pPr>
            <w:r w:rsidRPr="00375AE7">
              <w:rPr>
                <w:lang w:eastAsia="x-none"/>
              </w:rPr>
              <w:t xml:space="preserve">If scalar quantization (SQ) supported, it refers to the quantization of each real value independently, </w:t>
            </w:r>
          </w:p>
          <w:p w14:paraId="5F78B9BB" w14:textId="77777777" w:rsidR="001112E9" w:rsidRPr="00375AE7" w:rsidRDefault="001112E9" w:rsidP="007E4DE3">
            <w:pPr>
              <w:numPr>
                <w:ilvl w:val="1"/>
                <w:numId w:val="5"/>
              </w:numPr>
              <w:suppressAutoHyphens/>
              <w:snapToGrid w:val="0"/>
              <w:spacing w:before="120" w:after="120"/>
              <w:jc w:val="both"/>
              <w:rPr>
                <w:lang w:eastAsia="x-none"/>
              </w:rPr>
            </w:pPr>
            <w:r w:rsidRPr="00375AE7">
              <w:rPr>
                <w:lang w:eastAsia="x-none"/>
              </w:rPr>
              <w:t xml:space="preserve">The payload size for layer </w:t>
            </w:r>
            <m:oMath>
              <m:r>
                <m:rPr>
                  <m:sty m:val="bi"/>
                </m:rPr>
                <w:rPr>
                  <w:rFonts w:ascii="Cambria Math" w:hAnsi="Cambria Math"/>
                </w:rPr>
                <m:t>l</m:t>
              </m:r>
            </m:oMath>
            <w:r w:rsidRPr="00375AE7">
              <w:rPr>
                <w:lang w:eastAsia="x-none"/>
              </w:rPr>
              <w:t xml:space="preserve"> and rank </w:t>
            </w:r>
            <m:oMath>
              <m:r>
                <m:rPr>
                  <m:sty m:val="bi"/>
                </m:rPr>
                <w:rPr>
                  <w:rFonts w:ascii="Cambria Math" w:hAnsi="Cambria Math"/>
                </w:rPr>
                <m:t>ν</m:t>
              </m:r>
            </m:oMath>
            <w:r w:rsidRPr="00375AE7">
              <w:rPr>
                <w:lang w:eastAsia="x-none"/>
              </w:rPr>
              <w:t xml:space="preserve"> is determined by </w:t>
            </w: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r>
                <m:rPr>
                  <m:sty m:val="bi"/>
                </m:rPr>
                <w:rPr>
                  <w:rFonts w:ascii="Cambria Math" w:hAnsi="Cambria Math"/>
                </w:rPr>
                <m:t>×</m:t>
              </m:r>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rsidRPr="00375AE7">
              <w:rPr>
                <w:lang w:eastAsia="x-none"/>
              </w:rPr>
              <w:t xml:space="preserve">, where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rsidRPr="00375AE7">
              <w:rPr>
                <w:lang w:eastAsia="x-none"/>
              </w:rPr>
              <w:t xml:space="preserve"> is the number of bits per scalar.</w:t>
            </w:r>
          </w:p>
          <w:p w14:paraId="357A34D8" w14:textId="77777777" w:rsidR="001112E9" w:rsidRPr="00375AE7" w:rsidRDefault="001112E9" w:rsidP="007E4DE3">
            <w:pPr>
              <w:numPr>
                <w:ilvl w:val="0"/>
                <w:numId w:val="5"/>
              </w:numPr>
              <w:suppressAutoHyphens/>
              <w:snapToGrid w:val="0"/>
              <w:spacing w:before="120" w:after="120"/>
              <w:jc w:val="both"/>
              <w:rPr>
                <w:strike/>
                <w:lang w:eastAsia="x-none"/>
              </w:rPr>
            </w:pPr>
            <w:r w:rsidRPr="00375AE7">
              <w:rPr>
                <w:lang w:eastAsia="x-none"/>
              </w:rPr>
              <w:t xml:space="preserve">If vector quantization (VQ) is supported, it refers to the quantization of a segment of L (L&gt;1) consecutive real values jointly, and the segment(s) are separately quantized. </w:t>
            </w:r>
          </w:p>
          <w:p w14:paraId="2C4A0A40" w14:textId="77777777" w:rsidR="001112E9" w:rsidRPr="00375AE7" w:rsidRDefault="001112E9" w:rsidP="007E4DE3">
            <w:pPr>
              <w:numPr>
                <w:ilvl w:val="1"/>
                <w:numId w:val="5"/>
              </w:numPr>
              <w:suppressAutoHyphens/>
              <w:snapToGrid w:val="0"/>
              <w:spacing w:before="120" w:after="120"/>
              <w:jc w:val="both"/>
              <w:rPr>
                <w:lang w:eastAsia="x-none"/>
              </w:rPr>
            </w:pPr>
            <w:r w:rsidRPr="00375AE7">
              <w:rPr>
                <w:lang w:eastAsia="x-none"/>
              </w:rPr>
              <w:t xml:space="preserve"> The payload size for layer </w:t>
            </w:r>
            <m:oMath>
              <m:r>
                <m:rPr>
                  <m:sty m:val="bi"/>
                </m:rPr>
                <w:rPr>
                  <w:rFonts w:ascii="Cambria Math" w:hAnsi="Cambria Math"/>
                </w:rPr>
                <m:t>l</m:t>
              </m:r>
            </m:oMath>
            <w:r w:rsidRPr="00375AE7">
              <w:rPr>
                <w:lang w:eastAsia="x-none"/>
              </w:rPr>
              <w:t xml:space="preserve"> and rank </w:t>
            </w:r>
            <m:oMath>
              <m:r>
                <m:rPr>
                  <m:sty m:val="bi"/>
                </m:rPr>
                <w:rPr>
                  <w:rFonts w:ascii="Cambria Math" w:hAnsi="Cambria Math"/>
                </w:rPr>
                <m:t>ν</m:t>
              </m:r>
            </m:oMath>
            <w:r w:rsidRPr="00375AE7">
              <w:rPr>
                <w:lang w:eastAsia="x-none"/>
              </w:rPr>
              <w:t xml:space="preserve"> is determined by </w:t>
            </w:r>
            <m:oMath>
              <m:f>
                <m:fPr>
                  <m:ctrlPr>
                    <w:rPr>
                      <w:rFonts w:ascii="Cambria Math" w:hAnsi="Cambria Math"/>
                      <w:b/>
                      <w:bCs/>
                      <w:i/>
                      <w:iCs/>
                    </w:rPr>
                  </m:ctrlPr>
                </m:fPr>
                <m:num>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num>
                <m:den>
                  <m:r>
                    <m:rPr>
                      <m:sty m:val="bi"/>
                    </m:rPr>
                    <w:rPr>
                      <w:rFonts w:ascii="Cambria Math" w:hAnsi="Cambria Math"/>
                    </w:rPr>
                    <m:t>L</m:t>
                  </m:r>
                </m:den>
              </m:f>
              <m:r>
                <m:rPr>
                  <m:sty m:val="bi"/>
                </m:rPr>
                <w:rPr>
                  <w:rFonts w:ascii="Cambria Math" w:hAnsi="Cambria Math"/>
                </w:rPr>
                <m:t>×</m:t>
              </m:r>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rsidRPr="00375AE7">
              <w:rPr>
                <w:lang w:eastAsia="x-none"/>
              </w:rPr>
              <w:t xml:space="preserve">, where </w:t>
            </w:r>
            <m:oMath>
              <m:r>
                <m:rPr>
                  <m:sty m:val="bi"/>
                </m:rPr>
                <w:rPr>
                  <w:rFonts w:ascii="Cambria Math" w:hAnsi="Cambria Math"/>
                </w:rPr>
                <m:t>L</m:t>
              </m:r>
            </m:oMath>
            <w:r w:rsidRPr="00375AE7">
              <w:rPr>
                <w:lang w:eastAsia="x-none"/>
              </w:rPr>
              <w:t xml:space="preserve"> is the length of the vector segment,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rsidRPr="00375AE7">
              <w:rPr>
                <w:lang w:eastAsia="x-none"/>
              </w:rPr>
              <w:t xml:space="preserve"> is the number of bits per segment </w:t>
            </w:r>
          </w:p>
          <w:p w14:paraId="2F78138A" w14:textId="77777777" w:rsidR="001112E9" w:rsidRPr="00375AE7" w:rsidRDefault="001112E9" w:rsidP="007E4DE3">
            <w:pPr>
              <w:numPr>
                <w:ilvl w:val="1"/>
                <w:numId w:val="5"/>
              </w:numPr>
              <w:suppressAutoHyphens/>
              <w:snapToGrid w:val="0"/>
              <w:spacing w:before="120" w:after="120"/>
              <w:jc w:val="both"/>
              <w:rPr>
                <w:lang w:eastAsia="x-none"/>
              </w:rPr>
            </w:pPr>
            <w:r w:rsidRPr="00375AE7">
              <w:rPr>
                <w:lang w:eastAsia="x-none"/>
              </w:rPr>
              <w:t>Note: Combining two real-values as a complex value and performing amplitude-phase quantization is precluded.</w:t>
            </w:r>
          </w:p>
          <w:p w14:paraId="683FDF56" w14:textId="77777777" w:rsidR="001112E9" w:rsidRPr="00375AE7" w:rsidRDefault="001112E9" w:rsidP="00EF38CE">
            <w:pPr>
              <w:snapToGrid w:val="0"/>
              <w:spacing w:before="120" w:after="120"/>
              <w:jc w:val="both"/>
              <w:rPr>
                <w:rFonts w:eastAsia="等线" w:cs="Times New Roman"/>
                <w:b/>
                <w:bCs/>
                <w:lang w:val="en-GB"/>
              </w:rPr>
            </w:pPr>
            <w:r w:rsidRPr="00375AE7">
              <w:rPr>
                <w:rFonts w:eastAsia="等线" w:cs="Times New Roman" w:hint="eastAsia"/>
                <w:b/>
                <w:bCs/>
                <w:lang w:val="en-GB"/>
              </w:rPr>
              <w:t>Agreement</w:t>
            </w:r>
            <w:r w:rsidRPr="00375AE7">
              <w:rPr>
                <w:rFonts w:eastAsia="等线" w:cs="Times New Roman"/>
                <w:b/>
                <w:bCs/>
                <w:lang w:val="en-GB"/>
              </w:rPr>
              <w:t xml:space="preserve"> in RAN1#122</w:t>
            </w:r>
          </w:p>
          <w:p w14:paraId="5F683FCA" w14:textId="77777777" w:rsidR="001112E9" w:rsidRPr="001112E9" w:rsidRDefault="001112E9" w:rsidP="00EF38CE">
            <w:pPr>
              <w:snapToGrid w:val="0"/>
              <w:spacing w:before="120" w:after="120"/>
              <w:jc w:val="both"/>
              <w:rPr>
                <w:rFonts w:eastAsia="Batang" w:cs="Times New Roman"/>
                <w:lang w:val="en-GB" w:eastAsia="en-US"/>
              </w:rPr>
            </w:pPr>
            <w:r w:rsidRPr="001112E9">
              <w:rPr>
                <w:rFonts w:eastAsia="Batang" w:cs="Times New Roman"/>
                <w:lang w:val="en-GB" w:eastAsia="en-US"/>
              </w:rPr>
              <w:t>For precoding matrix feedback, consider the following aspects for payload determination</w:t>
            </w:r>
          </w:p>
          <w:p w14:paraId="3D640EE3" w14:textId="77777777" w:rsidR="001112E9" w:rsidRPr="001112E9" w:rsidRDefault="001112E9" w:rsidP="007E4DE3">
            <w:pPr>
              <w:numPr>
                <w:ilvl w:val="0"/>
                <w:numId w:val="11"/>
              </w:numPr>
              <w:suppressAutoHyphens/>
              <w:snapToGrid w:val="0"/>
              <w:spacing w:before="120" w:after="120"/>
              <w:jc w:val="both"/>
              <w:rPr>
                <w:rFonts w:eastAsia="Batang" w:cs="Times New Roman"/>
                <w:lang w:val="en-GB" w:eastAsia="x-none"/>
              </w:rPr>
            </w:pPr>
            <w:r w:rsidRPr="001112E9">
              <w:rPr>
                <w:rFonts w:eastAsia="Batang" w:cs="Times New Roman"/>
                <w:lang w:val="en-GB" w:eastAsia="x-none"/>
              </w:rPr>
              <w:t xml:space="preserve">Support only SQ, or only VQ or both </w:t>
            </w:r>
          </w:p>
          <w:p w14:paraId="429BE086" w14:textId="77777777" w:rsidR="001112E9" w:rsidRPr="001112E9" w:rsidRDefault="003472B2" w:rsidP="007E4DE3">
            <w:pPr>
              <w:numPr>
                <w:ilvl w:val="0"/>
                <w:numId w:val="11"/>
              </w:numPr>
              <w:suppressAutoHyphens/>
              <w:snapToGrid w:val="0"/>
              <w:spacing w:before="120" w:after="120"/>
              <w:jc w:val="both"/>
              <w:rPr>
                <w:rFonts w:eastAsia="Batang" w:cs="Times New Roman"/>
                <w:lang w:val="en-GB" w:eastAsia="x-none"/>
              </w:rPr>
            </w:pPr>
            <m:oMath>
              <m:sSubSup>
                <m:sSubSupPr>
                  <m:ctrlPr>
                    <w:rPr>
                      <w:rFonts w:ascii="Cambria Math" w:eastAsia="Batang" w:hAnsi="Cambria Math" w:cs="Times New Roman"/>
                      <w:b/>
                      <w:bCs/>
                      <w:i/>
                      <w:iCs/>
                      <w:lang w:val="en-GB" w:eastAsia="en-US"/>
                    </w:rPr>
                  </m:ctrlPr>
                </m:sSubSupPr>
                <m:e>
                  <m:r>
                    <m:rPr>
                      <m:sty m:val="bi"/>
                    </m:rPr>
                    <w:rPr>
                      <w:rFonts w:ascii="Cambria Math" w:eastAsia="Batang" w:hAnsi="Cambria Math" w:cs="Times New Roman"/>
                      <w:lang w:val="en-GB" w:eastAsia="en-US"/>
                    </w:rPr>
                    <m:t>d</m:t>
                  </m:r>
                </m:e>
                <m:sub>
                  <m:r>
                    <m:rPr>
                      <m:sty m:val="bi"/>
                    </m:rPr>
                    <w:rPr>
                      <w:rFonts w:ascii="Cambria Math" w:eastAsia="Batang" w:hAnsi="Cambria Math" w:cs="Times New Roman"/>
                      <w:lang w:val="en-GB" w:eastAsia="en-US"/>
                    </w:rPr>
                    <m:t>z</m:t>
                  </m:r>
                </m:sub>
                <m:sup>
                  <m:r>
                    <m:rPr>
                      <m:sty m:val="bi"/>
                    </m:rPr>
                    <w:rPr>
                      <w:rFonts w:ascii="Cambria Math" w:eastAsia="Batang" w:hAnsi="Cambria Math" w:cs="Times New Roman"/>
                      <w:lang w:val="en-GB" w:eastAsia="en-US"/>
                    </w:rPr>
                    <m:t>l,ν</m:t>
                  </m:r>
                </m:sup>
              </m:sSubSup>
              <m:r>
                <m:rPr>
                  <m:sty m:val="bi"/>
                </m:rPr>
                <w:rPr>
                  <w:rFonts w:ascii="Cambria Math" w:eastAsia="Batang" w:hAnsi="Cambria Math" w:cs="Times New Roman"/>
                  <w:lang w:val="en-GB" w:eastAsia="en-US"/>
                </w:rPr>
                <m:t xml:space="preserve"> </m:t>
              </m:r>
            </m:oMath>
            <w:r w:rsidR="001112E9" w:rsidRPr="001112E9">
              <w:rPr>
                <w:rFonts w:eastAsia="Batang" w:cs="Times New Roman"/>
                <w:lang w:val="en-GB" w:eastAsia="x-none"/>
              </w:rPr>
              <w:t xml:space="preserve">and / or </w:t>
            </w:r>
            <m:oMath>
              <m:sSup>
                <m:sSupPr>
                  <m:ctrlPr>
                    <w:rPr>
                      <w:rFonts w:ascii="Cambria Math" w:eastAsia="Batang" w:hAnsi="Cambria Math" w:cs="Times New Roman"/>
                      <w:b/>
                      <w:bCs/>
                      <w:i/>
                      <w:iCs/>
                      <w:lang w:val="en-GB" w:eastAsia="en-US"/>
                    </w:rPr>
                  </m:ctrlPr>
                </m:sSupPr>
                <m:e>
                  <m:r>
                    <m:rPr>
                      <m:sty m:val="bi"/>
                    </m:rPr>
                    <w:rPr>
                      <w:rFonts w:ascii="Cambria Math" w:eastAsia="Batang" w:hAnsi="Cambria Math" w:cs="Times New Roman"/>
                      <w:lang w:val="en-GB" w:eastAsia="en-US"/>
                    </w:rPr>
                    <m:t>Q</m:t>
                  </m:r>
                </m:e>
                <m:sup>
                  <m:r>
                    <m:rPr>
                      <m:sty m:val="bi"/>
                    </m:rPr>
                    <w:rPr>
                      <w:rFonts w:ascii="Cambria Math" w:eastAsia="Batang" w:hAnsi="Cambria Math" w:cs="Times New Roman"/>
                      <w:lang w:val="en-GB" w:eastAsia="en-US"/>
                    </w:rPr>
                    <m:t>l,ν</m:t>
                  </m:r>
                </m:sup>
              </m:sSup>
            </m:oMath>
            <w:r w:rsidR="001112E9" w:rsidRPr="001112E9">
              <w:rPr>
                <w:rFonts w:eastAsia="Batang" w:cs="Times New Roman"/>
                <w:lang w:val="en-GB" w:eastAsia="x-none"/>
              </w:rPr>
              <w:t xml:space="preserve"> and / or </w:t>
            </w:r>
            <m:oMath>
              <m:r>
                <m:rPr>
                  <m:sty m:val="bi"/>
                </m:rPr>
                <w:rPr>
                  <w:rFonts w:ascii="Cambria Math" w:eastAsia="Batang" w:hAnsi="Cambria Math" w:cs="Times New Roman"/>
                  <w:lang w:val="en-GB" w:eastAsia="en-US"/>
                </w:rPr>
                <m:t>L</m:t>
              </m:r>
            </m:oMath>
            <w:r w:rsidR="001112E9" w:rsidRPr="001112E9">
              <w:rPr>
                <w:rFonts w:eastAsia="Batang" w:cs="Times New Roman"/>
                <w:lang w:val="en-GB" w:eastAsia="x-none"/>
              </w:rPr>
              <w:t xml:space="preserve"> are fixed values or determined from multiple values based on NW configuration or UE reporting.</w:t>
            </w:r>
          </w:p>
          <w:p w14:paraId="71014826" w14:textId="77777777" w:rsidR="001112E9" w:rsidRPr="001112E9" w:rsidRDefault="003472B2" w:rsidP="007E4DE3">
            <w:pPr>
              <w:numPr>
                <w:ilvl w:val="0"/>
                <w:numId w:val="11"/>
              </w:numPr>
              <w:suppressAutoHyphens/>
              <w:snapToGrid w:val="0"/>
              <w:spacing w:before="120" w:after="120"/>
              <w:jc w:val="both"/>
              <w:rPr>
                <w:rFonts w:eastAsia="Batang" w:cs="Times New Roman"/>
                <w:lang w:val="en-GB" w:eastAsia="x-none"/>
              </w:rPr>
            </w:pPr>
            <m:oMath>
              <m:sSubSup>
                <m:sSubSupPr>
                  <m:ctrlPr>
                    <w:rPr>
                      <w:rFonts w:ascii="Cambria Math" w:eastAsia="Batang" w:hAnsi="Cambria Math" w:cs="Times New Roman"/>
                      <w:b/>
                      <w:bCs/>
                      <w:i/>
                      <w:iCs/>
                      <w:lang w:val="en-GB" w:eastAsia="en-US"/>
                    </w:rPr>
                  </m:ctrlPr>
                </m:sSubSupPr>
                <m:e>
                  <m:r>
                    <m:rPr>
                      <m:sty m:val="bi"/>
                    </m:rPr>
                    <w:rPr>
                      <w:rFonts w:ascii="Cambria Math" w:eastAsia="Batang" w:hAnsi="Cambria Math" w:cs="Times New Roman"/>
                      <w:lang w:val="en-GB" w:eastAsia="en-US"/>
                    </w:rPr>
                    <m:t>d</m:t>
                  </m:r>
                </m:e>
                <m:sub>
                  <m:r>
                    <m:rPr>
                      <m:sty m:val="bi"/>
                    </m:rPr>
                    <w:rPr>
                      <w:rFonts w:ascii="Cambria Math" w:eastAsia="Batang" w:hAnsi="Cambria Math" w:cs="Times New Roman"/>
                      <w:lang w:val="en-GB" w:eastAsia="en-US"/>
                    </w:rPr>
                    <m:t>z</m:t>
                  </m:r>
                </m:sub>
                <m:sup>
                  <m:r>
                    <m:rPr>
                      <m:sty m:val="bi"/>
                    </m:rPr>
                    <w:rPr>
                      <w:rFonts w:ascii="Cambria Math" w:eastAsia="Batang" w:hAnsi="Cambria Math" w:cs="Times New Roman"/>
                      <w:lang w:val="en-GB" w:eastAsia="en-US"/>
                    </w:rPr>
                    <m:t>l,ν</m:t>
                  </m:r>
                </m:sup>
              </m:sSubSup>
            </m:oMath>
            <w:r w:rsidR="001112E9" w:rsidRPr="001112E9">
              <w:rPr>
                <w:rFonts w:eastAsia="Batang" w:cs="Times New Roman"/>
                <w:lang w:val="en-GB" w:eastAsia="x-none"/>
              </w:rPr>
              <w:t xml:space="preserve">and / or </w:t>
            </w:r>
            <m:oMath>
              <m:sSup>
                <m:sSupPr>
                  <m:ctrlPr>
                    <w:rPr>
                      <w:rFonts w:ascii="Cambria Math" w:eastAsia="Batang" w:hAnsi="Cambria Math" w:cs="Times New Roman"/>
                      <w:b/>
                      <w:bCs/>
                      <w:i/>
                      <w:iCs/>
                      <w:lang w:val="en-GB" w:eastAsia="en-US"/>
                    </w:rPr>
                  </m:ctrlPr>
                </m:sSupPr>
                <m:e>
                  <m:r>
                    <m:rPr>
                      <m:sty m:val="bi"/>
                    </m:rPr>
                    <w:rPr>
                      <w:rFonts w:ascii="Cambria Math" w:eastAsia="Batang" w:hAnsi="Cambria Math" w:cs="Times New Roman"/>
                      <w:lang w:val="en-GB" w:eastAsia="en-US"/>
                    </w:rPr>
                    <m:t>Q</m:t>
                  </m:r>
                </m:e>
                <m:sup>
                  <m:r>
                    <m:rPr>
                      <m:sty m:val="bi"/>
                    </m:rPr>
                    <w:rPr>
                      <w:rFonts w:ascii="Cambria Math" w:eastAsia="Batang" w:hAnsi="Cambria Math" w:cs="Times New Roman"/>
                      <w:lang w:val="en-GB" w:eastAsia="en-US"/>
                    </w:rPr>
                    <m:t>l,ν</m:t>
                  </m:r>
                </m:sup>
              </m:sSup>
            </m:oMath>
            <w:r w:rsidR="001112E9" w:rsidRPr="001112E9">
              <w:rPr>
                <w:rFonts w:eastAsia="Batang" w:cs="Times New Roman"/>
                <w:lang w:val="en-GB" w:eastAsia="x-none"/>
              </w:rPr>
              <w:t xml:space="preserve"> is layer-common or layer-specific, rank-common or rank-specific.</w:t>
            </w:r>
          </w:p>
          <w:p w14:paraId="5939C0FB" w14:textId="77777777" w:rsidR="001112E9" w:rsidRPr="001112E9" w:rsidRDefault="001112E9" w:rsidP="007E4DE3">
            <w:pPr>
              <w:numPr>
                <w:ilvl w:val="0"/>
                <w:numId w:val="11"/>
              </w:numPr>
              <w:suppressAutoHyphens/>
              <w:snapToGrid w:val="0"/>
              <w:spacing w:before="120" w:after="120"/>
              <w:jc w:val="both"/>
              <w:rPr>
                <w:rFonts w:eastAsia="Batang" w:cs="Times New Roman"/>
                <w:lang w:val="en-GB" w:eastAsia="x-none"/>
              </w:rPr>
            </w:pPr>
            <w:r w:rsidRPr="001112E9">
              <w:rPr>
                <w:rFonts w:eastAsia="Batang" w:cs="Times New Roman"/>
                <w:lang w:val="en-GB" w:eastAsia="x-none"/>
              </w:rPr>
              <w:t xml:space="preserve">If configured, </w:t>
            </w:r>
            <m:oMath>
              <m:sSubSup>
                <m:sSubSupPr>
                  <m:ctrlPr>
                    <w:rPr>
                      <w:rFonts w:ascii="Cambria Math" w:eastAsia="Batang" w:hAnsi="Cambria Math" w:cs="Times New Roman"/>
                      <w:b/>
                      <w:bCs/>
                      <w:i/>
                      <w:iCs/>
                      <w:lang w:val="en-GB" w:eastAsia="en-US"/>
                    </w:rPr>
                  </m:ctrlPr>
                </m:sSubSupPr>
                <m:e>
                  <m:r>
                    <m:rPr>
                      <m:sty m:val="bi"/>
                    </m:rPr>
                    <w:rPr>
                      <w:rFonts w:ascii="Cambria Math" w:eastAsia="Batang" w:hAnsi="Cambria Math" w:cs="Times New Roman"/>
                      <w:lang w:val="en-GB" w:eastAsia="en-US"/>
                    </w:rPr>
                    <m:t>d</m:t>
                  </m:r>
                </m:e>
                <m:sub>
                  <m:r>
                    <m:rPr>
                      <m:sty m:val="bi"/>
                    </m:rPr>
                    <w:rPr>
                      <w:rFonts w:ascii="Cambria Math" w:eastAsia="Batang" w:hAnsi="Cambria Math" w:cs="Times New Roman"/>
                      <w:lang w:val="en-GB" w:eastAsia="en-US"/>
                    </w:rPr>
                    <m:t>z</m:t>
                  </m:r>
                </m:sub>
                <m:sup>
                  <m:r>
                    <m:rPr>
                      <m:sty m:val="bi"/>
                    </m:rPr>
                    <w:rPr>
                      <w:rFonts w:ascii="Cambria Math" w:eastAsia="Batang" w:hAnsi="Cambria Math" w:cs="Times New Roman"/>
                      <w:lang w:val="en-GB" w:eastAsia="en-US"/>
                    </w:rPr>
                    <m:t>l,ν</m:t>
                  </m:r>
                </m:sup>
              </m:sSubSup>
            </m:oMath>
            <w:r w:rsidRPr="001112E9">
              <w:rPr>
                <w:rFonts w:eastAsia="Batang" w:cs="Times New Roman"/>
                <w:lang w:val="en-GB" w:eastAsia="x-none"/>
              </w:rPr>
              <w:t xml:space="preserve">and / or </w:t>
            </w:r>
            <m:oMath>
              <m:sSup>
                <m:sSupPr>
                  <m:ctrlPr>
                    <w:rPr>
                      <w:rFonts w:ascii="Cambria Math" w:eastAsia="Batang" w:hAnsi="Cambria Math" w:cs="Times New Roman"/>
                      <w:b/>
                      <w:bCs/>
                      <w:i/>
                      <w:iCs/>
                      <w:lang w:val="en-GB" w:eastAsia="en-US"/>
                    </w:rPr>
                  </m:ctrlPr>
                </m:sSupPr>
                <m:e>
                  <m:r>
                    <m:rPr>
                      <m:sty m:val="bi"/>
                    </m:rPr>
                    <w:rPr>
                      <w:rFonts w:ascii="Cambria Math" w:eastAsia="Batang" w:hAnsi="Cambria Math" w:cs="Times New Roman"/>
                      <w:lang w:val="en-GB" w:eastAsia="en-US"/>
                    </w:rPr>
                    <m:t>Q</m:t>
                  </m:r>
                </m:e>
                <m:sup>
                  <m:r>
                    <m:rPr>
                      <m:sty m:val="bi"/>
                    </m:rPr>
                    <w:rPr>
                      <w:rFonts w:ascii="Cambria Math" w:eastAsia="Batang" w:hAnsi="Cambria Math" w:cs="Times New Roman"/>
                      <w:lang w:val="en-GB" w:eastAsia="en-US"/>
                    </w:rPr>
                    <m:t>l,ν</m:t>
                  </m:r>
                </m:sup>
              </m:sSup>
            </m:oMath>
            <w:r w:rsidRPr="001112E9">
              <w:rPr>
                <w:rFonts w:eastAsia="Batang" w:cs="Times New Roman"/>
                <w:lang w:val="en-GB" w:eastAsia="x-none"/>
              </w:rPr>
              <w:t xml:space="preserve"> and / or </w:t>
            </w:r>
            <m:oMath>
              <m:r>
                <m:rPr>
                  <m:sty m:val="bi"/>
                </m:rPr>
                <w:rPr>
                  <w:rFonts w:ascii="Cambria Math" w:eastAsia="Batang" w:hAnsi="Cambria Math" w:cs="Times New Roman"/>
                  <w:lang w:val="en-GB" w:eastAsia="en-US"/>
                </w:rPr>
                <m:t>L</m:t>
              </m:r>
            </m:oMath>
            <w:r w:rsidRPr="001112E9">
              <w:rPr>
                <w:rFonts w:eastAsia="Batang" w:cs="Times New Roman"/>
                <w:lang w:val="en-GB" w:eastAsia="x-none"/>
              </w:rPr>
              <w:t xml:space="preserve"> above are configured separately from pairing ID, or configured by Pairing ID.</w:t>
            </w:r>
          </w:p>
          <w:p w14:paraId="17AD3BAC" w14:textId="77777777" w:rsidR="001112E9" w:rsidRPr="001112E9" w:rsidRDefault="001112E9" w:rsidP="007E4DE3">
            <w:pPr>
              <w:numPr>
                <w:ilvl w:val="1"/>
                <w:numId w:val="11"/>
              </w:numPr>
              <w:suppressAutoHyphens/>
              <w:snapToGrid w:val="0"/>
              <w:spacing w:before="120" w:after="120"/>
              <w:jc w:val="both"/>
              <w:rPr>
                <w:rFonts w:eastAsia="Batang" w:cs="Times New Roman"/>
                <w:lang w:val="en-GB" w:eastAsia="x-none"/>
              </w:rPr>
            </w:pPr>
            <w:r w:rsidRPr="001112E9">
              <w:rPr>
                <w:rFonts w:eastAsia="Batang" w:cs="Times New Roman"/>
                <w:lang w:val="en-GB" w:eastAsia="x-none"/>
              </w:rPr>
              <w:t xml:space="preserve">The configuration may be via other parameters which are used to derive </w:t>
            </w:r>
            <m:oMath>
              <m:sSubSup>
                <m:sSubSupPr>
                  <m:ctrlPr>
                    <w:rPr>
                      <w:rFonts w:ascii="Cambria Math" w:eastAsia="Batang" w:hAnsi="Cambria Math" w:cs="Times New Roman"/>
                      <w:b/>
                      <w:bCs/>
                      <w:i/>
                      <w:iCs/>
                      <w:lang w:val="en-GB" w:eastAsia="en-US"/>
                    </w:rPr>
                  </m:ctrlPr>
                </m:sSubSupPr>
                <m:e>
                  <m:r>
                    <m:rPr>
                      <m:sty m:val="bi"/>
                    </m:rPr>
                    <w:rPr>
                      <w:rFonts w:ascii="Cambria Math" w:eastAsia="Batang" w:hAnsi="Cambria Math" w:cs="Times New Roman"/>
                      <w:lang w:val="en-GB" w:eastAsia="en-US"/>
                    </w:rPr>
                    <m:t>d</m:t>
                  </m:r>
                </m:e>
                <m:sub>
                  <m:r>
                    <m:rPr>
                      <m:sty m:val="bi"/>
                    </m:rPr>
                    <w:rPr>
                      <w:rFonts w:ascii="Cambria Math" w:eastAsia="Batang" w:hAnsi="Cambria Math" w:cs="Times New Roman"/>
                      <w:lang w:val="en-GB" w:eastAsia="en-US"/>
                    </w:rPr>
                    <m:t>z</m:t>
                  </m:r>
                </m:sub>
                <m:sup>
                  <m:r>
                    <m:rPr>
                      <m:sty m:val="bi"/>
                    </m:rPr>
                    <w:rPr>
                      <w:rFonts w:ascii="Cambria Math" w:eastAsia="Batang" w:hAnsi="Cambria Math" w:cs="Times New Roman"/>
                      <w:lang w:val="en-GB" w:eastAsia="en-US"/>
                    </w:rPr>
                    <m:t>l,ν</m:t>
                  </m:r>
                </m:sup>
              </m:sSubSup>
            </m:oMath>
            <w:r w:rsidRPr="001112E9">
              <w:rPr>
                <w:rFonts w:eastAsia="Batang" w:cs="Times New Roman"/>
                <w:lang w:val="en-GB" w:eastAsia="x-none"/>
              </w:rPr>
              <w:t xml:space="preserve">, L and </w:t>
            </w:r>
            <m:oMath>
              <m:sSup>
                <m:sSupPr>
                  <m:ctrlPr>
                    <w:rPr>
                      <w:rFonts w:ascii="Cambria Math" w:eastAsia="Batang" w:hAnsi="Cambria Math" w:cs="Times New Roman"/>
                      <w:b/>
                      <w:bCs/>
                      <w:i/>
                      <w:iCs/>
                      <w:lang w:val="en-GB" w:eastAsia="en-US"/>
                    </w:rPr>
                  </m:ctrlPr>
                </m:sSupPr>
                <m:e>
                  <m:r>
                    <m:rPr>
                      <m:sty m:val="bi"/>
                    </m:rPr>
                    <w:rPr>
                      <w:rFonts w:ascii="Cambria Math" w:eastAsia="Batang" w:hAnsi="Cambria Math" w:cs="Times New Roman"/>
                      <w:lang w:val="en-GB" w:eastAsia="en-US"/>
                    </w:rPr>
                    <m:t>Q</m:t>
                  </m:r>
                </m:e>
                <m:sup>
                  <m:r>
                    <m:rPr>
                      <m:sty m:val="bi"/>
                    </m:rPr>
                    <w:rPr>
                      <w:rFonts w:ascii="Cambria Math" w:eastAsia="Batang" w:hAnsi="Cambria Math" w:cs="Times New Roman"/>
                      <w:lang w:val="en-GB" w:eastAsia="en-US"/>
                    </w:rPr>
                    <m:t>l,ν</m:t>
                  </m:r>
                </m:sup>
              </m:sSup>
            </m:oMath>
            <w:r w:rsidRPr="001112E9">
              <w:rPr>
                <w:rFonts w:eastAsia="Batang" w:cs="Times New Roman"/>
                <w:lang w:val="en-GB" w:eastAsia="x-none"/>
              </w:rPr>
              <w:t>.</w:t>
            </w:r>
          </w:p>
          <w:p w14:paraId="6BD6EAD5" w14:textId="77777777" w:rsidR="001112E9" w:rsidRPr="001112E9" w:rsidRDefault="001112E9" w:rsidP="00EF38CE">
            <w:pPr>
              <w:snapToGrid w:val="0"/>
              <w:spacing w:before="120" w:after="120"/>
              <w:jc w:val="both"/>
              <w:rPr>
                <w:rFonts w:eastAsia="Batang" w:cs="Times New Roman"/>
                <w:lang w:val="en-GB" w:eastAsia="en-US"/>
              </w:rPr>
            </w:pPr>
            <w:r w:rsidRPr="001112E9">
              <w:rPr>
                <w:rFonts w:eastAsia="Batang" w:cs="Times New Roman"/>
                <w:lang w:val="en-GB" w:eastAsia="en-US"/>
              </w:rPr>
              <w:t>Note: Consider limiting the total number of possible payload sizes considering the inter-vendor training challenges.</w:t>
            </w:r>
          </w:p>
          <w:p w14:paraId="2EFBD3CF" w14:textId="77777777" w:rsidR="001112E9" w:rsidRPr="001112E9" w:rsidRDefault="001112E9" w:rsidP="00EF38CE">
            <w:pPr>
              <w:snapToGrid w:val="0"/>
              <w:spacing w:before="120" w:after="120"/>
              <w:jc w:val="both"/>
              <w:rPr>
                <w:rFonts w:eastAsia="Batang" w:cs="Times New Roman"/>
                <w:lang w:val="en-GB" w:eastAsia="en-US"/>
              </w:rPr>
            </w:pPr>
            <w:r w:rsidRPr="001112E9">
              <w:rPr>
                <w:rFonts w:eastAsia="Batang" w:cs="Times New Roman"/>
                <w:lang w:val="en-GB" w:eastAsia="en-US"/>
              </w:rPr>
              <w:t xml:space="preserve">Note: </w:t>
            </w:r>
            <m:oMath>
              <m:sSubSup>
                <m:sSubSupPr>
                  <m:ctrlPr>
                    <w:rPr>
                      <w:rFonts w:ascii="Cambria Math" w:eastAsia="Batang" w:hAnsi="Cambria Math" w:cs="Times New Roman"/>
                      <w:b/>
                      <w:bCs/>
                      <w:i/>
                      <w:iCs/>
                      <w:lang w:val="en-GB" w:eastAsia="en-US"/>
                    </w:rPr>
                  </m:ctrlPr>
                </m:sSubSupPr>
                <m:e>
                  <m:r>
                    <m:rPr>
                      <m:sty m:val="bi"/>
                    </m:rPr>
                    <w:rPr>
                      <w:rFonts w:ascii="Cambria Math" w:eastAsia="Batang" w:hAnsi="Cambria Math" w:cs="Times New Roman"/>
                      <w:lang w:val="en-GB" w:eastAsia="en-US"/>
                    </w:rPr>
                    <m:t>d</m:t>
                  </m:r>
                </m:e>
                <m:sub>
                  <m:r>
                    <m:rPr>
                      <m:sty m:val="bi"/>
                    </m:rPr>
                    <w:rPr>
                      <w:rFonts w:ascii="Cambria Math" w:eastAsia="Batang" w:hAnsi="Cambria Math" w:cs="Times New Roman"/>
                      <w:lang w:val="en-GB" w:eastAsia="en-US"/>
                    </w:rPr>
                    <m:t>z</m:t>
                  </m:r>
                </m:sub>
                <m:sup>
                  <m:r>
                    <m:rPr>
                      <m:sty m:val="bi"/>
                    </m:rPr>
                    <w:rPr>
                      <w:rFonts w:ascii="Cambria Math" w:eastAsia="Batang" w:hAnsi="Cambria Math" w:cs="Times New Roman"/>
                      <w:lang w:val="en-GB" w:eastAsia="en-US"/>
                    </w:rPr>
                    <m:t>l,ν</m:t>
                  </m:r>
                </m:sup>
              </m:sSubSup>
            </m:oMath>
            <w:r w:rsidRPr="001112E9">
              <w:rPr>
                <w:rFonts w:eastAsia="Batang" w:cs="Times New Roman"/>
                <w:lang w:val="en-GB" w:eastAsia="en-US"/>
              </w:rPr>
              <w:t xml:space="preserve">, </w:t>
            </w:r>
            <m:oMath>
              <m:sSup>
                <m:sSupPr>
                  <m:ctrlPr>
                    <w:rPr>
                      <w:rFonts w:ascii="Cambria Math" w:eastAsia="Batang" w:hAnsi="Cambria Math" w:cs="Times New Roman"/>
                      <w:b/>
                      <w:bCs/>
                      <w:i/>
                      <w:iCs/>
                      <w:lang w:val="en-GB" w:eastAsia="en-US"/>
                    </w:rPr>
                  </m:ctrlPr>
                </m:sSupPr>
                <m:e>
                  <m:r>
                    <m:rPr>
                      <m:sty m:val="bi"/>
                    </m:rPr>
                    <w:rPr>
                      <w:rFonts w:ascii="Cambria Math" w:eastAsia="Batang" w:hAnsi="Cambria Math" w:cs="Times New Roman"/>
                      <w:lang w:val="en-GB" w:eastAsia="en-US"/>
                    </w:rPr>
                    <m:t>Q</m:t>
                  </m:r>
                </m:e>
                <m:sup>
                  <m:r>
                    <m:rPr>
                      <m:sty m:val="bi"/>
                    </m:rPr>
                    <w:rPr>
                      <w:rFonts w:ascii="Cambria Math" w:eastAsia="Batang" w:hAnsi="Cambria Math" w:cs="Times New Roman"/>
                      <w:lang w:val="en-GB" w:eastAsia="en-US"/>
                    </w:rPr>
                    <m:t>l,ν</m:t>
                  </m:r>
                </m:sup>
              </m:sSup>
            </m:oMath>
            <w:r w:rsidRPr="001112E9">
              <w:rPr>
                <w:rFonts w:eastAsia="Batang" w:cs="Times New Roman"/>
                <w:lang w:val="en-GB" w:eastAsia="en-US"/>
              </w:rPr>
              <w:t xml:space="preserve"> and </w:t>
            </w:r>
            <m:oMath>
              <m:r>
                <m:rPr>
                  <m:sty m:val="bi"/>
                </m:rPr>
                <w:rPr>
                  <w:rFonts w:ascii="Cambria Math" w:eastAsia="Batang" w:hAnsi="Cambria Math" w:cs="Times New Roman"/>
                  <w:lang w:val="en-GB" w:eastAsia="en-US"/>
                </w:rPr>
                <m:t>L</m:t>
              </m:r>
            </m:oMath>
            <w:r w:rsidRPr="001112E9">
              <w:rPr>
                <w:rFonts w:eastAsia="Batang" w:cs="Times New Roman"/>
                <w:lang w:val="en-GB" w:eastAsia="en-US"/>
              </w:rPr>
              <w:t xml:space="preserve"> are independent on subband and port configurations, </w:t>
            </w:r>
          </w:p>
          <w:p w14:paraId="29012F05" w14:textId="77777777" w:rsidR="009F1EA4" w:rsidRPr="00E43D3D" w:rsidRDefault="001112E9" w:rsidP="007E4DE3">
            <w:pPr>
              <w:numPr>
                <w:ilvl w:val="0"/>
                <w:numId w:val="12"/>
              </w:numPr>
              <w:suppressAutoHyphens/>
              <w:snapToGrid w:val="0"/>
              <w:spacing w:before="120" w:after="120"/>
              <w:jc w:val="both"/>
              <w:rPr>
                <w:rFonts w:eastAsia="Batang" w:cs="Times New Roman"/>
                <w:lang w:val="en-GB" w:eastAsia="x-none"/>
              </w:rPr>
            </w:pPr>
            <w:r w:rsidRPr="00E43D3D">
              <w:rPr>
                <w:rFonts w:eastAsia="Batang" w:cs="Times New Roman"/>
                <w:lang w:val="en-GB" w:eastAsia="x-none"/>
              </w:rPr>
              <w:t xml:space="preserve">FFS each combination of </w:t>
            </w:r>
            <m:oMath>
              <m:sSubSup>
                <m:sSubSupPr>
                  <m:ctrlPr>
                    <w:rPr>
                      <w:rFonts w:ascii="Cambria Math" w:eastAsia="Batang" w:hAnsi="Cambria Math" w:cs="Times New Roman"/>
                      <w:b/>
                      <w:bCs/>
                      <w:i/>
                      <w:iCs/>
                      <w:lang w:val="en-GB" w:eastAsia="en-US"/>
                    </w:rPr>
                  </m:ctrlPr>
                </m:sSubSupPr>
                <m:e>
                  <m:r>
                    <m:rPr>
                      <m:sty m:val="bi"/>
                    </m:rPr>
                    <w:rPr>
                      <w:rFonts w:ascii="Cambria Math" w:eastAsia="Batang" w:hAnsi="Cambria Math" w:cs="Times New Roman"/>
                      <w:lang w:val="en-GB" w:eastAsia="en-US"/>
                    </w:rPr>
                    <m:t>d</m:t>
                  </m:r>
                </m:e>
                <m:sub>
                  <m:r>
                    <m:rPr>
                      <m:sty m:val="bi"/>
                    </m:rPr>
                    <w:rPr>
                      <w:rFonts w:ascii="Cambria Math" w:eastAsia="Batang" w:hAnsi="Cambria Math" w:cs="Times New Roman"/>
                      <w:lang w:val="en-GB" w:eastAsia="en-US"/>
                    </w:rPr>
                    <m:t>z</m:t>
                  </m:r>
                </m:sub>
                <m:sup>
                  <m:r>
                    <m:rPr>
                      <m:sty m:val="bi"/>
                    </m:rPr>
                    <w:rPr>
                      <w:rFonts w:ascii="Cambria Math" w:eastAsia="Batang" w:hAnsi="Cambria Math" w:cs="Times New Roman"/>
                      <w:lang w:val="en-GB" w:eastAsia="en-US"/>
                    </w:rPr>
                    <m:t>l,ν</m:t>
                  </m:r>
                </m:sup>
              </m:sSubSup>
            </m:oMath>
            <w:r w:rsidRPr="00E43D3D">
              <w:rPr>
                <w:rFonts w:eastAsia="Batang" w:cs="Times New Roman"/>
                <w:lang w:val="en-GB" w:eastAsia="x-none"/>
              </w:rPr>
              <w:t xml:space="preserve">, </w:t>
            </w:r>
            <m:oMath>
              <m:sSup>
                <m:sSupPr>
                  <m:ctrlPr>
                    <w:rPr>
                      <w:rFonts w:ascii="Cambria Math" w:eastAsia="Batang" w:hAnsi="Cambria Math" w:cs="Times New Roman"/>
                      <w:b/>
                      <w:bCs/>
                      <w:i/>
                      <w:iCs/>
                      <w:lang w:val="en-GB" w:eastAsia="en-US"/>
                    </w:rPr>
                  </m:ctrlPr>
                </m:sSupPr>
                <m:e>
                  <m:r>
                    <m:rPr>
                      <m:sty m:val="bi"/>
                    </m:rPr>
                    <w:rPr>
                      <w:rFonts w:ascii="Cambria Math" w:eastAsia="Batang" w:hAnsi="Cambria Math" w:cs="Times New Roman"/>
                      <w:lang w:val="en-GB" w:eastAsia="en-US"/>
                    </w:rPr>
                    <m:t>Q</m:t>
                  </m:r>
                </m:e>
                <m:sup>
                  <m:r>
                    <m:rPr>
                      <m:sty m:val="bi"/>
                    </m:rPr>
                    <w:rPr>
                      <w:rFonts w:ascii="Cambria Math" w:eastAsia="Batang" w:hAnsi="Cambria Math" w:cs="Times New Roman"/>
                      <w:lang w:val="en-GB" w:eastAsia="en-US"/>
                    </w:rPr>
                    <m:t>l,ν</m:t>
                  </m:r>
                </m:sup>
              </m:sSup>
            </m:oMath>
            <w:r w:rsidRPr="00E43D3D">
              <w:rPr>
                <w:rFonts w:eastAsia="Batang" w:cs="Times New Roman"/>
                <w:lang w:val="en-GB" w:eastAsia="x-none"/>
              </w:rPr>
              <w:t xml:space="preserve"> and </w:t>
            </w:r>
            <m:oMath>
              <m:r>
                <m:rPr>
                  <m:sty m:val="bi"/>
                </m:rPr>
                <w:rPr>
                  <w:rFonts w:ascii="Cambria Math" w:eastAsia="Batang" w:hAnsi="Cambria Math" w:cs="Times New Roman"/>
                  <w:lang w:val="en-GB" w:eastAsia="en-US"/>
                </w:rPr>
                <m:t xml:space="preserve">L </m:t>
              </m:r>
            </m:oMath>
            <w:r w:rsidRPr="00E43D3D">
              <w:rPr>
                <w:rFonts w:eastAsia="Batang" w:cs="Times New Roman"/>
                <w:lang w:val="en-GB" w:eastAsia="x-none"/>
              </w:rPr>
              <w:t>is applicable to a certain set of subband and port configurations.</w:t>
            </w:r>
          </w:p>
          <w:p w14:paraId="23B66AA6" w14:textId="77777777" w:rsidR="009971CC" w:rsidRPr="00375AE7" w:rsidRDefault="009971CC" w:rsidP="00EF38CE">
            <w:pPr>
              <w:snapToGrid w:val="0"/>
              <w:spacing w:before="120" w:after="120"/>
              <w:jc w:val="both"/>
              <w:rPr>
                <w:rFonts w:eastAsia="等线" w:cs="Times New Roman"/>
                <w:b/>
                <w:bCs/>
                <w:lang w:val="en-GB"/>
              </w:rPr>
            </w:pPr>
            <w:r w:rsidRPr="00375AE7">
              <w:rPr>
                <w:rFonts w:eastAsia="等线" w:cs="Times New Roman" w:hint="eastAsia"/>
                <w:b/>
                <w:bCs/>
                <w:lang w:val="en-GB"/>
              </w:rPr>
              <w:t>Agreement</w:t>
            </w:r>
            <w:r w:rsidRPr="00375AE7">
              <w:rPr>
                <w:rFonts w:eastAsia="等线" w:cs="Times New Roman"/>
                <w:b/>
                <w:bCs/>
                <w:lang w:val="en-GB"/>
              </w:rPr>
              <w:t xml:space="preserve"> in RAN1#122</w:t>
            </w:r>
          </w:p>
          <w:p w14:paraId="0E0A6CEA" w14:textId="77777777" w:rsidR="009971CC" w:rsidRPr="00375AE7" w:rsidRDefault="009971CC" w:rsidP="00EF38CE">
            <w:pPr>
              <w:tabs>
                <w:tab w:val="left" w:pos="0"/>
              </w:tabs>
              <w:suppressAutoHyphens/>
              <w:snapToGrid w:val="0"/>
              <w:spacing w:before="120" w:after="120"/>
              <w:jc w:val="both"/>
              <w:rPr>
                <w:rFonts w:eastAsia="Malgun Gothic"/>
                <w:lang w:val="en-GB" w:eastAsia="ko-KR"/>
              </w:rPr>
            </w:pPr>
            <w:r w:rsidRPr="00375AE7">
              <w:rPr>
                <w:rFonts w:eastAsia="Malgun Gothic"/>
                <w:lang w:val="en-GB" w:eastAsia="ko-KR"/>
              </w:rPr>
              <w:t>For inference report configuration, support separate configuration of subband, Tx port and payload size from pairing ID.</w:t>
            </w:r>
          </w:p>
          <w:p w14:paraId="68A48A00" w14:textId="708D73DC" w:rsidR="00375AE7" w:rsidRPr="00375AE7" w:rsidRDefault="00375AE7" w:rsidP="00EF38CE">
            <w:pPr>
              <w:snapToGrid w:val="0"/>
              <w:spacing w:before="120" w:after="120"/>
              <w:jc w:val="both"/>
              <w:rPr>
                <w:rFonts w:eastAsia="等线" w:cs="Times New Roman"/>
                <w:b/>
                <w:bCs/>
                <w:lang w:val="en-GB"/>
              </w:rPr>
            </w:pPr>
            <w:r w:rsidRPr="00375AE7">
              <w:rPr>
                <w:rFonts w:eastAsia="等线" w:cs="Times New Roman" w:hint="eastAsia"/>
                <w:b/>
                <w:bCs/>
                <w:lang w:val="en-GB"/>
              </w:rPr>
              <w:t>Agreement</w:t>
            </w:r>
            <w:r w:rsidRPr="00375AE7">
              <w:rPr>
                <w:rFonts w:eastAsia="等线" w:cs="Times New Roman"/>
                <w:b/>
                <w:bCs/>
                <w:lang w:val="en-GB"/>
              </w:rPr>
              <w:t xml:space="preserve"> in RAN1#122</w:t>
            </w:r>
          </w:p>
          <w:p w14:paraId="1A0B6950" w14:textId="77777777" w:rsidR="00375AE7" w:rsidRPr="00375AE7" w:rsidRDefault="00375AE7" w:rsidP="00EF38CE">
            <w:pPr>
              <w:tabs>
                <w:tab w:val="left" w:pos="0"/>
              </w:tabs>
              <w:suppressAutoHyphens/>
              <w:snapToGrid w:val="0"/>
              <w:spacing w:before="120" w:after="120"/>
              <w:jc w:val="both"/>
              <w:rPr>
                <w:rFonts w:eastAsia="Malgun Gothic"/>
                <w:lang w:val="en-GB" w:eastAsia="ko-KR"/>
              </w:rPr>
            </w:pPr>
            <w:r w:rsidRPr="00375AE7">
              <w:rPr>
                <w:rFonts w:eastAsia="Malgun Gothic"/>
                <w:lang w:val="en-GB" w:eastAsia="ko-KR"/>
              </w:rPr>
              <w:t xml:space="preserve">For quantization codebook used for quantizing the feedback, </w:t>
            </w:r>
          </w:p>
          <w:p w14:paraId="42D3E5A6" w14:textId="3DDA897D" w:rsidR="00375AE7" w:rsidRPr="00375AE7" w:rsidRDefault="00375AE7" w:rsidP="007E4DE3">
            <w:pPr>
              <w:numPr>
                <w:ilvl w:val="0"/>
                <w:numId w:val="12"/>
              </w:numPr>
              <w:suppressAutoHyphens/>
              <w:snapToGrid w:val="0"/>
              <w:spacing w:before="120" w:after="120"/>
              <w:jc w:val="both"/>
              <w:rPr>
                <w:rFonts w:eastAsia="Batang" w:cs="Times New Roman"/>
                <w:lang w:val="en-GB" w:eastAsia="x-none"/>
              </w:rPr>
            </w:pPr>
            <w:r w:rsidRPr="00375AE7">
              <w:rPr>
                <w:rFonts w:eastAsia="Batang" w:cs="Times New Roman"/>
                <w:lang w:val="en-GB" w:eastAsia="x-none"/>
              </w:rPr>
              <w:t>For inter-vendor collaboration Direction A, select one of the following:</w:t>
            </w:r>
          </w:p>
          <w:p w14:paraId="561DE500" w14:textId="74F61DF2" w:rsidR="00375AE7" w:rsidRPr="00375AE7" w:rsidRDefault="00375AE7" w:rsidP="007E4DE3">
            <w:pPr>
              <w:numPr>
                <w:ilvl w:val="1"/>
                <w:numId w:val="11"/>
              </w:numPr>
              <w:suppressAutoHyphens/>
              <w:snapToGrid w:val="0"/>
              <w:spacing w:before="120" w:after="120"/>
              <w:jc w:val="both"/>
              <w:rPr>
                <w:rFonts w:eastAsia="Batang" w:cs="Times New Roman"/>
                <w:lang w:val="en-GB" w:eastAsia="x-none"/>
              </w:rPr>
            </w:pPr>
            <w:r w:rsidRPr="00375AE7">
              <w:rPr>
                <w:rFonts w:eastAsia="Batang" w:cs="Times New Roman"/>
                <w:lang w:val="en-GB" w:eastAsia="x-none"/>
              </w:rPr>
              <w:t>Alt1: Exchange quantization codebook from NW-side to UE-side along with each exchanged dataset or model parameters</w:t>
            </w:r>
          </w:p>
          <w:p w14:paraId="333CC703" w14:textId="5D2C4B6C" w:rsidR="00375AE7" w:rsidRPr="000E3E4E" w:rsidRDefault="00375AE7" w:rsidP="007E4DE3">
            <w:pPr>
              <w:numPr>
                <w:ilvl w:val="1"/>
                <w:numId w:val="11"/>
              </w:numPr>
              <w:suppressAutoHyphens/>
              <w:snapToGrid w:val="0"/>
              <w:spacing w:before="120" w:after="120"/>
              <w:jc w:val="both"/>
              <w:rPr>
                <w:rFonts w:eastAsia="Batang" w:cs="Times New Roman"/>
                <w:sz w:val="20"/>
                <w:szCs w:val="20"/>
                <w:lang w:val="en-GB" w:eastAsia="x-none"/>
              </w:rPr>
            </w:pPr>
            <w:r w:rsidRPr="00375AE7">
              <w:rPr>
                <w:rFonts w:eastAsia="Batang" w:cs="Times New Roman"/>
                <w:lang w:val="en-GB" w:eastAsia="x-none"/>
              </w:rPr>
              <w:t>Alt2: Use a standardized quantization codebook decided by RAN1.</w:t>
            </w:r>
          </w:p>
        </w:tc>
      </w:tr>
    </w:tbl>
    <w:bookmarkEnd w:id="2"/>
    <w:p w14:paraId="09879965" w14:textId="4B351B87" w:rsidR="000E4166" w:rsidRPr="000E4166" w:rsidRDefault="000E4166" w:rsidP="000E4166">
      <w:pPr>
        <w:overflowPunct w:val="0"/>
        <w:autoSpaceDE w:val="0"/>
        <w:autoSpaceDN w:val="0"/>
        <w:adjustRightInd w:val="0"/>
        <w:snapToGrid w:val="0"/>
        <w:spacing w:before="120" w:after="120"/>
        <w:jc w:val="both"/>
        <w:textAlignment w:val="baseline"/>
        <w:rPr>
          <w:rFonts w:cs="Times New Roman"/>
        </w:rPr>
      </w:pPr>
      <w:r w:rsidRPr="000E4166">
        <w:rPr>
          <w:rFonts w:cs="Times New Roman"/>
        </w:rPr>
        <w:lastRenderedPageBreak/>
        <w:t xml:space="preserve">For the issue that </w:t>
      </w:r>
      <m:oMath>
        <m:sSubSup>
          <m:sSubSupPr>
            <m:ctrlPr>
              <w:rPr>
                <w:rFonts w:ascii="Cambria Math" w:hAnsi="Cambria Math" w:cs="Times New Roman"/>
              </w:rPr>
            </m:ctrlPr>
          </m:sSubSupPr>
          <m:e>
            <m:r>
              <m:rPr>
                <m:sty m:val="p"/>
              </m:rPr>
              <w:rPr>
                <w:rFonts w:ascii="Cambria Math" w:hAnsi="Cambria Math" w:cs="Times New Roman"/>
              </w:rPr>
              <m:t>d</m:t>
            </m:r>
          </m:e>
          <m:sub>
            <m:r>
              <m:rPr>
                <m:sty m:val="p"/>
              </m:rPr>
              <w:rPr>
                <w:rFonts w:ascii="Cambria Math" w:hAnsi="Cambria Math" w:cs="Times New Roman"/>
              </w:rPr>
              <m:t>z</m:t>
            </m:r>
          </m:sub>
          <m:sup>
            <m:r>
              <m:rPr>
                <m:sty m:val="p"/>
              </m:rPr>
              <w:rPr>
                <w:rFonts w:ascii="Cambria Math" w:hAnsi="Cambria Math" w:cs="Times New Roman"/>
              </w:rPr>
              <m:t>l,ν</m:t>
            </m:r>
          </m:sup>
        </m:sSubSup>
      </m:oMath>
      <w:r w:rsidRPr="000E4166">
        <w:rPr>
          <w:rFonts w:cs="Times New Roman"/>
        </w:rPr>
        <w:t xml:space="preserve"> is common or specific for different layers or ranks, our understanding</w:t>
      </w:r>
      <w:r w:rsidR="0042060D">
        <w:rPr>
          <w:rFonts w:cs="Times New Roman"/>
        </w:rPr>
        <w:t>s</w:t>
      </w:r>
      <w:r w:rsidRPr="000E4166">
        <w:rPr>
          <w:rFonts w:cs="Times New Roman"/>
        </w:rPr>
        <w:t xml:space="preserve"> are given as follow:</w:t>
      </w:r>
    </w:p>
    <w:p w14:paraId="7AB63475" w14:textId="7C69DCF8" w:rsidR="000E4166" w:rsidRDefault="000E4166" w:rsidP="000E4166">
      <w:pPr>
        <w:pStyle w:val="aa"/>
        <w:numPr>
          <w:ilvl w:val="0"/>
          <w:numId w:val="17"/>
        </w:numPr>
        <w:overflowPunct w:val="0"/>
        <w:autoSpaceDE w:val="0"/>
        <w:autoSpaceDN w:val="0"/>
        <w:adjustRightInd w:val="0"/>
        <w:snapToGrid w:val="0"/>
        <w:spacing w:before="120" w:after="120"/>
        <w:jc w:val="both"/>
        <w:textAlignment w:val="baseline"/>
        <w:rPr>
          <w:rFonts w:ascii="Times New Roman" w:hAnsi="Times New Roman" w:cs="Times New Roman"/>
        </w:rPr>
      </w:pPr>
      <w:r w:rsidRPr="000E4166">
        <w:rPr>
          <w:rFonts w:ascii="Times New Roman" w:hAnsi="Times New Roman" w:cs="Times New Roman"/>
        </w:rPr>
        <w:t xml:space="preserve">Rank-Common: </w:t>
      </w:r>
      <m:oMath>
        <m:sSubSup>
          <m:sSubSupPr>
            <m:ctrlPr>
              <w:rPr>
                <w:rFonts w:ascii="Cambria Math" w:hAnsi="Cambria Math" w:cs="Times New Roman"/>
              </w:rPr>
            </m:ctrlPr>
          </m:sSubSupPr>
          <m:e>
            <m:r>
              <m:rPr>
                <m:sty m:val="p"/>
              </m:rPr>
              <w:rPr>
                <w:rFonts w:ascii="Cambria Math" w:hAnsi="Cambria Math" w:cs="Times New Roman"/>
              </w:rPr>
              <m:t>d</m:t>
            </m:r>
          </m:e>
          <m:sub>
            <m:r>
              <m:rPr>
                <m:sty m:val="p"/>
              </m:rPr>
              <w:rPr>
                <w:rFonts w:ascii="Cambria Math" w:hAnsi="Cambria Math" w:cs="Times New Roman"/>
              </w:rPr>
              <m:t>z</m:t>
            </m:r>
          </m:sub>
          <m:sup>
            <m:r>
              <m:rPr>
                <m:sty m:val="p"/>
              </m:rPr>
              <w:rPr>
                <w:rFonts w:ascii="Cambria Math" w:hAnsi="Cambria Math" w:cs="Times New Roman"/>
              </w:rPr>
              <m:t>l,ν</m:t>
            </m:r>
          </m:sup>
        </m:sSubSup>
      </m:oMath>
      <w:r w:rsidRPr="000E4166">
        <w:rPr>
          <w:rFonts w:ascii="Times New Roman" w:hAnsi="Times New Roman" w:cs="Times New Roman"/>
        </w:rPr>
        <w:t xml:space="preserve"> is common for different layers </w:t>
      </w:r>
      <w:r w:rsidR="0042060D">
        <w:rPr>
          <w:rFonts w:ascii="Times New Roman" w:hAnsi="Times New Roman" w:cs="Times New Roman"/>
        </w:rPr>
        <w:t>and</w:t>
      </w:r>
      <w:r w:rsidRPr="000E4166">
        <w:rPr>
          <w:rFonts w:ascii="Times New Roman" w:hAnsi="Times New Roman" w:cs="Times New Roman"/>
        </w:rPr>
        <w:t xml:space="preserve"> different ranks</w:t>
      </w:r>
    </w:p>
    <w:p w14:paraId="01C83618" w14:textId="0A023B29" w:rsidR="0042060D" w:rsidRDefault="0042060D" w:rsidP="0042060D">
      <w:pPr>
        <w:pStyle w:val="aa"/>
        <w:numPr>
          <w:ilvl w:val="0"/>
          <w:numId w:val="17"/>
        </w:numPr>
        <w:overflowPunct w:val="0"/>
        <w:autoSpaceDE w:val="0"/>
        <w:autoSpaceDN w:val="0"/>
        <w:adjustRightInd w:val="0"/>
        <w:snapToGrid w:val="0"/>
        <w:spacing w:before="120" w:after="120"/>
        <w:jc w:val="both"/>
        <w:textAlignment w:val="baseline"/>
        <w:rPr>
          <w:rFonts w:ascii="Times New Roman" w:hAnsi="Times New Roman" w:cs="Times New Roman"/>
        </w:rPr>
      </w:pPr>
      <w:r>
        <w:rPr>
          <w:rFonts w:ascii="Times New Roman" w:hAnsi="Times New Roman" w:cs="Times New Roman" w:hint="eastAsia"/>
        </w:rPr>
        <w:lastRenderedPageBreak/>
        <w:t>R</w:t>
      </w:r>
      <w:r>
        <w:rPr>
          <w:rFonts w:ascii="Times New Roman" w:hAnsi="Times New Roman" w:cs="Times New Roman"/>
        </w:rPr>
        <w:t xml:space="preserve">ank-Specific: </w:t>
      </w:r>
      <m:oMath>
        <m:sSubSup>
          <m:sSubSupPr>
            <m:ctrlPr>
              <w:rPr>
                <w:rFonts w:ascii="Cambria Math" w:hAnsi="Cambria Math" w:cs="Times New Roman"/>
              </w:rPr>
            </m:ctrlPr>
          </m:sSubSupPr>
          <m:e>
            <m:r>
              <m:rPr>
                <m:sty m:val="p"/>
              </m:rPr>
              <w:rPr>
                <w:rFonts w:ascii="Cambria Math" w:hAnsi="Cambria Math" w:cs="Times New Roman"/>
              </w:rPr>
              <m:t>d</m:t>
            </m:r>
          </m:e>
          <m:sub>
            <m:r>
              <m:rPr>
                <m:sty m:val="p"/>
              </m:rPr>
              <w:rPr>
                <w:rFonts w:ascii="Cambria Math" w:hAnsi="Cambria Math" w:cs="Times New Roman"/>
              </w:rPr>
              <m:t>z</m:t>
            </m:r>
          </m:sub>
          <m:sup>
            <m:r>
              <m:rPr>
                <m:sty m:val="p"/>
              </m:rPr>
              <w:rPr>
                <w:rFonts w:ascii="Cambria Math" w:hAnsi="Cambria Math" w:cs="Times New Roman"/>
              </w:rPr>
              <m:t>l,ν</m:t>
            </m:r>
          </m:sup>
        </m:sSubSup>
      </m:oMath>
      <w:r w:rsidRPr="000E4166">
        <w:rPr>
          <w:rFonts w:ascii="Times New Roman" w:hAnsi="Times New Roman" w:cs="Times New Roman"/>
        </w:rPr>
        <w:t xml:space="preserve"> </w:t>
      </w:r>
      <w:r>
        <w:rPr>
          <w:rFonts w:ascii="Times New Roman" w:hAnsi="Times New Roman" w:cs="Times New Roman"/>
        </w:rPr>
        <w:t>can be specific</w:t>
      </w:r>
      <w:r w:rsidRPr="000E4166">
        <w:rPr>
          <w:rFonts w:ascii="Times New Roman" w:hAnsi="Times New Roman" w:cs="Times New Roman"/>
        </w:rPr>
        <w:t xml:space="preserve"> for different ranks</w:t>
      </w:r>
      <w:r>
        <w:rPr>
          <w:rFonts w:ascii="Times New Roman" w:hAnsi="Times New Roman" w:cs="Times New Roman"/>
        </w:rPr>
        <w:t xml:space="preserve"> but is the same for different layers</w:t>
      </w:r>
    </w:p>
    <w:p w14:paraId="2C3D893D" w14:textId="0FF4D7F0" w:rsidR="0042060D" w:rsidRDefault="0042060D" w:rsidP="0042060D">
      <w:pPr>
        <w:pStyle w:val="aa"/>
        <w:numPr>
          <w:ilvl w:val="0"/>
          <w:numId w:val="17"/>
        </w:numPr>
        <w:overflowPunct w:val="0"/>
        <w:autoSpaceDE w:val="0"/>
        <w:autoSpaceDN w:val="0"/>
        <w:adjustRightInd w:val="0"/>
        <w:snapToGrid w:val="0"/>
        <w:spacing w:before="120" w:after="120"/>
        <w:jc w:val="both"/>
        <w:textAlignment w:val="baseline"/>
        <w:rPr>
          <w:rFonts w:ascii="Times New Roman" w:hAnsi="Times New Roman" w:cs="Times New Roman"/>
        </w:rPr>
      </w:pPr>
      <w:r>
        <w:rPr>
          <w:rFonts w:ascii="Times New Roman" w:hAnsi="Times New Roman" w:cs="Times New Roman" w:hint="eastAsia"/>
        </w:rPr>
        <w:t>L</w:t>
      </w:r>
      <w:r>
        <w:rPr>
          <w:rFonts w:ascii="Times New Roman" w:hAnsi="Times New Roman" w:cs="Times New Roman"/>
        </w:rPr>
        <w:t xml:space="preserve">ayer-Common: </w:t>
      </w:r>
      <m:oMath>
        <m:sSubSup>
          <m:sSubSupPr>
            <m:ctrlPr>
              <w:rPr>
                <w:rFonts w:ascii="Cambria Math" w:hAnsi="Cambria Math" w:cs="Times New Roman"/>
              </w:rPr>
            </m:ctrlPr>
          </m:sSubSupPr>
          <m:e>
            <m:r>
              <m:rPr>
                <m:sty m:val="p"/>
              </m:rPr>
              <w:rPr>
                <w:rFonts w:ascii="Cambria Math" w:hAnsi="Cambria Math" w:cs="Times New Roman"/>
              </w:rPr>
              <m:t>d</m:t>
            </m:r>
          </m:e>
          <m:sub>
            <m:r>
              <m:rPr>
                <m:sty m:val="p"/>
              </m:rPr>
              <w:rPr>
                <w:rFonts w:ascii="Cambria Math" w:hAnsi="Cambria Math" w:cs="Times New Roman"/>
              </w:rPr>
              <m:t>z</m:t>
            </m:r>
          </m:sub>
          <m:sup>
            <m:r>
              <m:rPr>
                <m:sty m:val="p"/>
              </m:rPr>
              <w:rPr>
                <w:rFonts w:ascii="Cambria Math" w:hAnsi="Cambria Math" w:cs="Times New Roman"/>
              </w:rPr>
              <m:t>l,ν</m:t>
            </m:r>
          </m:sup>
        </m:sSubSup>
      </m:oMath>
      <w:r w:rsidRPr="000E4166">
        <w:rPr>
          <w:rFonts w:ascii="Times New Roman" w:hAnsi="Times New Roman" w:cs="Times New Roman"/>
        </w:rPr>
        <w:t xml:space="preserve"> is </w:t>
      </w:r>
      <w:r>
        <w:rPr>
          <w:rFonts w:ascii="Times New Roman" w:hAnsi="Times New Roman" w:cs="Times New Roman"/>
        </w:rPr>
        <w:t>the same for different layers and can be the specific for different ranks, which is similar to Rank-Specific</w:t>
      </w:r>
    </w:p>
    <w:p w14:paraId="7996589C" w14:textId="1C6B8715" w:rsidR="0042060D" w:rsidRDefault="0042060D" w:rsidP="0042060D">
      <w:pPr>
        <w:pStyle w:val="aa"/>
        <w:numPr>
          <w:ilvl w:val="0"/>
          <w:numId w:val="17"/>
        </w:numPr>
        <w:overflowPunct w:val="0"/>
        <w:autoSpaceDE w:val="0"/>
        <w:autoSpaceDN w:val="0"/>
        <w:adjustRightInd w:val="0"/>
        <w:snapToGrid w:val="0"/>
        <w:spacing w:before="120" w:after="120"/>
        <w:jc w:val="both"/>
        <w:textAlignment w:val="baseline"/>
        <w:rPr>
          <w:rFonts w:ascii="Times New Roman" w:hAnsi="Times New Roman" w:cs="Times New Roman"/>
        </w:rPr>
      </w:pPr>
      <w:r>
        <w:rPr>
          <w:rFonts w:ascii="Times New Roman" w:hAnsi="Times New Roman" w:cs="Times New Roman" w:hint="eastAsia"/>
        </w:rPr>
        <w:t>L</w:t>
      </w:r>
      <w:r>
        <w:rPr>
          <w:rFonts w:ascii="Times New Roman" w:hAnsi="Times New Roman" w:cs="Times New Roman"/>
        </w:rPr>
        <w:t xml:space="preserve">ayer-Specific: </w:t>
      </w:r>
      <m:oMath>
        <m:sSubSup>
          <m:sSubSupPr>
            <m:ctrlPr>
              <w:rPr>
                <w:rFonts w:ascii="Cambria Math" w:hAnsi="Cambria Math" w:cs="Times New Roman"/>
              </w:rPr>
            </m:ctrlPr>
          </m:sSubSupPr>
          <m:e>
            <m:r>
              <m:rPr>
                <m:sty m:val="p"/>
              </m:rPr>
              <w:rPr>
                <w:rFonts w:ascii="Cambria Math" w:hAnsi="Cambria Math" w:cs="Times New Roman"/>
              </w:rPr>
              <m:t>d</m:t>
            </m:r>
          </m:e>
          <m:sub>
            <m:r>
              <m:rPr>
                <m:sty m:val="p"/>
              </m:rPr>
              <w:rPr>
                <w:rFonts w:ascii="Cambria Math" w:hAnsi="Cambria Math" w:cs="Times New Roman"/>
              </w:rPr>
              <m:t>z</m:t>
            </m:r>
          </m:sub>
          <m:sup>
            <m:r>
              <m:rPr>
                <m:sty m:val="p"/>
              </m:rPr>
              <w:rPr>
                <w:rFonts w:ascii="Cambria Math" w:hAnsi="Cambria Math" w:cs="Times New Roman"/>
              </w:rPr>
              <m:t>l,ν</m:t>
            </m:r>
          </m:sup>
        </m:sSubSup>
      </m:oMath>
      <w:r w:rsidRPr="000E4166">
        <w:rPr>
          <w:rFonts w:ascii="Times New Roman" w:hAnsi="Times New Roman" w:cs="Times New Roman"/>
        </w:rPr>
        <w:t xml:space="preserve"> </w:t>
      </w:r>
      <w:r>
        <w:rPr>
          <w:rFonts w:ascii="Times New Roman" w:hAnsi="Times New Roman" w:cs="Times New Roman"/>
        </w:rPr>
        <w:t>can be specific</w:t>
      </w:r>
      <w:r w:rsidRPr="000E4166">
        <w:rPr>
          <w:rFonts w:ascii="Times New Roman" w:hAnsi="Times New Roman" w:cs="Times New Roman"/>
        </w:rPr>
        <w:t xml:space="preserve"> for different layers </w:t>
      </w:r>
      <w:r>
        <w:rPr>
          <w:rFonts w:ascii="Times New Roman" w:hAnsi="Times New Roman" w:cs="Times New Roman"/>
        </w:rPr>
        <w:t>and</w:t>
      </w:r>
      <w:r w:rsidRPr="000E4166">
        <w:rPr>
          <w:rFonts w:ascii="Times New Roman" w:hAnsi="Times New Roman" w:cs="Times New Roman"/>
        </w:rPr>
        <w:t xml:space="preserve"> different ranks</w:t>
      </w:r>
    </w:p>
    <w:p w14:paraId="44FB54EC" w14:textId="4BC52F48" w:rsidR="0041461D" w:rsidRDefault="0042060D" w:rsidP="0041461D">
      <w:pPr>
        <w:overflowPunct w:val="0"/>
        <w:autoSpaceDE w:val="0"/>
        <w:autoSpaceDN w:val="0"/>
        <w:adjustRightInd w:val="0"/>
        <w:snapToGrid w:val="0"/>
        <w:spacing w:before="120" w:after="120"/>
        <w:jc w:val="both"/>
        <w:textAlignment w:val="baseline"/>
      </w:pPr>
      <w:r>
        <w:rPr>
          <w:rFonts w:cs="Times New Roman" w:hint="eastAsia"/>
        </w:rPr>
        <w:t>I</w:t>
      </w:r>
      <w:r>
        <w:rPr>
          <w:rFonts w:cs="Times New Roman"/>
        </w:rPr>
        <w:t xml:space="preserve">n our views, the </w:t>
      </w:r>
      <w:r>
        <w:rPr>
          <w:rFonts w:cs="Times New Roman" w:hint="eastAsia"/>
        </w:rPr>
        <w:t>L</w:t>
      </w:r>
      <w:r>
        <w:rPr>
          <w:rFonts w:cs="Times New Roman"/>
        </w:rPr>
        <w:t>ayer-Specific is the most flexible, which is applicable for</w:t>
      </w:r>
      <w:r w:rsidR="0041461D">
        <w:rPr>
          <w:rFonts w:cs="Times New Roman"/>
        </w:rPr>
        <w:t xml:space="preserve"> all situations. For example, for the strongest layer, a larger </w:t>
      </w:r>
      <m:oMath>
        <m:sSubSup>
          <m:sSubSupPr>
            <m:ctrlPr>
              <w:rPr>
                <w:rFonts w:ascii="Cambria Math" w:hAnsi="Cambria Math" w:cs="Times New Roman"/>
              </w:rPr>
            </m:ctrlPr>
          </m:sSubSupPr>
          <m:e>
            <m:r>
              <m:rPr>
                <m:sty m:val="p"/>
              </m:rPr>
              <w:rPr>
                <w:rFonts w:ascii="Cambria Math" w:hAnsi="Cambria Math" w:cs="Times New Roman"/>
              </w:rPr>
              <m:t>d</m:t>
            </m:r>
          </m:e>
          <m:sub>
            <m:r>
              <m:rPr>
                <m:sty m:val="p"/>
              </m:rPr>
              <w:rPr>
                <w:rFonts w:ascii="Cambria Math" w:hAnsi="Cambria Math" w:cs="Times New Roman"/>
              </w:rPr>
              <m:t>z</m:t>
            </m:r>
          </m:sub>
          <m:sup>
            <m:r>
              <m:rPr>
                <m:sty m:val="p"/>
              </m:rPr>
              <w:rPr>
                <w:rFonts w:ascii="Cambria Math" w:hAnsi="Cambria Math" w:cs="Times New Roman"/>
              </w:rPr>
              <m:t>l,ν</m:t>
            </m:r>
          </m:sup>
        </m:sSubSup>
      </m:oMath>
      <w:r w:rsidR="0041461D">
        <w:rPr>
          <w:rFonts w:cs="Times New Roman" w:hint="eastAsia"/>
        </w:rPr>
        <w:t xml:space="preserve"> </w:t>
      </w:r>
      <w:r w:rsidR="0041461D">
        <w:rPr>
          <w:rFonts w:cs="Times New Roman"/>
        </w:rPr>
        <w:t xml:space="preserve">can be configured so that more information can be included in </w:t>
      </w:r>
      <m:oMath>
        <m:sSup>
          <m:sSupPr>
            <m:ctrlPr>
              <w:rPr>
                <w:rFonts w:ascii="Cambria Math" w:hAnsi="Cambria Math"/>
                <w:i/>
              </w:rPr>
            </m:ctrlPr>
          </m:sSupPr>
          <m:e>
            <m:r>
              <w:rPr>
                <w:rFonts w:ascii="Cambria Math" w:hAnsi="Cambria Math"/>
              </w:rPr>
              <m:t>z</m:t>
            </m:r>
          </m:e>
          <m:sup>
            <m:r>
              <w:rPr>
                <w:rFonts w:ascii="Cambria Math" w:hAnsi="Cambria Math"/>
              </w:rPr>
              <m:t>l</m:t>
            </m:r>
          </m:sup>
        </m:sSup>
      </m:oMath>
      <w:r w:rsidR="0041461D">
        <w:rPr>
          <w:rFonts w:cs="Times New Roman" w:hint="eastAsia"/>
        </w:rPr>
        <w:t xml:space="preserve"> </w:t>
      </w:r>
      <w:r w:rsidR="0041461D">
        <w:rPr>
          <w:rFonts w:cs="Times New Roman"/>
        </w:rPr>
        <w:t>for better reconstruction at NW-side. However, th</w:t>
      </w:r>
      <w:r w:rsidR="00B165AC">
        <w:rPr>
          <w:rFonts w:cs="Times New Roman"/>
        </w:rPr>
        <w:t>is</w:t>
      </w:r>
      <w:r w:rsidR="0041461D">
        <w:rPr>
          <w:rFonts w:cs="Times New Roman"/>
        </w:rPr>
        <w:t xml:space="preserve"> option may depend on the UE’s capability, e.g., model’s scalability, and </w:t>
      </w:r>
      <w:r w:rsidR="0041461D">
        <w:t xml:space="preserve">it may not be feasible to standardize the scalability. </w:t>
      </w:r>
    </w:p>
    <w:p w14:paraId="4CB81D24" w14:textId="0A4B936B" w:rsidR="0041461D" w:rsidRPr="00B165AC" w:rsidRDefault="0041461D" w:rsidP="00B165AC">
      <w:pPr>
        <w:pStyle w:val="a0"/>
        <w:snapToGrid w:val="0"/>
        <w:spacing w:before="120"/>
        <w:jc w:val="both"/>
        <w:rPr>
          <w:b/>
          <w:bCs/>
          <w:i/>
        </w:rPr>
      </w:pPr>
      <w:r w:rsidRPr="00280D9F">
        <w:rPr>
          <w:rFonts w:eastAsia="Times New Roman" w:cs="Times New Roman"/>
          <w:b/>
          <w:bCs/>
          <w:i/>
        </w:rPr>
        <w:t>Proposal</w:t>
      </w:r>
      <w:r>
        <w:rPr>
          <w:rFonts w:eastAsia="Times New Roman" w:cs="Times New Roman"/>
          <w:b/>
          <w:bCs/>
          <w:i/>
        </w:rPr>
        <w:t xml:space="preserve"> 1</w:t>
      </w:r>
      <w:r>
        <w:rPr>
          <w:b/>
          <w:bCs/>
          <w:i/>
        </w:rPr>
        <w:t>:</w:t>
      </w:r>
      <w:r w:rsidRPr="00F53B67">
        <w:t xml:space="preserve"> </w:t>
      </w:r>
      <w:r>
        <w:rPr>
          <w:b/>
          <w:bCs/>
          <w:i/>
        </w:rPr>
        <w:t xml:space="preserve">That </w:t>
      </w:r>
      <m:oMath>
        <m:sSubSup>
          <m:sSubSupPr>
            <m:ctrlPr>
              <w:rPr>
                <w:rFonts w:ascii="Cambria Math" w:hAnsi="Cambria Math" w:cs="Times New Roman"/>
                <w:i/>
              </w:rPr>
            </m:ctrlPr>
          </m:sSubSupPr>
          <m:e>
            <m:r>
              <w:rPr>
                <w:rFonts w:ascii="Cambria Math" w:hAnsi="Cambria Math" w:cs="Times New Roman"/>
              </w:rPr>
              <m:t>d</m:t>
            </m:r>
          </m:e>
          <m:sub>
            <m:r>
              <w:rPr>
                <w:rFonts w:ascii="Cambria Math" w:hAnsi="Cambria Math" w:cs="Times New Roman"/>
              </w:rPr>
              <m:t>z</m:t>
            </m:r>
          </m:sub>
          <m:sup>
            <m:r>
              <w:rPr>
                <w:rFonts w:ascii="Cambria Math" w:hAnsi="Cambria Math" w:cs="Times New Roman"/>
              </w:rPr>
              <m:t>l,ν</m:t>
            </m:r>
          </m:sup>
        </m:sSubSup>
      </m:oMath>
      <w:r w:rsidRPr="000E4166">
        <w:rPr>
          <w:rFonts w:cs="Times New Roman"/>
        </w:rPr>
        <w:t xml:space="preserve"> is common or specific for different layers or ranks</w:t>
      </w:r>
      <w:r w:rsidR="00B165AC">
        <w:rPr>
          <w:rFonts w:cs="Times New Roman"/>
        </w:rPr>
        <w:t xml:space="preserve"> is depend</w:t>
      </w:r>
      <w:r w:rsidR="00C82EE6">
        <w:rPr>
          <w:rFonts w:cs="Times New Roman"/>
        </w:rPr>
        <w:t>ed</w:t>
      </w:r>
      <w:r w:rsidR="00B165AC">
        <w:rPr>
          <w:rFonts w:cs="Times New Roman"/>
        </w:rPr>
        <w:t xml:space="preserve"> on the UE’s capability reporting.</w:t>
      </w:r>
    </w:p>
    <w:p w14:paraId="59F23E9C" w14:textId="19CD8C73" w:rsidR="00AF7E6B" w:rsidRPr="00327D4F" w:rsidRDefault="008B6DD9" w:rsidP="00EF38CE">
      <w:pPr>
        <w:pStyle w:val="a0"/>
        <w:snapToGrid w:val="0"/>
        <w:spacing w:before="120"/>
        <w:jc w:val="both"/>
        <w:rPr>
          <w:rFonts w:eastAsiaTheme="minorEastAsia"/>
          <w:bCs/>
        </w:rPr>
      </w:pPr>
      <w:r w:rsidRPr="008B6DD9">
        <w:rPr>
          <w:rFonts w:hint="eastAsia"/>
          <w:bCs/>
        </w:rPr>
        <w:t>F</w:t>
      </w:r>
      <w:r w:rsidRPr="008B6DD9">
        <w:rPr>
          <w:bCs/>
        </w:rPr>
        <w:t xml:space="preserve">or another FFS that </w:t>
      </w:r>
      <w:r w:rsidRPr="008B6DD9">
        <w:rPr>
          <w:rFonts w:eastAsia="Batang" w:cs="Times New Roman"/>
          <w:lang w:val="en-GB" w:eastAsia="x-none"/>
        </w:rPr>
        <w:t xml:space="preserve">each combination of </w:t>
      </w:r>
      <m:oMath>
        <m:sSubSup>
          <m:sSubSupPr>
            <m:ctrlPr>
              <w:rPr>
                <w:rFonts w:ascii="Cambria Math" w:eastAsia="Batang" w:hAnsi="Cambria Math" w:cs="Times New Roman"/>
                <w:bCs/>
                <w:i/>
                <w:iCs/>
                <w:lang w:val="en-GB" w:eastAsia="en-US"/>
              </w:rPr>
            </m:ctrlPr>
          </m:sSubSupPr>
          <m:e>
            <m:r>
              <w:rPr>
                <w:rFonts w:ascii="Cambria Math" w:eastAsia="Batang" w:hAnsi="Cambria Math" w:cs="Times New Roman"/>
                <w:lang w:val="en-GB" w:eastAsia="en-US"/>
              </w:rPr>
              <m:t>d</m:t>
            </m:r>
          </m:e>
          <m:sub>
            <m:r>
              <w:rPr>
                <w:rFonts w:ascii="Cambria Math" w:eastAsia="Batang" w:hAnsi="Cambria Math" w:cs="Times New Roman"/>
                <w:lang w:val="en-GB" w:eastAsia="en-US"/>
              </w:rPr>
              <m:t>z</m:t>
            </m:r>
          </m:sub>
          <m:sup>
            <m:r>
              <w:rPr>
                <w:rFonts w:ascii="Cambria Math" w:eastAsia="Batang" w:hAnsi="Cambria Math" w:cs="Times New Roman"/>
                <w:lang w:val="en-GB" w:eastAsia="en-US"/>
              </w:rPr>
              <m:t>l,ν</m:t>
            </m:r>
          </m:sup>
        </m:sSubSup>
      </m:oMath>
      <w:r w:rsidRPr="008B6DD9">
        <w:rPr>
          <w:rFonts w:eastAsia="Batang" w:cs="Times New Roman"/>
          <w:i/>
          <w:lang w:val="en-GB" w:eastAsia="x-none"/>
        </w:rPr>
        <w:t xml:space="preserve">, </w:t>
      </w:r>
      <m:oMath>
        <m:sSup>
          <m:sSupPr>
            <m:ctrlPr>
              <w:rPr>
                <w:rFonts w:ascii="Cambria Math" w:eastAsia="Batang" w:hAnsi="Cambria Math" w:cs="Times New Roman"/>
                <w:bCs/>
                <w:i/>
                <w:iCs/>
                <w:lang w:val="en-GB" w:eastAsia="en-US"/>
              </w:rPr>
            </m:ctrlPr>
          </m:sSupPr>
          <m:e>
            <m:r>
              <w:rPr>
                <w:rFonts w:ascii="Cambria Math" w:eastAsia="Batang" w:hAnsi="Cambria Math" w:cs="Times New Roman"/>
                <w:lang w:val="en-GB" w:eastAsia="en-US"/>
              </w:rPr>
              <m:t>Q</m:t>
            </m:r>
          </m:e>
          <m:sup>
            <m:r>
              <w:rPr>
                <w:rFonts w:ascii="Cambria Math" w:eastAsia="Batang" w:hAnsi="Cambria Math" w:cs="Times New Roman"/>
                <w:lang w:val="en-GB" w:eastAsia="en-US"/>
              </w:rPr>
              <m:t>l,ν</m:t>
            </m:r>
          </m:sup>
        </m:sSup>
      </m:oMath>
      <w:r w:rsidRPr="008B6DD9">
        <w:rPr>
          <w:rFonts w:eastAsia="Batang" w:cs="Times New Roman"/>
          <w:lang w:val="en-GB" w:eastAsia="x-none"/>
        </w:rPr>
        <w:t xml:space="preserve"> and </w:t>
      </w:r>
      <m:oMath>
        <m:r>
          <w:rPr>
            <w:rFonts w:ascii="Cambria Math" w:eastAsia="Batang" w:hAnsi="Cambria Math" w:cs="Times New Roman"/>
            <w:lang w:val="en-GB" w:eastAsia="en-US"/>
          </w:rPr>
          <m:t xml:space="preserve">L </m:t>
        </m:r>
      </m:oMath>
      <w:r w:rsidRPr="008B6DD9">
        <w:rPr>
          <w:rFonts w:eastAsia="Batang" w:cs="Times New Roman"/>
          <w:lang w:val="en-GB" w:eastAsia="x-none"/>
        </w:rPr>
        <w:t>is applicable to a certain set of subband and port configurations,</w:t>
      </w:r>
      <w:r>
        <w:rPr>
          <w:rFonts w:eastAsia="Batang" w:cs="Times New Roman"/>
          <w:lang w:val="en-GB" w:eastAsia="x-none"/>
        </w:rPr>
        <w:t xml:space="preserve"> in our understanding, for</w:t>
      </w:r>
      <w:r w:rsidR="00520F91">
        <w:rPr>
          <w:rFonts w:eastAsia="Batang" w:cs="Times New Roman"/>
          <w:lang w:val="en-GB" w:eastAsia="x-none"/>
        </w:rPr>
        <w:t xml:space="preserve"> the</w:t>
      </w:r>
      <w:r>
        <w:rPr>
          <w:rFonts w:eastAsia="Batang" w:cs="Times New Roman"/>
          <w:lang w:val="en-GB" w:eastAsia="x-none"/>
        </w:rPr>
        <w:t xml:space="preserve"> precoding matrix </w:t>
      </w:r>
      <w:r w:rsidR="00520F91">
        <w:rPr>
          <w:rFonts w:eastAsia="Batang" w:cs="Times New Roman"/>
          <w:lang w:val="en-GB" w:eastAsia="x-none"/>
        </w:rPr>
        <w:t>with size</w:t>
      </w:r>
      <w:r>
        <w:rPr>
          <w:rFonts w:eastAsia="Batang" w:cs="Times New Roman"/>
          <w:lang w:val="en-GB" w:eastAsia="x-none"/>
        </w:rPr>
        <w:t xml:space="preserve"> [n_subband, n_port, rank], if the size of n_subban</w:t>
      </w:r>
      <w:r w:rsidR="00520F91">
        <w:rPr>
          <w:rFonts w:eastAsia="Batang" w:cs="Times New Roman"/>
          <w:lang w:val="en-GB" w:eastAsia="x-none"/>
        </w:rPr>
        <w:t>d</w:t>
      </w:r>
      <m:oMath>
        <m:r>
          <m:rPr>
            <m:sty m:val="p"/>
          </m:rPr>
          <w:rPr>
            <w:rFonts w:ascii="Cambria Math" w:eastAsia="Batang" w:hAnsi="Cambria Math" w:cs="Times New Roman"/>
            <w:lang w:val="en-GB" w:eastAsia="x-none"/>
          </w:rPr>
          <m:t>×</m:t>
        </m:r>
      </m:oMath>
      <w:r>
        <w:rPr>
          <w:rFonts w:eastAsia="Batang" w:cs="Times New Roman"/>
          <w:lang w:val="en-GB" w:eastAsia="x-none"/>
        </w:rPr>
        <w:t xml:space="preserve">n_port </w:t>
      </w:r>
      <w:r w:rsidR="00520F91">
        <w:rPr>
          <w:rFonts w:eastAsia="Batang" w:cs="Times New Roman"/>
          <w:lang w:val="en-GB" w:eastAsia="x-none"/>
        </w:rPr>
        <w:t>are the same or at least similar</w:t>
      </w:r>
      <w:r>
        <w:rPr>
          <w:rFonts w:eastAsia="Batang" w:cs="Times New Roman"/>
          <w:lang w:val="en-GB" w:eastAsia="x-none"/>
        </w:rPr>
        <w:t xml:space="preserve"> (e.g., [n_subband=24, n_port=8], or [n_subband=48, n_port=4]), it is natural to apply the same </w:t>
      </w:r>
      <m:oMath>
        <m:sSubSup>
          <m:sSubSupPr>
            <m:ctrlPr>
              <w:rPr>
                <w:rFonts w:ascii="Cambria Math" w:eastAsia="Batang" w:hAnsi="Cambria Math" w:cs="Times New Roman"/>
                <w:bCs/>
                <w:i/>
                <w:iCs/>
                <w:lang w:val="en-GB" w:eastAsia="en-US"/>
              </w:rPr>
            </m:ctrlPr>
          </m:sSubSupPr>
          <m:e>
            <m:r>
              <w:rPr>
                <w:rFonts w:ascii="Cambria Math" w:eastAsia="Batang" w:hAnsi="Cambria Math" w:cs="Times New Roman"/>
                <w:lang w:val="en-GB" w:eastAsia="en-US"/>
              </w:rPr>
              <m:t>d</m:t>
            </m:r>
          </m:e>
          <m:sub>
            <m:r>
              <w:rPr>
                <w:rFonts w:ascii="Cambria Math" w:eastAsia="Batang" w:hAnsi="Cambria Math" w:cs="Times New Roman"/>
                <w:lang w:val="en-GB" w:eastAsia="en-US"/>
              </w:rPr>
              <m:t>z</m:t>
            </m:r>
          </m:sub>
          <m:sup>
            <m:r>
              <w:rPr>
                <w:rFonts w:ascii="Cambria Math" w:eastAsia="Batang" w:hAnsi="Cambria Math" w:cs="Times New Roman"/>
                <w:lang w:val="en-GB" w:eastAsia="en-US"/>
              </w:rPr>
              <m:t>l,ν</m:t>
            </m:r>
          </m:sup>
        </m:sSubSup>
      </m:oMath>
      <w:r w:rsidRPr="008B6DD9">
        <w:rPr>
          <w:rFonts w:eastAsia="Batang" w:cs="Times New Roman"/>
          <w:i/>
          <w:lang w:val="en-GB" w:eastAsia="x-none"/>
        </w:rPr>
        <w:t xml:space="preserve">, </w:t>
      </w:r>
      <m:oMath>
        <m:sSup>
          <m:sSupPr>
            <m:ctrlPr>
              <w:rPr>
                <w:rFonts w:ascii="Cambria Math" w:eastAsia="Batang" w:hAnsi="Cambria Math" w:cs="Times New Roman"/>
                <w:bCs/>
                <w:i/>
                <w:iCs/>
                <w:lang w:val="en-GB" w:eastAsia="en-US"/>
              </w:rPr>
            </m:ctrlPr>
          </m:sSupPr>
          <m:e>
            <m:r>
              <w:rPr>
                <w:rFonts w:ascii="Cambria Math" w:eastAsia="Batang" w:hAnsi="Cambria Math" w:cs="Times New Roman"/>
                <w:lang w:val="en-GB" w:eastAsia="en-US"/>
              </w:rPr>
              <m:t>Q</m:t>
            </m:r>
          </m:e>
          <m:sup>
            <m:r>
              <w:rPr>
                <w:rFonts w:ascii="Cambria Math" w:eastAsia="Batang" w:hAnsi="Cambria Math" w:cs="Times New Roman"/>
                <w:lang w:val="en-GB" w:eastAsia="en-US"/>
              </w:rPr>
              <m:t>l,ν</m:t>
            </m:r>
          </m:sup>
        </m:sSup>
      </m:oMath>
      <w:r w:rsidRPr="008B6DD9">
        <w:rPr>
          <w:rFonts w:eastAsia="Batang" w:cs="Times New Roman"/>
          <w:lang w:val="en-GB" w:eastAsia="x-none"/>
        </w:rPr>
        <w:t xml:space="preserve"> and </w:t>
      </w:r>
      <m:oMath>
        <m:r>
          <w:rPr>
            <w:rFonts w:ascii="Cambria Math" w:eastAsia="Batang" w:hAnsi="Cambria Math" w:cs="Times New Roman"/>
            <w:lang w:val="en-GB" w:eastAsia="en-US"/>
          </w:rPr>
          <m:t>L</m:t>
        </m:r>
      </m:oMath>
      <w:r>
        <w:rPr>
          <w:rFonts w:eastAsiaTheme="minorEastAsia" w:cs="Times New Roman" w:hint="eastAsia"/>
          <w:lang w:val="en-GB"/>
        </w:rPr>
        <w:t xml:space="preserve"> </w:t>
      </w:r>
      <w:r>
        <w:rPr>
          <w:rFonts w:eastAsiaTheme="minorEastAsia" w:cs="Times New Roman"/>
          <w:lang w:val="en-GB"/>
        </w:rPr>
        <w:t xml:space="preserve">since the size of the whole precoding matrix is unchanged. Therefore, it is reasonable that one combination </w:t>
      </w:r>
      <w:r w:rsidRPr="008B6DD9">
        <w:rPr>
          <w:rFonts w:eastAsia="Batang" w:cs="Times New Roman"/>
          <w:lang w:val="en-GB" w:eastAsia="x-none"/>
        </w:rPr>
        <w:t xml:space="preserve">of </w:t>
      </w:r>
      <m:oMath>
        <m:sSubSup>
          <m:sSubSupPr>
            <m:ctrlPr>
              <w:rPr>
                <w:rFonts w:ascii="Cambria Math" w:eastAsia="Batang" w:hAnsi="Cambria Math" w:cs="Times New Roman"/>
                <w:bCs/>
                <w:i/>
                <w:iCs/>
                <w:lang w:val="en-GB" w:eastAsia="en-US"/>
              </w:rPr>
            </m:ctrlPr>
          </m:sSubSupPr>
          <m:e>
            <m:r>
              <w:rPr>
                <w:rFonts w:ascii="Cambria Math" w:eastAsia="Batang" w:hAnsi="Cambria Math" w:cs="Times New Roman"/>
                <w:lang w:val="en-GB" w:eastAsia="en-US"/>
              </w:rPr>
              <m:t>d</m:t>
            </m:r>
          </m:e>
          <m:sub>
            <m:r>
              <w:rPr>
                <w:rFonts w:ascii="Cambria Math" w:eastAsia="Batang" w:hAnsi="Cambria Math" w:cs="Times New Roman"/>
                <w:lang w:val="en-GB" w:eastAsia="en-US"/>
              </w:rPr>
              <m:t>z</m:t>
            </m:r>
          </m:sub>
          <m:sup>
            <m:r>
              <w:rPr>
                <w:rFonts w:ascii="Cambria Math" w:eastAsia="Batang" w:hAnsi="Cambria Math" w:cs="Times New Roman"/>
                <w:lang w:val="en-GB" w:eastAsia="en-US"/>
              </w:rPr>
              <m:t>l,ν</m:t>
            </m:r>
          </m:sup>
        </m:sSubSup>
      </m:oMath>
      <w:r w:rsidRPr="008B6DD9">
        <w:rPr>
          <w:rFonts w:eastAsia="Batang" w:cs="Times New Roman"/>
          <w:i/>
          <w:lang w:val="en-GB" w:eastAsia="x-none"/>
        </w:rPr>
        <w:t xml:space="preserve">, </w:t>
      </w:r>
      <m:oMath>
        <m:sSup>
          <m:sSupPr>
            <m:ctrlPr>
              <w:rPr>
                <w:rFonts w:ascii="Cambria Math" w:eastAsia="Batang" w:hAnsi="Cambria Math" w:cs="Times New Roman"/>
                <w:bCs/>
                <w:i/>
                <w:iCs/>
                <w:lang w:val="en-GB" w:eastAsia="en-US"/>
              </w:rPr>
            </m:ctrlPr>
          </m:sSupPr>
          <m:e>
            <m:r>
              <w:rPr>
                <w:rFonts w:ascii="Cambria Math" w:eastAsia="Batang" w:hAnsi="Cambria Math" w:cs="Times New Roman"/>
                <w:lang w:val="en-GB" w:eastAsia="en-US"/>
              </w:rPr>
              <m:t>Q</m:t>
            </m:r>
          </m:e>
          <m:sup>
            <m:r>
              <w:rPr>
                <w:rFonts w:ascii="Cambria Math" w:eastAsia="Batang" w:hAnsi="Cambria Math" w:cs="Times New Roman"/>
                <w:lang w:val="en-GB" w:eastAsia="en-US"/>
              </w:rPr>
              <m:t>l,ν</m:t>
            </m:r>
          </m:sup>
        </m:sSup>
      </m:oMath>
      <w:r w:rsidRPr="008B6DD9">
        <w:rPr>
          <w:rFonts w:eastAsia="Batang" w:cs="Times New Roman"/>
          <w:lang w:val="en-GB" w:eastAsia="x-none"/>
        </w:rPr>
        <w:t xml:space="preserve"> and </w:t>
      </w:r>
      <m:oMath>
        <m:r>
          <w:rPr>
            <w:rFonts w:ascii="Cambria Math" w:eastAsia="Batang" w:hAnsi="Cambria Math" w:cs="Times New Roman"/>
            <w:lang w:val="en-GB" w:eastAsia="en-US"/>
          </w:rPr>
          <m:t xml:space="preserve">L </m:t>
        </m:r>
      </m:oMath>
      <w:r w:rsidRPr="008B6DD9">
        <w:rPr>
          <w:rFonts w:eastAsia="Batang" w:cs="Times New Roman"/>
          <w:lang w:val="en-GB" w:eastAsia="x-none"/>
        </w:rPr>
        <w:t>is applicable to a certain set of subband and port configurations</w:t>
      </w:r>
      <w:r>
        <w:rPr>
          <w:rFonts w:eastAsia="Batang" w:cs="Times New Roman"/>
          <w:lang w:val="en-GB" w:eastAsia="x-none"/>
        </w:rPr>
        <w:t>.</w:t>
      </w:r>
    </w:p>
    <w:p w14:paraId="54F98050" w14:textId="4B83C947" w:rsidR="002D1C31" w:rsidRDefault="002D1C31" w:rsidP="00EF38CE">
      <w:pPr>
        <w:pStyle w:val="a0"/>
        <w:snapToGrid w:val="0"/>
        <w:spacing w:before="120"/>
        <w:jc w:val="both"/>
        <w:rPr>
          <w:b/>
          <w:bCs/>
          <w:i/>
        </w:rPr>
      </w:pPr>
      <w:r w:rsidRPr="0091549C">
        <w:rPr>
          <w:b/>
          <w:bCs/>
          <w:i/>
        </w:rPr>
        <w:t xml:space="preserve">Proposal </w:t>
      </w:r>
      <w:r w:rsidR="00520F91">
        <w:rPr>
          <w:b/>
          <w:bCs/>
          <w:i/>
        </w:rPr>
        <w:t>2</w:t>
      </w:r>
      <w:r>
        <w:rPr>
          <w:b/>
          <w:bCs/>
          <w:i/>
        </w:rPr>
        <w:t xml:space="preserve">: </w:t>
      </w:r>
      <w:r w:rsidR="00520F91">
        <w:rPr>
          <w:rFonts w:eastAsia="Batang" w:cs="Times New Roman"/>
          <w:lang w:val="en-GB" w:eastAsia="x-none"/>
        </w:rPr>
        <w:t>E</w:t>
      </w:r>
      <w:r w:rsidR="00520F91" w:rsidRPr="00E43D3D">
        <w:rPr>
          <w:rFonts w:eastAsia="Batang" w:cs="Times New Roman"/>
          <w:lang w:val="en-GB" w:eastAsia="x-none"/>
        </w:rPr>
        <w:t xml:space="preserve">ach combination of </w:t>
      </w:r>
      <m:oMath>
        <m:sSubSup>
          <m:sSubSupPr>
            <m:ctrlPr>
              <w:rPr>
                <w:rFonts w:ascii="Cambria Math" w:eastAsia="Batang" w:hAnsi="Cambria Math" w:cs="Times New Roman"/>
                <w:b/>
                <w:bCs/>
                <w:i/>
                <w:iCs/>
                <w:lang w:val="en-GB" w:eastAsia="en-US"/>
              </w:rPr>
            </m:ctrlPr>
          </m:sSubSupPr>
          <m:e>
            <m:r>
              <m:rPr>
                <m:sty m:val="bi"/>
              </m:rPr>
              <w:rPr>
                <w:rFonts w:ascii="Cambria Math" w:eastAsia="Batang" w:hAnsi="Cambria Math" w:cs="Times New Roman"/>
                <w:lang w:val="en-GB" w:eastAsia="en-US"/>
              </w:rPr>
              <m:t>d</m:t>
            </m:r>
          </m:e>
          <m:sub>
            <m:r>
              <m:rPr>
                <m:sty m:val="bi"/>
              </m:rPr>
              <w:rPr>
                <w:rFonts w:ascii="Cambria Math" w:eastAsia="Batang" w:hAnsi="Cambria Math" w:cs="Times New Roman"/>
                <w:lang w:val="en-GB" w:eastAsia="en-US"/>
              </w:rPr>
              <m:t>z</m:t>
            </m:r>
          </m:sub>
          <m:sup>
            <m:r>
              <m:rPr>
                <m:sty m:val="bi"/>
              </m:rPr>
              <w:rPr>
                <w:rFonts w:ascii="Cambria Math" w:eastAsia="Batang" w:hAnsi="Cambria Math" w:cs="Times New Roman"/>
                <w:lang w:val="en-GB" w:eastAsia="en-US"/>
              </w:rPr>
              <m:t>l,ν</m:t>
            </m:r>
          </m:sup>
        </m:sSubSup>
      </m:oMath>
      <w:r w:rsidR="00520F91" w:rsidRPr="00E43D3D">
        <w:rPr>
          <w:rFonts w:eastAsia="Batang" w:cs="Times New Roman"/>
          <w:lang w:val="en-GB" w:eastAsia="x-none"/>
        </w:rPr>
        <w:t xml:space="preserve">, </w:t>
      </w:r>
      <m:oMath>
        <m:sSup>
          <m:sSupPr>
            <m:ctrlPr>
              <w:rPr>
                <w:rFonts w:ascii="Cambria Math" w:eastAsia="Batang" w:hAnsi="Cambria Math" w:cs="Times New Roman"/>
                <w:b/>
                <w:bCs/>
                <w:i/>
                <w:iCs/>
                <w:lang w:val="en-GB" w:eastAsia="en-US"/>
              </w:rPr>
            </m:ctrlPr>
          </m:sSupPr>
          <m:e>
            <m:r>
              <m:rPr>
                <m:sty m:val="bi"/>
              </m:rPr>
              <w:rPr>
                <w:rFonts w:ascii="Cambria Math" w:eastAsia="Batang" w:hAnsi="Cambria Math" w:cs="Times New Roman"/>
                <w:lang w:val="en-GB" w:eastAsia="en-US"/>
              </w:rPr>
              <m:t>Q</m:t>
            </m:r>
          </m:e>
          <m:sup>
            <m:r>
              <m:rPr>
                <m:sty m:val="bi"/>
              </m:rPr>
              <w:rPr>
                <w:rFonts w:ascii="Cambria Math" w:eastAsia="Batang" w:hAnsi="Cambria Math" w:cs="Times New Roman"/>
                <w:lang w:val="en-GB" w:eastAsia="en-US"/>
              </w:rPr>
              <m:t>l,ν</m:t>
            </m:r>
          </m:sup>
        </m:sSup>
      </m:oMath>
      <w:r w:rsidR="00520F91" w:rsidRPr="00E43D3D">
        <w:rPr>
          <w:rFonts w:eastAsia="Batang" w:cs="Times New Roman"/>
          <w:lang w:val="en-GB" w:eastAsia="x-none"/>
        </w:rPr>
        <w:t xml:space="preserve"> and </w:t>
      </w:r>
      <m:oMath>
        <m:r>
          <m:rPr>
            <m:sty m:val="bi"/>
          </m:rPr>
          <w:rPr>
            <w:rFonts w:ascii="Cambria Math" w:eastAsia="Batang" w:hAnsi="Cambria Math" w:cs="Times New Roman"/>
            <w:lang w:val="en-GB" w:eastAsia="en-US"/>
          </w:rPr>
          <m:t xml:space="preserve">L </m:t>
        </m:r>
      </m:oMath>
      <w:r w:rsidR="000C4841">
        <w:rPr>
          <w:rFonts w:eastAsia="Batang" w:cs="Times New Roman"/>
          <w:lang w:val="en-GB" w:eastAsia="x-none"/>
        </w:rPr>
        <w:t>can be</w:t>
      </w:r>
      <w:r w:rsidR="00520F91" w:rsidRPr="00E43D3D">
        <w:rPr>
          <w:rFonts w:eastAsia="Batang" w:cs="Times New Roman"/>
          <w:lang w:val="en-GB" w:eastAsia="x-none"/>
        </w:rPr>
        <w:t xml:space="preserve"> applicable to a certain set of subband and port configurations</w:t>
      </w:r>
      <w:r w:rsidR="00520F91">
        <w:rPr>
          <w:rFonts w:eastAsia="Batang" w:cs="Times New Roman"/>
          <w:lang w:val="en-GB" w:eastAsia="x-none"/>
        </w:rPr>
        <w:t xml:space="preserve">, </w:t>
      </w:r>
      <w:r w:rsidR="000C4841">
        <w:rPr>
          <w:rFonts w:eastAsia="Batang" w:cs="Times New Roman"/>
          <w:lang w:val="en-GB" w:eastAsia="x-none"/>
        </w:rPr>
        <w:t xml:space="preserve">e.g., </w:t>
      </w:r>
      <w:r w:rsidR="00327D4F">
        <w:rPr>
          <w:rFonts w:eastAsia="Batang" w:cs="Times New Roman"/>
          <w:lang w:val="en-GB" w:eastAsia="x-none"/>
        </w:rPr>
        <w:t>the size of n_subband</w:t>
      </w:r>
      <m:oMath>
        <m:r>
          <m:rPr>
            <m:sty m:val="p"/>
          </m:rPr>
          <w:rPr>
            <w:rFonts w:ascii="Cambria Math" w:eastAsia="Batang" w:hAnsi="Cambria Math" w:cs="Times New Roman"/>
            <w:lang w:val="en-GB" w:eastAsia="x-none"/>
          </w:rPr>
          <m:t>×</m:t>
        </m:r>
      </m:oMath>
      <w:r w:rsidR="00327D4F">
        <w:rPr>
          <w:rFonts w:eastAsia="Batang" w:cs="Times New Roman"/>
          <w:lang w:val="en-GB" w:eastAsia="x-none"/>
        </w:rPr>
        <w:t>n_port are the same or at least similar.</w:t>
      </w:r>
    </w:p>
    <w:p w14:paraId="5FA9E508" w14:textId="77777777" w:rsidR="00E43D3D" w:rsidRPr="002D1C31" w:rsidRDefault="00E43D3D" w:rsidP="00EF38CE">
      <w:pPr>
        <w:pStyle w:val="a0"/>
        <w:snapToGrid w:val="0"/>
        <w:spacing w:before="120"/>
        <w:jc w:val="both"/>
        <w:rPr>
          <w:b/>
          <w:bCs/>
          <w:i/>
        </w:rPr>
      </w:pPr>
    </w:p>
    <w:p w14:paraId="6F9B052F" w14:textId="2CA39BE3" w:rsidR="000251EA" w:rsidRPr="00316BA1" w:rsidRDefault="00EE4521" w:rsidP="00EF38CE">
      <w:pPr>
        <w:pStyle w:val="a0"/>
        <w:snapToGrid w:val="0"/>
        <w:spacing w:before="120"/>
        <w:jc w:val="both"/>
      </w:pPr>
      <w:r w:rsidRPr="00EE4521">
        <w:t>Performance with SQ and VQ has been studied in Rel-18 and the following results have been captured by TR 38.843.</w:t>
      </w:r>
    </w:p>
    <w:tbl>
      <w:tblPr>
        <w:tblStyle w:val="ae"/>
        <w:tblW w:w="0" w:type="auto"/>
        <w:tblLook w:val="04A0" w:firstRow="1" w:lastRow="0" w:firstColumn="1" w:lastColumn="0" w:noHBand="0" w:noVBand="1"/>
      </w:tblPr>
      <w:tblGrid>
        <w:gridCol w:w="9060"/>
      </w:tblGrid>
      <w:tr w:rsidR="00EE4521" w14:paraId="3EFA9F4E" w14:textId="77777777" w:rsidTr="006C4D64">
        <w:tc>
          <w:tcPr>
            <w:tcW w:w="9629" w:type="dxa"/>
          </w:tcPr>
          <w:p w14:paraId="336B16A3" w14:textId="77777777" w:rsidR="001F1013" w:rsidRPr="001F1013" w:rsidRDefault="001F1013" w:rsidP="00EF38CE">
            <w:pPr>
              <w:snapToGrid w:val="0"/>
              <w:spacing w:before="120" w:after="120"/>
              <w:jc w:val="both"/>
              <w:rPr>
                <w:rFonts w:eastAsia="等线" w:cs="Times New Roman"/>
                <w:b/>
                <w:bCs/>
                <w:lang w:val="en-GB"/>
              </w:rPr>
            </w:pPr>
            <w:r w:rsidRPr="001F1013">
              <w:rPr>
                <w:rFonts w:eastAsia="等线" w:cs="Times New Roman"/>
                <w:b/>
                <w:bCs/>
                <w:lang w:val="en-GB"/>
              </w:rPr>
              <w:t>Quantization methods, quantization format</w:t>
            </w:r>
          </w:p>
          <w:p w14:paraId="2E5040EF" w14:textId="77777777" w:rsidR="001F1013" w:rsidRPr="001F1013" w:rsidRDefault="001F1013" w:rsidP="00EF38CE">
            <w:pPr>
              <w:snapToGrid w:val="0"/>
              <w:spacing w:before="120" w:after="120"/>
              <w:jc w:val="both"/>
              <w:rPr>
                <w:rFonts w:eastAsia="等线" w:cs="Times New Roman"/>
                <w:sz w:val="20"/>
                <w:szCs w:val="20"/>
                <w:lang w:val="en-GB" w:eastAsia="ko-KR"/>
              </w:rPr>
            </w:pPr>
            <w:r w:rsidRPr="001F1013">
              <w:rPr>
                <w:rFonts w:eastAsia="等线" w:cs="Times New Roman"/>
                <w:sz w:val="20"/>
                <w:szCs w:val="20"/>
                <w:lang w:val="en-GB" w:eastAsia="ko-KR"/>
              </w:rPr>
              <w:t>For the comparison of quantization methods for CSI compression, in general vector quantization (VQ) has comparable performance with scalar quantization (SQ):</w:t>
            </w:r>
          </w:p>
          <w:p w14:paraId="57D7E2DF" w14:textId="77777777" w:rsidR="001F1013" w:rsidRPr="001F1013" w:rsidRDefault="001F1013" w:rsidP="00EF38CE">
            <w:pPr>
              <w:snapToGrid w:val="0"/>
              <w:spacing w:before="120" w:after="120"/>
              <w:jc w:val="both"/>
              <w:rPr>
                <w:rFonts w:eastAsia="等线" w:cs="Times New Roman"/>
                <w:sz w:val="20"/>
                <w:szCs w:val="20"/>
                <w:lang w:val="en-GB" w:eastAsia="ko-KR"/>
              </w:rPr>
            </w:pPr>
            <w:r w:rsidRPr="001F1013">
              <w:rPr>
                <w:rFonts w:eastAsia="等线" w:cs="Times New Roman"/>
                <w:sz w:val="20"/>
                <w:szCs w:val="20"/>
                <w:lang w:val="en-GB" w:eastAsia="ko-KR"/>
              </w:rPr>
              <w:t>-</w:t>
            </w:r>
            <w:r w:rsidRPr="001F1013">
              <w:rPr>
                <w:rFonts w:eastAsia="等线" w:cs="Times New Roman"/>
                <w:sz w:val="20"/>
                <w:szCs w:val="20"/>
                <w:lang w:val="en-GB" w:eastAsia="ko-KR"/>
              </w:rPr>
              <w:tab/>
              <w:t xml:space="preserve">For SQ and VQ under the same training case, it is </w:t>
            </w:r>
          </w:p>
          <w:p w14:paraId="10275AE2" w14:textId="77777777" w:rsidR="001F1013" w:rsidRPr="001F1013" w:rsidRDefault="001F1013" w:rsidP="00EF38CE">
            <w:pPr>
              <w:snapToGrid w:val="0"/>
              <w:spacing w:before="120" w:after="120"/>
              <w:ind w:leftChars="100" w:left="220"/>
              <w:jc w:val="both"/>
              <w:rPr>
                <w:rFonts w:eastAsia="等线" w:cs="Times New Roman"/>
                <w:sz w:val="20"/>
                <w:szCs w:val="20"/>
                <w:lang w:val="en-GB" w:eastAsia="ko-KR"/>
              </w:rPr>
            </w:pPr>
            <w:r w:rsidRPr="001F1013">
              <w:rPr>
                <w:rFonts w:eastAsia="等线" w:cs="Times New Roman"/>
                <w:sz w:val="20"/>
                <w:szCs w:val="20"/>
                <w:lang w:val="en-GB" w:eastAsia="ko-KR"/>
              </w:rPr>
              <w:t>-</w:t>
            </w:r>
            <w:r w:rsidRPr="001F1013">
              <w:rPr>
                <w:rFonts w:eastAsia="等线" w:cs="Times New Roman"/>
                <w:sz w:val="20"/>
                <w:szCs w:val="20"/>
                <w:lang w:val="en-GB" w:eastAsia="ko-KR"/>
              </w:rPr>
              <w:tab/>
              <w:t xml:space="preserve">observed by 3 sources that VQ under Case 2-1 has -1%~-4.5% degradation over SQ under Case 2-1, </w:t>
            </w:r>
          </w:p>
          <w:p w14:paraId="50D649B9" w14:textId="77777777" w:rsidR="001F1013" w:rsidRPr="001F1013" w:rsidRDefault="001F1013" w:rsidP="00EF38CE">
            <w:pPr>
              <w:snapToGrid w:val="0"/>
              <w:spacing w:before="120" w:after="120"/>
              <w:ind w:leftChars="100" w:left="220" w:rightChars="100" w:right="220"/>
              <w:jc w:val="both"/>
              <w:rPr>
                <w:rFonts w:eastAsia="等线" w:cs="Times New Roman"/>
                <w:sz w:val="20"/>
                <w:szCs w:val="20"/>
                <w:lang w:val="en-GB" w:eastAsia="ko-KR"/>
              </w:rPr>
            </w:pPr>
            <w:r w:rsidRPr="001F1013">
              <w:rPr>
                <w:rFonts w:eastAsia="等线" w:cs="Times New Roman"/>
                <w:sz w:val="20"/>
                <w:szCs w:val="20"/>
                <w:lang w:val="en-GB" w:eastAsia="ko-KR"/>
              </w:rPr>
              <w:t>-</w:t>
            </w:r>
            <w:r w:rsidRPr="001F1013">
              <w:rPr>
                <w:rFonts w:eastAsia="等线" w:cs="Times New Roman"/>
                <w:sz w:val="20"/>
                <w:szCs w:val="20"/>
                <w:lang w:val="en-GB" w:eastAsia="ko-KR"/>
              </w:rPr>
              <w:tab/>
              <w:t xml:space="preserve">observed by 1 source that VQ under Case 2-1 has 1.1% gain over SQ under Case 2-1, and </w:t>
            </w:r>
          </w:p>
          <w:p w14:paraId="47D70BD5" w14:textId="77777777" w:rsidR="001F1013" w:rsidRPr="001F1013" w:rsidRDefault="001F1013" w:rsidP="00EF38CE">
            <w:pPr>
              <w:snapToGrid w:val="0"/>
              <w:spacing w:before="120" w:after="120"/>
              <w:ind w:leftChars="100" w:left="220"/>
              <w:jc w:val="both"/>
              <w:rPr>
                <w:rFonts w:eastAsia="等线" w:cs="Times New Roman"/>
                <w:sz w:val="20"/>
                <w:szCs w:val="20"/>
                <w:lang w:val="en-GB" w:eastAsia="ko-KR"/>
              </w:rPr>
            </w:pPr>
            <w:r w:rsidRPr="001F1013">
              <w:rPr>
                <w:rFonts w:eastAsia="等线" w:cs="Times New Roman"/>
                <w:sz w:val="20"/>
                <w:szCs w:val="20"/>
                <w:lang w:val="en-GB" w:eastAsia="ko-KR"/>
              </w:rPr>
              <w:t>-</w:t>
            </w:r>
            <w:r w:rsidRPr="001F1013">
              <w:rPr>
                <w:rFonts w:eastAsia="等线" w:cs="Times New Roman"/>
                <w:sz w:val="20"/>
                <w:szCs w:val="20"/>
                <w:lang w:val="en-GB" w:eastAsia="ko-KR"/>
              </w:rPr>
              <w:tab/>
              <w:t>observed by 3 sources that VQ under Case 2-2 has 0.7%~3.8% gain over SQ under Case 2-2.</w:t>
            </w:r>
          </w:p>
          <w:p w14:paraId="1FEDCB1D" w14:textId="77777777" w:rsidR="001F1013" w:rsidRPr="001F1013" w:rsidRDefault="001F1013" w:rsidP="00EF38CE">
            <w:pPr>
              <w:snapToGrid w:val="0"/>
              <w:spacing w:before="120" w:after="120"/>
              <w:jc w:val="both"/>
              <w:rPr>
                <w:rFonts w:eastAsia="等线" w:cs="Times New Roman"/>
                <w:sz w:val="20"/>
                <w:szCs w:val="20"/>
                <w:lang w:val="en-GB" w:eastAsia="ko-KR"/>
              </w:rPr>
            </w:pPr>
            <w:r w:rsidRPr="001F1013">
              <w:rPr>
                <w:rFonts w:eastAsia="等线" w:cs="Times New Roman"/>
                <w:sz w:val="20"/>
                <w:szCs w:val="20"/>
                <w:lang w:val="en-GB" w:eastAsia="ko-KR"/>
              </w:rPr>
              <w:t>-</w:t>
            </w:r>
            <w:r w:rsidRPr="001F1013">
              <w:rPr>
                <w:rFonts w:eastAsia="等线" w:cs="Times New Roman"/>
                <w:sz w:val="20"/>
                <w:szCs w:val="20"/>
                <w:lang w:val="en-GB" w:eastAsia="ko-KR"/>
              </w:rPr>
              <w:tab/>
              <w:t>Note: VQ under Case 2-1 has 8% gains over SQ under Case 2-1 as observed from 1 source due to SQ parameter chosen without matching latent distribution.</w:t>
            </w:r>
          </w:p>
          <w:p w14:paraId="0095DE1F" w14:textId="77777777" w:rsidR="001F1013" w:rsidRPr="001F1013" w:rsidRDefault="001F1013" w:rsidP="00EF38CE">
            <w:pPr>
              <w:snapToGrid w:val="0"/>
              <w:spacing w:before="120" w:after="120"/>
              <w:jc w:val="both"/>
              <w:rPr>
                <w:rFonts w:eastAsia="等线" w:cs="Times New Roman"/>
                <w:sz w:val="20"/>
                <w:szCs w:val="20"/>
                <w:lang w:val="en-GB" w:eastAsia="ko-KR"/>
              </w:rPr>
            </w:pPr>
            <w:r w:rsidRPr="001F1013">
              <w:rPr>
                <w:rFonts w:eastAsia="等线" w:cs="Times New Roman"/>
                <w:sz w:val="20"/>
                <w:szCs w:val="20"/>
                <w:lang w:val="en-GB" w:eastAsia="ko-KR"/>
              </w:rPr>
              <w:t>-</w:t>
            </w:r>
            <w:r w:rsidRPr="001F1013">
              <w:rPr>
                <w:rFonts w:eastAsia="等线" w:cs="Times New Roman"/>
                <w:sz w:val="20"/>
                <w:szCs w:val="20"/>
                <w:lang w:val="en-GB" w:eastAsia="ko-KR"/>
              </w:rPr>
              <w:tab/>
              <w:t xml:space="preserve">For SQ and VQ across training cases, it is </w:t>
            </w:r>
          </w:p>
          <w:p w14:paraId="107702C9" w14:textId="77777777" w:rsidR="001F1013" w:rsidRPr="001F1013" w:rsidRDefault="001F1013" w:rsidP="00EF38CE">
            <w:pPr>
              <w:snapToGrid w:val="0"/>
              <w:spacing w:before="120" w:after="120"/>
              <w:ind w:leftChars="100" w:left="220"/>
              <w:jc w:val="both"/>
              <w:rPr>
                <w:rFonts w:eastAsia="等线" w:cs="Times New Roman"/>
                <w:sz w:val="20"/>
                <w:szCs w:val="20"/>
                <w:lang w:val="en-GB" w:eastAsia="ko-KR"/>
              </w:rPr>
            </w:pPr>
            <w:r w:rsidRPr="001F1013">
              <w:rPr>
                <w:rFonts w:eastAsia="等线" w:cs="Times New Roman"/>
                <w:sz w:val="20"/>
                <w:szCs w:val="20"/>
                <w:lang w:val="en-GB" w:eastAsia="ko-KR"/>
              </w:rPr>
              <w:t>-</w:t>
            </w:r>
            <w:r w:rsidRPr="001F1013">
              <w:rPr>
                <w:rFonts w:eastAsia="等线" w:cs="Times New Roman"/>
                <w:sz w:val="20"/>
                <w:szCs w:val="20"/>
                <w:lang w:val="en-GB" w:eastAsia="ko-KR"/>
              </w:rPr>
              <w:tab/>
              <w:t xml:space="preserve">observed by 6 sources that VQ under Case 2-2 has 0.46%~4% gain over SQ under Case 2-1, and </w:t>
            </w:r>
          </w:p>
          <w:p w14:paraId="40B2A35A" w14:textId="77777777" w:rsidR="001F1013" w:rsidRPr="001F1013" w:rsidRDefault="001F1013" w:rsidP="00EF38CE">
            <w:pPr>
              <w:snapToGrid w:val="0"/>
              <w:spacing w:before="120" w:after="120"/>
              <w:ind w:leftChars="100" w:left="220" w:rightChars="100" w:right="220"/>
              <w:jc w:val="both"/>
              <w:rPr>
                <w:rFonts w:eastAsia="等线" w:cs="Times New Roman"/>
                <w:sz w:val="20"/>
                <w:szCs w:val="20"/>
                <w:lang w:val="en-GB" w:eastAsia="ko-KR"/>
              </w:rPr>
            </w:pPr>
            <w:r w:rsidRPr="001F1013">
              <w:rPr>
                <w:rFonts w:eastAsia="等线" w:cs="Times New Roman"/>
                <w:sz w:val="20"/>
                <w:szCs w:val="20"/>
                <w:lang w:val="en-GB" w:eastAsia="ko-KR"/>
              </w:rPr>
              <w:t>-</w:t>
            </w:r>
            <w:r w:rsidRPr="001F1013">
              <w:rPr>
                <w:rFonts w:eastAsia="等线" w:cs="Times New Roman"/>
                <w:sz w:val="20"/>
                <w:szCs w:val="20"/>
                <w:lang w:val="en-GB" w:eastAsia="ko-KR"/>
              </w:rPr>
              <w:tab/>
              <w:t>observed by 1 source that VQ under Case 2-2 has -1.3% degradation over SQ under Case 2-1.</w:t>
            </w:r>
          </w:p>
          <w:p w14:paraId="203179DE" w14:textId="77777777" w:rsidR="001F1013" w:rsidRPr="001F1013" w:rsidRDefault="001F1013" w:rsidP="00EF38CE">
            <w:pPr>
              <w:snapToGrid w:val="0"/>
              <w:spacing w:before="120" w:after="120"/>
              <w:ind w:leftChars="100" w:left="220"/>
              <w:jc w:val="both"/>
              <w:rPr>
                <w:rFonts w:eastAsia="等线" w:cs="Times New Roman"/>
                <w:sz w:val="20"/>
                <w:szCs w:val="20"/>
                <w:lang w:val="en-GB" w:eastAsia="ko-KR"/>
              </w:rPr>
            </w:pPr>
            <w:r w:rsidRPr="001F1013">
              <w:rPr>
                <w:rFonts w:eastAsia="等线" w:cs="Times New Roman"/>
                <w:sz w:val="20"/>
                <w:szCs w:val="20"/>
                <w:lang w:val="en-GB" w:eastAsia="ko-KR"/>
              </w:rPr>
              <w:t>-</w:t>
            </w:r>
            <w:r w:rsidRPr="001F1013">
              <w:rPr>
                <w:rFonts w:eastAsia="等线" w:cs="Times New Roman"/>
                <w:sz w:val="20"/>
                <w:szCs w:val="20"/>
                <w:lang w:val="en-GB" w:eastAsia="ko-KR"/>
              </w:rPr>
              <w:tab/>
              <w:t>observed by 1 source that VQ under Case 2-1 has -2.9%~-6.4% degradation over SQ under Case 2-2.</w:t>
            </w:r>
          </w:p>
          <w:p w14:paraId="251D046E" w14:textId="77777777" w:rsidR="001F1013" w:rsidRPr="001F1013" w:rsidRDefault="001F1013" w:rsidP="00EF38CE">
            <w:pPr>
              <w:snapToGrid w:val="0"/>
              <w:spacing w:before="120" w:after="120"/>
              <w:jc w:val="both"/>
              <w:rPr>
                <w:rFonts w:eastAsia="等线" w:cs="Times New Roman"/>
                <w:sz w:val="20"/>
                <w:szCs w:val="20"/>
                <w:lang w:val="en-GB" w:eastAsia="ko-KR"/>
              </w:rPr>
            </w:pPr>
            <w:r w:rsidRPr="001F1013">
              <w:rPr>
                <w:rFonts w:eastAsia="等线" w:cs="Times New Roman"/>
                <w:sz w:val="20"/>
                <w:szCs w:val="20"/>
                <w:lang w:val="en-GB" w:eastAsia="ko-KR"/>
              </w:rPr>
              <w:t>-</w:t>
            </w:r>
            <w:r w:rsidRPr="001F1013">
              <w:rPr>
                <w:rFonts w:eastAsia="等线" w:cs="Times New Roman"/>
                <w:sz w:val="20"/>
                <w:szCs w:val="20"/>
                <w:lang w:val="en-GB" w:eastAsia="ko-KR"/>
              </w:rPr>
              <w:tab/>
              <w:t>Note: in general, more companies observing gain of VQ over SQ than companies observing loss.</w:t>
            </w:r>
          </w:p>
          <w:p w14:paraId="7DF1C40A" w14:textId="653FAE13" w:rsidR="00EE4521" w:rsidRDefault="001F1013" w:rsidP="00EF38CE">
            <w:pPr>
              <w:snapToGrid w:val="0"/>
              <w:spacing w:before="120" w:after="120"/>
              <w:jc w:val="both"/>
              <w:rPr>
                <w:lang w:val="en-GB" w:eastAsia="ja-JP"/>
              </w:rPr>
            </w:pPr>
            <w:r w:rsidRPr="001F1013">
              <w:rPr>
                <w:rFonts w:eastAsia="等线" w:cs="Times New Roman"/>
                <w:sz w:val="20"/>
                <w:szCs w:val="20"/>
                <w:lang w:val="en-GB" w:eastAsia="ko-KR"/>
              </w:rPr>
              <w:t>-</w:t>
            </w:r>
            <w:r w:rsidRPr="001F1013">
              <w:rPr>
                <w:rFonts w:eastAsia="等线" w:cs="Times New Roman"/>
                <w:sz w:val="20"/>
                <w:szCs w:val="20"/>
                <w:lang w:val="en-GB" w:eastAsia="ko-KR"/>
              </w:rPr>
              <w:tab/>
              <w:t>Note: it is observed by 1 source that combined SQ and VQ under Case 2-2 has minor gain of 0.2% over VQ only under Case 2-2.</w:t>
            </w:r>
          </w:p>
        </w:tc>
      </w:tr>
    </w:tbl>
    <w:p w14:paraId="300559DF" w14:textId="00103F40" w:rsidR="001F1013" w:rsidRPr="001F1013" w:rsidRDefault="001F1013" w:rsidP="00A76757">
      <w:pPr>
        <w:pStyle w:val="a0"/>
        <w:snapToGrid w:val="0"/>
        <w:spacing w:before="120"/>
        <w:jc w:val="center"/>
        <w:rPr>
          <w:rFonts w:eastAsia="Malgun Gothic" w:cs="Times New Roman"/>
          <w:b/>
          <w:bCs/>
          <w:sz w:val="18"/>
          <w:szCs w:val="18"/>
          <w:lang w:val="en-GB" w:eastAsia="en-US"/>
        </w:rPr>
      </w:pPr>
      <w:r w:rsidRPr="001F1013">
        <w:rPr>
          <w:rFonts w:eastAsia="Malgun Gothic" w:cs="Times New Roman"/>
          <w:b/>
          <w:bCs/>
          <w:sz w:val="18"/>
          <w:szCs w:val="18"/>
          <w:lang w:val="en-GB" w:eastAsia="en-US"/>
        </w:rPr>
        <w:t>Table 2-1 Comparison between SQ and VQ</w:t>
      </w:r>
    </w:p>
    <w:tbl>
      <w:tblPr>
        <w:tblStyle w:val="ae"/>
        <w:tblW w:w="0" w:type="auto"/>
        <w:tblLook w:val="04A0" w:firstRow="1" w:lastRow="0" w:firstColumn="1" w:lastColumn="0" w:noHBand="0" w:noVBand="1"/>
      </w:tblPr>
      <w:tblGrid>
        <w:gridCol w:w="3823"/>
        <w:gridCol w:w="2268"/>
        <w:gridCol w:w="2969"/>
      </w:tblGrid>
      <w:tr w:rsidR="00A03AA4" w:rsidRPr="00A03AA4" w14:paraId="4F1EBA88" w14:textId="77777777" w:rsidTr="001F1013">
        <w:tc>
          <w:tcPr>
            <w:tcW w:w="3823" w:type="dxa"/>
          </w:tcPr>
          <w:p w14:paraId="7882DF16" w14:textId="2E3C3C34" w:rsidR="00A03AA4" w:rsidRPr="00A03AA4" w:rsidRDefault="00A03AA4" w:rsidP="00EF38CE">
            <w:pPr>
              <w:pStyle w:val="a0"/>
              <w:snapToGrid w:val="0"/>
              <w:spacing w:before="120"/>
              <w:jc w:val="both"/>
            </w:pPr>
            <w:r>
              <w:t>Tota</w:t>
            </w:r>
            <w:r>
              <w:rPr>
                <w:rFonts w:hint="eastAsia"/>
              </w:rPr>
              <w:t>l</w:t>
            </w:r>
            <w:r>
              <w:t xml:space="preserve"> payload =64bits,</w:t>
            </w:r>
            <w:r w:rsidRPr="00A03AA4">
              <w:t xml:space="preserve"> Rank=1,</w:t>
            </w:r>
            <w:r w:rsidRPr="00860B19">
              <w:rPr>
                <w:rFonts w:ascii="Cambria Math" w:hAnsi="Cambria Math"/>
              </w:rPr>
              <w:t xml:space="preserve"> </w:t>
            </w:r>
            <m:oMath>
              <m:sSubSup>
                <m:sSubSupPr>
                  <m:ctrlPr>
                    <w:rPr>
                      <w:rFonts w:ascii="Cambria Math" w:hAnsi="Cambria Math"/>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m:t>
                  </m:r>
                  <m:r>
                    <m:rPr>
                      <m:sty m:val="p"/>
                    </m:rPr>
                    <w:rPr>
                      <w:rFonts w:ascii="Cambria Math" w:hAnsi="Cambria Math"/>
                    </w:rPr>
                    <m:t>,</m:t>
                  </m:r>
                  <m:r>
                    <m:rPr>
                      <m:sty m:val="bi"/>
                    </m:rPr>
                    <w:rPr>
                      <w:rFonts w:ascii="Cambria Math" w:hAnsi="Cambria Math"/>
                    </w:rPr>
                    <m:t>ν</m:t>
                  </m:r>
                </m:sup>
              </m:sSubSup>
            </m:oMath>
            <w:r w:rsidRPr="00A03AA4">
              <w:rPr>
                <w:rFonts w:hint="eastAsia"/>
              </w:rPr>
              <w:t>=</w:t>
            </w:r>
            <w:r w:rsidRPr="00A03AA4">
              <w:t>32</w:t>
            </w:r>
          </w:p>
        </w:tc>
        <w:tc>
          <w:tcPr>
            <w:tcW w:w="2268" w:type="dxa"/>
          </w:tcPr>
          <w:p w14:paraId="4FB54E25" w14:textId="3E0ACC65" w:rsidR="00A03AA4" w:rsidRPr="00A03AA4" w:rsidRDefault="00A03AA4" w:rsidP="00EF38CE">
            <w:pPr>
              <w:pStyle w:val="a0"/>
              <w:snapToGrid w:val="0"/>
              <w:spacing w:before="120"/>
              <w:jc w:val="both"/>
              <w:rPr>
                <w:lang w:val="de-DE"/>
              </w:rPr>
            </w:pPr>
            <w:r>
              <w:rPr>
                <w:rFonts w:hint="eastAsia"/>
              </w:rPr>
              <w:t>S</w:t>
            </w:r>
            <w:r>
              <w:t xml:space="preserve">Q: </w:t>
            </w:r>
            <m:oMath>
              <m:sSup>
                <m:sSupPr>
                  <m:ctrlPr>
                    <w:rPr>
                      <w:rFonts w:ascii="Cambria Math" w:hAnsi="Cambria Math"/>
                    </w:rPr>
                  </m:ctrlPr>
                </m:sSupPr>
                <m:e>
                  <m:r>
                    <m:rPr>
                      <m:sty m:val="bi"/>
                    </m:rPr>
                    <w:rPr>
                      <w:rFonts w:ascii="Cambria Math" w:hAnsi="Cambria Math"/>
                    </w:rPr>
                    <m:t>Q</m:t>
                  </m:r>
                </m:e>
                <m:sup>
                  <m:r>
                    <m:rPr>
                      <m:sty m:val="bi"/>
                    </m:rPr>
                    <w:rPr>
                      <w:rFonts w:ascii="Cambria Math" w:hAnsi="Cambria Math"/>
                    </w:rPr>
                    <m:t>l</m:t>
                  </m:r>
                  <m:r>
                    <m:rPr>
                      <m:sty m:val="p"/>
                    </m:rPr>
                    <w:rPr>
                      <w:rFonts w:ascii="Cambria Math" w:hAnsi="Cambria Math"/>
                      <w:lang w:val="de-DE"/>
                    </w:rPr>
                    <m:t>,</m:t>
                  </m:r>
                  <m:r>
                    <m:rPr>
                      <m:sty m:val="bi"/>
                    </m:rPr>
                    <w:rPr>
                      <w:rFonts w:ascii="Cambria Math" w:hAnsi="Cambria Math"/>
                    </w:rPr>
                    <m:t>ν</m:t>
                  </m:r>
                </m:sup>
              </m:sSup>
              <m:r>
                <m:rPr>
                  <m:sty m:val="p"/>
                </m:rPr>
                <w:rPr>
                  <w:rFonts w:ascii="Cambria Math" w:hAnsi="Cambria Math"/>
                  <w:lang w:val="de-DE"/>
                </w:rPr>
                <m:t>=</m:t>
              </m:r>
              <m:r>
                <m:rPr>
                  <m:sty m:val="b"/>
                </m:rPr>
                <w:rPr>
                  <w:rFonts w:ascii="Cambria Math" w:hAnsi="Cambria Math"/>
                </w:rPr>
                <m:t>2</m:t>
              </m:r>
            </m:oMath>
          </w:p>
        </w:tc>
        <w:tc>
          <w:tcPr>
            <w:tcW w:w="2969" w:type="dxa"/>
          </w:tcPr>
          <w:p w14:paraId="7983C4B8" w14:textId="12811BC1" w:rsidR="00A03AA4" w:rsidRPr="00A03AA4" w:rsidRDefault="00A03AA4" w:rsidP="00EF38CE">
            <w:pPr>
              <w:pStyle w:val="a0"/>
              <w:snapToGrid w:val="0"/>
              <w:spacing w:before="120"/>
              <w:jc w:val="both"/>
              <w:rPr>
                <w:lang w:val="de-DE"/>
              </w:rPr>
            </w:pPr>
            <w:r>
              <w:rPr>
                <w:lang w:val="de-DE"/>
              </w:rPr>
              <w:t>VQ:</w:t>
            </w:r>
            <w:r w:rsidRPr="00A03AA4">
              <w:rPr>
                <w:lang w:val="de-DE"/>
              </w:rPr>
              <w:t xml:space="preserve"> </w:t>
            </w:r>
            <m:oMath>
              <m:r>
                <m:rPr>
                  <m:sty m:val="p"/>
                </m:rPr>
                <w:rPr>
                  <w:rFonts w:ascii="Cambria Math" w:hAnsi="Cambria Math"/>
                  <w:lang w:val="de-DE"/>
                </w:rPr>
                <m:t>L= 4 ,</m:t>
              </m:r>
              <m:sSup>
                <m:sSupPr>
                  <m:ctrlPr>
                    <w:rPr>
                      <w:rFonts w:ascii="Cambria Math" w:hAnsi="Cambria Math"/>
                    </w:rPr>
                  </m:ctrlPr>
                </m:sSupPr>
                <m:e>
                  <m:r>
                    <m:rPr>
                      <m:sty m:val="bi"/>
                    </m:rPr>
                    <w:rPr>
                      <w:rFonts w:ascii="Cambria Math" w:hAnsi="Cambria Math"/>
                    </w:rPr>
                    <m:t>Q</m:t>
                  </m:r>
                </m:e>
                <m:sup>
                  <m:r>
                    <m:rPr>
                      <m:sty m:val="bi"/>
                    </m:rPr>
                    <w:rPr>
                      <w:rFonts w:ascii="Cambria Math" w:hAnsi="Cambria Math"/>
                    </w:rPr>
                    <m:t>l</m:t>
                  </m:r>
                  <m:r>
                    <m:rPr>
                      <m:sty m:val="p"/>
                    </m:rPr>
                    <w:rPr>
                      <w:rFonts w:ascii="Cambria Math" w:hAnsi="Cambria Math"/>
                      <w:lang w:val="de-DE"/>
                    </w:rPr>
                    <m:t>,</m:t>
                  </m:r>
                  <m:r>
                    <m:rPr>
                      <m:sty m:val="bi"/>
                    </m:rPr>
                    <w:rPr>
                      <w:rFonts w:ascii="Cambria Math" w:hAnsi="Cambria Math"/>
                    </w:rPr>
                    <m:t>ν</m:t>
                  </m:r>
                </m:sup>
              </m:sSup>
              <m:r>
                <m:rPr>
                  <m:sty m:val="p"/>
                </m:rPr>
                <w:rPr>
                  <w:rFonts w:ascii="Cambria Math" w:hAnsi="Cambria Math"/>
                  <w:lang w:val="de-DE"/>
                </w:rPr>
                <m:t>=</m:t>
              </m:r>
              <m:r>
                <m:rPr>
                  <m:sty m:val="b"/>
                </m:rPr>
                <w:rPr>
                  <w:rFonts w:ascii="Cambria Math" w:hAnsi="Cambria Math"/>
                </w:rPr>
                <m:t>8</m:t>
              </m:r>
            </m:oMath>
          </w:p>
        </w:tc>
      </w:tr>
      <w:tr w:rsidR="00A03AA4" w:rsidRPr="00A03AA4" w14:paraId="4F1E24F2" w14:textId="77777777" w:rsidTr="001F1013">
        <w:tc>
          <w:tcPr>
            <w:tcW w:w="3823" w:type="dxa"/>
          </w:tcPr>
          <w:p w14:paraId="68E6DEA0" w14:textId="288FDD16" w:rsidR="00A03AA4" w:rsidRPr="00A03AA4" w:rsidRDefault="00A03AA4" w:rsidP="00EF38CE">
            <w:pPr>
              <w:pStyle w:val="a0"/>
              <w:snapToGrid w:val="0"/>
              <w:spacing w:before="120"/>
              <w:jc w:val="both"/>
              <w:rPr>
                <w:lang w:val="de-DE"/>
              </w:rPr>
            </w:pPr>
            <w:r>
              <w:rPr>
                <w:rFonts w:hint="eastAsia"/>
                <w:lang w:val="de-DE"/>
              </w:rPr>
              <w:t>A</w:t>
            </w:r>
            <w:r>
              <w:rPr>
                <w:lang w:val="de-DE"/>
              </w:rPr>
              <w:t>verage</w:t>
            </w:r>
            <w:r w:rsidR="001F1013">
              <w:rPr>
                <w:lang w:val="de-DE"/>
              </w:rPr>
              <w:t xml:space="preserve"> SGCS</w:t>
            </w:r>
          </w:p>
        </w:tc>
        <w:tc>
          <w:tcPr>
            <w:tcW w:w="2268" w:type="dxa"/>
          </w:tcPr>
          <w:p w14:paraId="7BF79D8D" w14:textId="371598ED" w:rsidR="00A03AA4" w:rsidRPr="00A03AA4" w:rsidRDefault="001F1013" w:rsidP="00EF38CE">
            <w:pPr>
              <w:pStyle w:val="a0"/>
              <w:snapToGrid w:val="0"/>
              <w:spacing w:before="120"/>
              <w:jc w:val="both"/>
              <w:rPr>
                <w:lang w:val="de-DE"/>
              </w:rPr>
            </w:pPr>
            <w:r w:rsidRPr="00A76757">
              <w:rPr>
                <w:rFonts w:hint="eastAsia"/>
                <w:sz w:val="21"/>
                <w:szCs w:val="21"/>
                <w:lang w:val="de-DE"/>
              </w:rPr>
              <w:t>0</w:t>
            </w:r>
            <w:r w:rsidRPr="00A76757">
              <w:rPr>
                <w:sz w:val="21"/>
                <w:szCs w:val="21"/>
                <w:lang w:val="de-DE"/>
              </w:rPr>
              <w:t>.77</w:t>
            </w:r>
          </w:p>
        </w:tc>
        <w:tc>
          <w:tcPr>
            <w:tcW w:w="2969" w:type="dxa"/>
          </w:tcPr>
          <w:p w14:paraId="65642CF8" w14:textId="322159DB" w:rsidR="00A03AA4" w:rsidRPr="00A03AA4" w:rsidRDefault="001F1013" w:rsidP="00EF38CE">
            <w:pPr>
              <w:pStyle w:val="a0"/>
              <w:snapToGrid w:val="0"/>
              <w:spacing w:before="120"/>
              <w:jc w:val="both"/>
              <w:rPr>
                <w:lang w:val="de-DE"/>
              </w:rPr>
            </w:pPr>
            <w:r w:rsidRPr="001F1013">
              <w:rPr>
                <w:lang w:val="de-DE"/>
              </w:rPr>
              <w:t>0.76</w:t>
            </w:r>
          </w:p>
        </w:tc>
      </w:tr>
    </w:tbl>
    <w:p w14:paraId="1EDC72F9" w14:textId="2C283129" w:rsidR="000B4122" w:rsidRDefault="00E43D3D" w:rsidP="00EF38CE">
      <w:pPr>
        <w:pStyle w:val="a0"/>
        <w:snapToGrid w:val="0"/>
        <w:spacing w:before="120"/>
        <w:jc w:val="both"/>
      </w:pPr>
      <w:r>
        <w:rPr>
          <w:rFonts w:hint="eastAsia"/>
        </w:rPr>
        <w:lastRenderedPageBreak/>
        <w:t>A</w:t>
      </w:r>
      <w:r>
        <w:t xml:space="preserve">ccording to the simulation results provided by ours </w:t>
      </w:r>
      <w:r>
        <w:rPr>
          <w:rFonts w:hint="eastAsia"/>
        </w:rPr>
        <w:t>(</w:t>
      </w:r>
      <w:r>
        <w:t xml:space="preserve">See Table 2-1 above) and </w:t>
      </w:r>
      <w:r w:rsidR="009D4ABB">
        <w:t xml:space="preserve">results in </w:t>
      </w:r>
      <w:r w:rsidR="009D4ABB" w:rsidRPr="00EE4521">
        <w:t>Rel-18</w:t>
      </w:r>
      <w:r w:rsidR="009D4ABB">
        <w:t xml:space="preserve"> study</w:t>
      </w:r>
      <w:r>
        <w:t xml:space="preserve">, the performance of SQ and VQ is comparable. </w:t>
      </w:r>
      <w:r w:rsidRPr="00E43D3D">
        <w:t xml:space="preserve">The superiority or inferiority may depend on the </w:t>
      </w:r>
      <w:r>
        <w:t>applied</w:t>
      </w:r>
      <w:r w:rsidRPr="00E43D3D">
        <w:t xml:space="preserve"> </w:t>
      </w:r>
      <w:r>
        <w:t>settings</w:t>
      </w:r>
      <w:r w:rsidRPr="00E43D3D">
        <w:t>.</w:t>
      </w:r>
      <w:r>
        <w:t xml:space="preserve"> </w:t>
      </w:r>
      <w:r w:rsidRPr="00E43D3D">
        <w:t xml:space="preserve">That </w:t>
      </w:r>
      <w:r>
        <w:t>implies</w:t>
      </w:r>
      <w:r w:rsidRPr="00E43D3D">
        <w:t>, from the perspective of performance</w:t>
      </w:r>
      <w:r>
        <w:t xml:space="preserve"> only</w:t>
      </w:r>
      <w:r w:rsidRPr="00E43D3D">
        <w:t>, both SQ and VQ could be supported.</w:t>
      </w:r>
      <w:r>
        <w:t xml:space="preserve"> However, </w:t>
      </w:r>
      <w:r w:rsidRPr="00E43D3D">
        <w:t xml:space="preserve">the implementation difficulty of </w:t>
      </w:r>
      <w:r>
        <w:t>VQ</w:t>
      </w:r>
      <w:r w:rsidRPr="00E43D3D">
        <w:t xml:space="preserve"> may be much higher than </w:t>
      </w:r>
      <w:r>
        <w:t>that of SQ</w:t>
      </w:r>
      <w:r w:rsidR="000B4122">
        <w:t xml:space="preserve">, e.g., the hardware complexity of VQ may be higher, and besides, the </w:t>
      </w:r>
      <w:r w:rsidR="008942FE">
        <w:t>codebook exchange</w:t>
      </w:r>
      <w:r w:rsidR="000B4122">
        <w:t xml:space="preserve"> method of SQ</w:t>
      </w:r>
      <w:r w:rsidR="008942FE">
        <w:t xml:space="preserve"> </w:t>
      </w:r>
      <w:r w:rsidR="000B4122">
        <w:t>is</w:t>
      </w:r>
      <w:r w:rsidR="000B4122" w:rsidRPr="000B4122">
        <w:t xml:space="preserve"> </w:t>
      </w:r>
      <w:r w:rsidR="000B4122">
        <w:t>easier</w:t>
      </w:r>
      <w:r w:rsidR="008942FE">
        <w:t>. Therefore, SQ</w:t>
      </w:r>
      <w:r w:rsidR="000B4122">
        <w:t xml:space="preserve"> is preferred</w:t>
      </w:r>
      <w:r w:rsidR="00384AF4">
        <w:t>.</w:t>
      </w:r>
    </w:p>
    <w:p w14:paraId="4A8A17C7" w14:textId="3D4C1834" w:rsidR="003962DD" w:rsidRDefault="003962DD" w:rsidP="00EF38CE">
      <w:pPr>
        <w:pStyle w:val="a0"/>
        <w:snapToGrid w:val="0"/>
        <w:spacing w:before="120"/>
        <w:jc w:val="both"/>
        <w:rPr>
          <w:b/>
          <w:bCs/>
          <w:i/>
        </w:rPr>
      </w:pPr>
      <w:r w:rsidRPr="0091549C">
        <w:rPr>
          <w:b/>
          <w:bCs/>
          <w:i/>
        </w:rPr>
        <w:t xml:space="preserve">Proposal </w:t>
      </w:r>
      <w:r w:rsidR="00D7406B">
        <w:rPr>
          <w:b/>
          <w:bCs/>
          <w:i/>
        </w:rPr>
        <w:t>3</w:t>
      </w:r>
      <w:r>
        <w:rPr>
          <w:b/>
          <w:bCs/>
          <w:i/>
        </w:rPr>
        <w:t xml:space="preserve">: For </w:t>
      </w:r>
      <w:r w:rsidRPr="003962DD">
        <w:rPr>
          <w:b/>
          <w:bCs/>
          <w:i/>
        </w:rPr>
        <w:t>Quantization methods</w:t>
      </w:r>
      <w:r>
        <w:rPr>
          <w:b/>
          <w:bCs/>
          <w:i/>
        </w:rPr>
        <w:t>, SQ</w:t>
      </w:r>
      <w:r w:rsidR="000B4122">
        <w:rPr>
          <w:b/>
          <w:bCs/>
          <w:i/>
        </w:rPr>
        <w:t xml:space="preserve"> is preferred</w:t>
      </w:r>
      <w:r w:rsidRPr="0091549C">
        <w:rPr>
          <w:b/>
          <w:bCs/>
          <w:i/>
        </w:rPr>
        <w:t>.</w:t>
      </w:r>
    </w:p>
    <w:p w14:paraId="0CE38428" w14:textId="5D8FC51B" w:rsidR="000B4122" w:rsidRDefault="000B4122" w:rsidP="007E4DE3">
      <w:pPr>
        <w:pStyle w:val="a0"/>
        <w:numPr>
          <w:ilvl w:val="0"/>
          <w:numId w:val="16"/>
        </w:numPr>
        <w:snapToGrid w:val="0"/>
        <w:spacing w:before="120"/>
        <w:jc w:val="both"/>
        <w:rPr>
          <w:b/>
          <w:bCs/>
          <w:i/>
        </w:rPr>
      </w:pPr>
      <w:r w:rsidRPr="000B4122">
        <w:rPr>
          <w:rFonts w:hint="eastAsia"/>
          <w:b/>
          <w:bCs/>
          <w:i/>
        </w:rPr>
        <w:t>F</w:t>
      </w:r>
      <w:r w:rsidRPr="000B4122">
        <w:rPr>
          <w:b/>
          <w:bCs/>
          <w:i/>
        </w:rPr>
        <w:t>FS: whether/how to support fixed vector quantization codebook</w:t>
      </w:r>
    </w:p>
    <w:p w14:paraId="0F9AD6CE" w14:textId="1DFE0D36" w:rsidR="00D57824" w:rsidRDefault="00D57824" w:rsidP="000B4122">
      <w:pPr>
        <w:pStyle w:val="2"/>
        <w:numPr>
          <w:ilvl w:val="1"/>
          <w:numId w:val="1"/>
        </w:numPr>
        <w:autoSpaceDE w:val="0"/>
        <w:autoSpaceDN w:val="0"/>
        <w:adjustRightInd w:val="0"/>
        <w:snapToGrid w:val="0"/>
        <w:spacing w:after="240"/>
        <w:ind w:left="0" w:firstLine="0"/>
        <w:jc w:val="both"/>
        <w:rPr>
          <w:rFonts w:ascii="Times New Roman" w:eastAsiaTheme="minorEastAsia" w:hAnsi="Times New Roman" w:cs="Times New Roman"/>
          <w:b/>
          <w:iCs w:val="0"/>
          <w:szCs w:val="22"/>
        </w:rPr>
      </w:pPr>
      <w:r w:rsidRPr="00D57824">
        <w:rPr>
          <w:rFonts w:ascii="Times New Roman" w:eastAsiaTheme="minorEastAsia" w:hAnsi="Times New Roman" w:cs="Times New Roman"/>
          <w:b/>
          <w:iCs w:val="0"/>
          <w:szCs w:val="22"/>
        </w:rPr>
        <w:t>CQI determination</w:t>
      </w:r>
    </w:p>
    <w:p w14:paraId="028276C1" w14:textId="760289A9" w:rsidR="00114154" w:rsidRPr="009002FA" w:rsidRDefault="00114154" w:rsidP="00EF38CE">
      <w:pPr>
        <w:snapToGrid w:val="0"/>
        <w:spacing w:before="120" w:after="120"/>
        <w:jc w:val="both"/>
        <w:rPr>
          <w:rFonts w:eastAsia="Yu Mincho"/>
          <w:lang w:val="en-GB" w:eastAsia="ja-JP"/>
        </w:rPr>
      </w:pPr>
      <w:r>
        <w:rPr>
          <w:rFonts w:hint="eastAsia"/>
          <w:lang w:val="en-GB"/>
        </w:rPr>
        <w:t>F</w:t>
      </w:r>
      <w:r>
        <w:rPr>
          <w:lang w:val="en-GB"/>
        </w:rPr>
        <w:t>or TR 38.843, there are some</w:t>
      </w:r>
      <w:r>
        <w:rPr>
          <w:lang w:val="en-GB" w:eastAsia="ja-JP"/>
        </w:rPr>
        <w:t xml:space="preserve"> options for CQI determination.</w:t>
      </w:r>
      <w:r w:rsidR="009002FA">
        <w:rPr>
          <w:lang w:val="en-GB" w:eastAsia="ja-JP"/>
        </w:rPr>
        <w:t xml:space="preserve"> </w:t>
      </w:r>
    </w:p>
    <w:tbl>
      <w:tblPr>
        <w:tblStyle w:val="ae"/>
        <w:tblW w:w="0" w:type="auto"/>
        <w:tblLook w:val="04A0" w:firstRow="1" w:lastRow="0" w:firstColumn="1" w:lastColumn="0" w:noHBand="0" w:noVBand="1"/>
      </w:tblPr>
      <w:tblGrid>
        <w:gridCol w:w="9060"/>
      </w:tblGrid>
      <w:tr w:rsidR="009002FA" w14:paraId="2DBA59D5" w14:textId="77777777" w:rsidTr="006C4D64">
        <w:tc>
          <w:tcPr>
            <w:tcW w:w="9060" w:type="dxa"/>
          </w:tcPr>
          <w:p w14:paraId="7E4060C1" w14:textId="259B2E27" w:rsidR="009002FA" w:rsidRPr="00477AC9" w:rsidRDefault="009002FA" w:rsidP="00EF38CE">
            <w:pPr>
              <w:snapToGrid w:val="0"/>
              <w:spacing w:before="120" w:after="120"/>
              <w:jc w:val="both"/>
              <w:rPr>
                <w:rFonts w:eastAsia="等线" w:cs="Times New Roman"/>
                <w:b/>
                <w:bCs/>
                <w:lang w:val="en-GB"/>
              </w:rPr>
            </w:pPr>
            <w:r>
              <w:rPr>
                <w:rFonts w:eastAsia="等线" w:cs="Times New Roman"/>
                <w:b/>
                <w:bCs/>
                <w:lang w:val="en-GB"/>
              </w:rPr>
              <w:t>TR 38.843</w:t>
            </w:r>
          </w:p>
          <w:p w14:paraId="0768675C" w14:textId="77777777" w:rsidR="009002FA" w:rsidRPr="009002FA" w:rsidRDefault="009002FA" w:rsidP="00EF38CE">
            <w:pPr>
              <w:snapToGrid w:val="0"/>
              <w:spacing w:before="120" w:after="120"/>
              <w:ind w:leftChars="100" w:left="220"/>
              <w:jc w:val="both"/>
              <w:rPr>
                <w:rFonts w:eastAsia="等线" w:cs="Times New Roman"/>
                <w:sz w:val="20"/>
                <w:szCs w:val="20"/>
                <w:lang w:val="en-GB" w:eastAsia="ko-KR"/>
              </w:rPr>
            </w:pPr>
            <w:r w:rsidRPr="009002FA">
              <w:rPr>
                <w:rFonts w:eastAsia="等线" w:cs="Times New Roman"/>
                <w:sz w:val="20"/>
                <w:szCs w:val="20"/>
                <w:lang w:val="en-GB" w:eastAsia="ko-KR"/>
              </w:rPr>
              <w:t xml:space="preserve">For CQI determination in CSI report, if CQI in CSI report is configured. </w:t>
            </w:r>
          </w:p>
          <w:p w14:paraId="4B51D83D" w14:textId="77777777" w:rsidR="009002FA" w:rsidRPr="009002FA" w:rsidRDefault="009002FA" w:rsidP="00EF38CE">
            <w:pPr>
              <w:snapToGrid w:val="0"/>
              <w:spacing w:before="120" w:after="120"/>
              <w:ind w:leftChars="100" w:left="220"/>
              <w:jc w:val="both"/>
              <w:rPr>
                <w:rFonts w:eastAsia="等线" w:cs="Times New Roman"/>
                <w:sz w:val="20"/>
                <w:szCs w:val="20"/>
                <w:lang w:val="en-GB" w:eastAsia="ko-KR"/>
              </w:rPr>
            </w:pPr>
            <w:r w:rsidRPr="009002FA">
              <w:rPr>
                <w:rFonts w:eastAsia="等线" w:cs="Times New Roman"/>
                <w:sz w:val="20"/>
                <w:szCs w:val="20"/>
                <w:lang w:val="en-GB" w:eastAsia="ko-KR"/>
              </w:rPr>
              <w:t>-</w:t>
            </w:r>
            <w:r w:rsidRPr="009002FA">
              <w:rPr>
                <w:rFonts w:eastAsia="等线" w:cs="Times New Roman"/>
                <w:sz w:val="20"/>
                <w:szCs w:val="20"/>
                <w:lang w:val="en-GB" w:eastAsia="ko-KR"/>
              </w:rPr>
              <w:tab/>
              <w:t>Option 1: CQI is NOT calculated based on the output of CSI reconstruction part from the realistic channel estimation, including</w:t>
            </w:r>
          </w:p>
          <w:p w14:paraId="1DE16F42" w14:textId="77777777" w:rsidR="009002FA" w:rsidRPr="000B4122" w:rsidRDefault="009002FA" w:rsidP="00EF38CE">
            <w:pPr>
              <w:snapToGrid w:val="0"/>
              <w:spacing w:before="120" w:after="120"/>
              <w:ind w:leftChars="200" w:left="440"/>
              <w:jc w:val="both"/>
              <w:rPr>
                <w:rFonts w:eastAsia="等线" w:cs="Times New Roman"/>
                <w:color w:val="000000" w:themeColor="text1"/>
                <w:sz w:val="20"/>
                <w:szCs w:val="20"/>
                <w:lang w:val="en-GB" w:eastAsia="ko-KR"/>
              </w:rPr>
            </w:pPr>
            <w:r w:rsidRPr="000B4122">
              <w:rPr>
                <w:rFonts w:eastAsia="等线" w:cs="Times New Roman"/>
                <w:color w:val="000000" w:themeColor="text1"/>
                <w:sz w:val="20"/>
                <w:szCs w:val="20"/>
                <w:lang w:val="en-GB" w:eastAsia="ko-KR"/>
              </w:rPr>
              <w:t>-</w:t>
            </w:r>
            <w:r w:rsidRPr="000B4122">
              <w:rPr>
                <w:rFonts w:eastAsia="等线" w:cs="Times New Roman"/>
                <w:color w:val="000000" w:themeColor="text1"/>
                <w:sz w:val="20"/>
                <w:szCs w:val="20"/>
                <w:lang w:val="en-GB" w:eastAsia="ko-KR"/>
              </w:rPr>
              <w:tab/>
              <w:t xml:space="preserve">Option 1a: CQI is calculated based on target CSI with realistic channel measurement </w:t>
            </w:r>
          </w:p>
          <w:p w14:paraId="6C75FB4F" w14:textId="77777777" w:rsidR="009002FA" w:rsidRPr="000B4122" w:rsidRDefault="009002FA" w:rsidP="00EF38CE">
            <w:pPr>
              <w:snapToGrid w:val="0"/>
              <w:spacing w:before="120" w:after="120"/>
              <w:ind w:leftChars="200" w:left="440"/>
              <w:jc w:val="both"/>
              <w:rPr>
                <w:rFonts w:eastAsia="等线" w:cs="Times New Roman"/>
                <w:color w:val="000000" w:themeColor="text1"/>
                <w:sz w:val="20"/>
                <w:szCs w:val="20"/>
                <w:lang w:val="en-GB" w:eastAsia="ko-KR"/>
              </w:rPr>
            </w:pPr>
            <w:r w:rsidRPr="000B4122">
              <w:rPr>
                <w:rFonts w:eastAsia="等线" w:cs="Times New Roman"/>
                <w:color w:val="000000" w:themeColor="text1"/>
                <w:sz w:val="20"/>
                <w:szCs w:val="20"/>
                <w:lang w:val="en-GB" w:eastAsia="ko-KR"/>
              </w:rPr>
              <w:t>-</w:t>
            </w:r>
            <w:r w:rsidRPr="000B4122">
              <w:rPr>
                <w:rFonts w:eastAsia="等线" w:cs="Times New Roman"/>
                <w:color w:val="000000" w:themeColor="text1"/>
                <w:sz w:val="20"/>
                <w:szCs w:val="20"/>
                <w:lang w:val="en-GB" w:eastAsia="ko-KR"/>
              </w:rPr>
              <w:tab/>
              <w:t xml:space="preserve">Option 1b: CQI is calculated based on target CSI with realistic channel measurement and potential adjustment </w:t>
            </w:r>
          </w:p>
          <w:p w14:paraId="0536F8B8" w14:textId="77777777" w:rsidR="009002FA" w:rsidRPr="009002FA" w:rsidRDefault="009002FA" w:rsidP="00EF38CE">
            <w:pPr>
              <w:snapToGrid w:val="0"/>
              <w:spacing w:before="120" w:after="120"/>
              <w:ind w:leftChars="100" w:left="220"/>
              <w:jc w:val="both"/>
              <w:rPr>
                <w:rFonts w:eastAsia="等线" w:cs="Times New Roman"/>
                <w:sz w:val="20"/>
                <w:szCs w:val="20"/>
                <w:lang w:val="en-GB" w:eastAsia="ko-KR"/>
              </w:rPr>
            </w:pPr>
            <w:r w:rsidRPr="009002FA">
              <w:rPr>
                <w:rFonts w:eastAsia="等线" w:cs="Times New Roman"/>
                <w:sz w:val="20"/>
                <w:szCs w:val="20"/>
                <w:lang w:val="en-GB" w:eastAsia="ko-KR"/>
              </w:rPr>
              <w:t>-</w:t>
            </w:r>
            <w:r w:rsidRPr="009002FA">
              <w:rPr>
                <w:rFonts w:eastAsia="等线" w:cs="Times New Roman"/>
                <w:sz w:val="20"/>
                <w:szCs w:val="20"/>
                <w:lang w:val="en-GB" w:eastAsia="ko-KR"/>
              </w:rPr>
              <w:tab/>
              <w:t>Option 1c: CQI is calculated based on legacy codebook</w:t>
            </w:r>
          </w:p>
          <w:p w14:paraId="28F0576E" w14:textId="77777777" w:rsidR="009002FA" w:rsidRPr="009002FA" w:rsidRDefault="009002FA" w:rsidP="00EF38CE">
            <w:pPr>
              <w:snapToGrid w:val="0"/>
              <w:spacing w:before="120" w:after="120"/>
              <w:ind w:leftChars="100" w:left="220"/>
              <w:jc w:val="both"/>
              <w:rPr>
                <w:rFonts w:eastAsia="等线" w:cs="Times New Roman"/>
                <w:sz w:val="20"/>
                <w:szCs w:val="20"/>
                <w:lang w:val="en-GB" w:eastAsia="ko-KR"/>
              </w:rPr>
            </w:pPr>
            <w:r w:rsidRPr="009002FA">
              <w:rPr>
                <w:rFonts w:eastAsia="等线" w:cs="Times New Roman"/>
                <w:sz w:val="20"/>
                <w:szCs w:val="20"/>
                <w:lang w:val="en-GB" w:eastAsia="ko-KR"/>
              </w:rPr>
              <w:t>-</w:t>
            </w:r>
            <w:r w:rsidRPr="009002FA">
              <w:rPr>
                <w:rFonts w:eastAsia="等线" w:cs="Times New Roman"/>
                <w:sz w:val="20"/>
                <w:szCs w:val="20"/>
                <w:lang w:val="en-GB" w:eastAsia="ko-KR"/>
              </w:rPr>
              <w:tab/>
              <w:t>Option 2: CQI is calculated based on the output of CSI reconstruction part from the realistic channel estimation, including</w:t>
            </w:r>
          </w:p>
          <w:p w14:paraId="2756CD5C" w14:textId="77777777" w:rsidR="009002FA" w:rsidRPr="009002FA" w:rsidRDefault="009002FA" w:rsidP="00EF38CE">
            <w:pPr>
              <w:snapToGrid w:val="0"/>
              <w:spacing w:before="120" w:after="120"/>
              <w:ind w:leftChars="200" w:left="440"/>
              <w:jc w:val="both"/>
              <w:rPr>
                <w:rFonts w:eastAsia="等线" w:cs="Times New Roman"/>
                <w:sz w:val="20"/>
                <w:szCs w:val="20"/>
                <w:lang w:val="en-GB" w:eastAsia="ko-KR"/>
              </w:rPr>
            </w:pPr>
            <w:r w:rsidRPr="009002FA">
              <w:rPr>
                <w:rFonts w:eastAsia="等线" w:cs="Times New Roman"/>
                <w:sz w:val="20"/>
                <w:szCs w:val="20"/>
                <w:lang w:val="en-GB" w:eastAsia="ko-KR"/>
              </w:rPr>
              <w:t>-</w:t>
            </w:r>
            <w:r w:rsidRPr="009002FA">
              <w:rPr>
                <w:rFonts w:eastAsia="等线" w:cs="Times New Roman"/>
                <w:sz w:val="20"/>
                <w:szCs w:val="20"/>
                <w:lang w:val="en-GB" w:eastAsia="ko-KR"/>
              </w:rPr>
              <w:tab/>
              <w:t>Option 2a: CQI is calculated based on CSI reconstruction output, if CSI reconstruction model is available at the UE and UE can perform reconstruction model inference with potential adjustment</w:t>
            </w:r>
          </w:p>
          <w:p w14:paraId="48111751" w14:textId="77777777" w:rsidR="009002FA" w:rsidRPr="009002FA" w:rsidRDefault="009002FA" w:rsidP="00EF38CE">
            <w:pPr>
              <w:snapToGrid w:val="0"/>
              <w:spacing w:before="120" w:after="120"/>
              <w:ind w:leftChars="100" w:left="220" w:rightChars="100" w:right="220" w:firstLineChars="300" w:firstLine="600"/>
              <w:jc w:val="both"/>
              <w:rPr>
                <w:rFonts w:eastAsia="等线" w:cs="Times New Roman"/>
                <w:sz w:val="20"/>
                <w:szCs w:val="20"/>
                <w:lang w:val="en-GB" w:eastAsia="ko-KR"/>
              </w:rPr>
            </w:pPr>
            <w:r w:rsidRPr="009002FA">
              <w:rPr>
                <w:rFonts w:eastAsia="等线" w:cs="Times New Roman"/>
                <w:sz w:val="20"/>
                <w:szCs w:val="20"/>
                <w:lang w:val="en-GB" w:eastAsia="ko-KR"/>
              </w:rPr>
              <w:t>-</w:t>
            </w:r>
            <w:r w:rsidRPr="009002FA">
              <w:rPr>
                <w:rFonts w:eastAsia="等线" w:cs="Times New Roman"/>
                <w:sz w:val="20"/>
                <w:szCs w:val="20"/>
                <w:lang w:val="en-GB" w:eastAsia="ko-KR"/>
              </w:rPr>
              <w:tab/>
              <w:t xml:space="preserve">Note: CSI reconstruction part at the UE can be different comparing to the actual CSI reconstruction part used at the NW. </w:t>
            </w:r>
          </w:p>
          <w:p w14:paraId="52B8508C" w14:textId="77777777" w:rsidR="009002FA" w:rsidRPr="009002FA" w:rsidRDefault="009002FA" w:rsidP="00EF38CE">
            <w:pPr>
              <w:snapToGrid w:val="0"/>
              <w:spacing w:before="120" w:after="120"/>
              <w:ind w:leftChars="200" w:left="440"/>
              <w:jc w:val="both"/>
              <w:rPr>
                <w:rFonts w:eastAsia="等线" w:cs="Times New Roman"/>
                <w:sz w:val="20"/>
                <w:szCs w:val="20"/>
                <w:lang w:val="en-GB" w:eastAsia="ko-KR"/>
              </w:rPr>
            </w:pPr>
            <w:r w:rsidRPr="009002FA">
              <w:rPr>
                <w:rFonts w:eastAsia="等线" w:cs="Times New Roman"/>
                <w:sz w:val="20"/>
                <w:szCs w:val="20"/>
                <w:lang w:val="en-GB" w:eastAsia="ko-KR"/>
              </w:rPr>
              <w:t>-</w:t>
            </w:r>
            <w:r w:rsidRPr="009002FA">
              <w:rPr>
                <w:rFonts w:eastAsia="等线" w:cs="Times New Roman"/>
                <w:sz w:val="20"/>
                <w:szCs w:val="20"/>
                <w:lang w:val="en-GB" w:eastAsia="ko-KR"/>
              </w:rPr>
              <w:tab/>
              <w:t xml:space="preserve">Option 2b: CQI is calculated using two stage approach, UE derive </w:t>
            </w:r>
            <w:proofErr w:type="spellStart"/>
            <w:r w:rsidRPr="009002FA">
              <w:rPr>
                <w:rFonts w:eastAsia="等线" w:cs="Times New Roman"/>
                <w:sz w:val="20"/>
                <w:szCs w:val="20"/>
                <w:lang w:val="en-GB" w:eastAsia="ko-KR"/>
              </w:rPr>
              <w:t>CQI</w:t>
            </w:r>
            <w:proofErr w:type="spellEnd"/>
            <w:r w:rsidRPr="009002FA">
              <w:rPr>
                <w:rFonts w:eastAsia="等线" w:cs="Times New Roman"/>
                <w:sz w:val="20"/>
                <w:szCs w:val="20"/>
                <w:lang w:val="en-GB" w:eastAsia="ko-KR"/>
              </w:rPr>
              <w:t xml:space="preserve"> using </w:t>
            </w:r>
            <w:proofErr w:type="spellStart"/>
            <w:r w:rsidRPr="009002FA">
              <w:rPr>
                <w:rFonts w:eastAsia="等线" w:cs="Times New Roman"/>
                <w:sz w:val="20"/>
                <w:szCs w:val="20"/>
                <w:lang w:val="en-GB" w:eastAsia="ko-KR"/>
              </w:rPr>
              <w:t>precoded</w:t>
            </w:r>
            <w:proofErr w:type="spellEnd"/>
            <w:r w:rsidRPr="009002FA">
              <w:rPr>
                <w:rFonts w:eastAsia="等线" w:cs="Times New Roman"/>
                <w:sz w:val="20"/>
                <w:szCs w:val="20"/>
                <w:lang w:val="en-GB" w:eastAsia="ko-KR"/>
              </w:rPr>
              <w:t xml:space="preserve"> CSI-RS transmitted with a reconstructed precoder.   </w:t>
            </w:r>
          </w:p>
          <w:p w14:paraId="55BF7A0E" w14:textId="1DE946D1" w:rsidR="009002FA" w:rsidRPr="009002FA" w:rsidRDefault="009002FA" w:rsidP="00EF38CE">
            <w:pPr>
              <w:snapToGrid w:val="0"/>
              <w:spacing w:before="120" w:after="120"/>
              <w:ind w:leftChars="100" w:left="220"/>
              <w:jc w:val="both"/>
              <w:rPr>
                <w:rFonts w:eastAsia="Malgun Gothic" w:cs="Times New Roman"/>
                <w:sz w:val="20"/>
                <w:szCs w:val="20"/>
                <w:lang w:val="en-GB" w:eastAsia="ko-KR"/>
              </w:rPr>
            </w:pPr>
            <w:r w:rsidRPr="009002FA">
              <w:rPr>
                <w:rFonts w:eastAsia="等线" w:cs="Times New Roman"/>
                <w:sz w:val="20"/>
                <w:szCs w:val="20"/>
                <w:lang w:val="en-GB" w:eastAsia="ko-KR"/>
              </w:rPr>
              <w:t>-</w:t>
            </w:r>
            <w:r w:rsidRPr="009002FA">
              <w:rPr>
                <w:rFonts w:eastAsia="等线" w:cs="Times New Roman"/>
                <w:sz w:val="20"/>
                <w:szCs w:val="20"/>
                <w:lang w:val="en-GB" w:eastAsia="ko-KR"/>
              </w:rPr>
              <w:tab/>
              <w:t>Notes: feasibility of different options should be evaluated. Gap analyses between the UE side CQI calculation results and the NW side results, as well as the impact on the scheduling performance should be evaluated. Complexity of CQI calculation needs to be evaluated, including the computing complexity and potential RS/signalling overhead.</w:t>
            </w:r>
          </w:p>
        </w:tc>
      </w:tr>
    </w:tbl>
    <w:p w14:paraId="281CB2AB" w14:textId="784BF284" w:rsidR="00320C03" w:rsidRPr="00320C03" w:rsidRDefault="000D41FD" w:rsidP="005466DC">
      <w:pPr>
        <w:pStyle w:val="a0"/>
        <w:snapToGrid w:val="0"/>
        <w:spacing w:before="120"/>
        <w:jc w:val="both"/>
      </w:pPr>
      <w:r w:rsidRPr="00320C03">
        <w:t>By observing from the above options, it could be noticed that, for Option 2a, the UE may not necessarily obtain the CSI reconstruction part, e.g., for the inter-vendor collaboration Option 3a-1, only encoder is exchanged to the UE side.</w:t>
      </w:r>
      <w:r w:rsidR="00320C03" w:rsidRPr="00320C03">
        <w:t xml:space="preserve"> As for o</w:t>
      </w:r>
      <w:r w:rsidRPr="00320C03">
        <w:t>ption 2b</w:t>
      </w:r>
      <w:r w:rsidR="00320C03" w:rsidRPr="00320C03">
        <w:t>, it</w:t>
      </w:r>
      <w:r w:rsidRPr="00320C03">
        <w:t xml:space="preserve"> can be supported by the legacy configuration, and no addition spec effort is needed. </w:t>
      </w:r>
      <w:r w:rsidR="00320C03" w:rsidRPr="00320C03">
        <w:rPr>
          <w:rFonts w:hint="eastAsia"/>
        </w:rPr>
        <w:t>T</w:t>
      </w:r>
      <w:r w:rsidR="00320C03" w:rsidRPr="00320C03">
        <w:t>herefore, the discussion can be focused on Option 1a/1b</w:t>
      </w:r>
      <w:r w:rsidR="00320C03" w:rsidRPr="00320C03">
        <w:rPr>
          <w:rFonts w:hint="eastAsia"/>
        </w:rPr>
        <w:t>.</w:t>
      </w:r>
    </w:p>
    <w:p w14:paraId="5C564E31" w14:textId="638659E9" w:rsidR="000D41FD" w:rsidRPr="00320C03" w:rsidRDefault="00320C03" w:rsidP="00EF38CE">
      <w:pPr>
        <w:pStyle w:val="a0"/>
        <w:snapToGrid w:val="0"/>
        <w:spacing w:before="120"/>
        <w:jc w:val="both"/>
      </w:pPr>
      <w:r w:rsidRPr="00320C03">
        <w:t>Option 1a is the simplest one. An issue may exist is that the potential misalignment between the Target CSI (realistic channel measurement) and the reconstructed CSI</w:t>
      </w:r>
      <w:r>
        <w:t xml:space="preserve">, may leading to overestimation of CQI </w:t>
      </w:r>
      <w:r w:rsidR="009B64DE">
        <w:t>calculated by the UE. While for Option 1b, for the potential adjustment</w:t>
      </w:r>
      <w:r w:rsidR="00CD3934">
        <w:t>, there are two potential scenarios: 1) the adjustment is done by UE</w:t>
      </w:r>
      <w:r w:rsidR="006C4D64">
        <w:t xml:space="preserve"> without any external information</w:t>
      </w:r>
      <w:r w:rsidR="00CD3934">
        <w:t>, and 2)</w:t>
      </w:r>
      <w:r w:rsidR="006C4D64">
        <w:t xml:space="preserve"> the adjustment is done by UE with information </w:t>
      </w:r>
      <w:r w:rsidR="006C4D64">
        <w:rPr>
          <w:rFonts w:eastAsiaTheme="minorEastAsia"/>
        </w:rPr>
        <w:t>indicated by NW, e.g., CQI compensation information. For situation 1), it is up to UE’s implementation and there is extra spec impact. For sit</w:t>
      </w:r>
      <w:r w:rsidR="006C4D64" w:rsidRPr="006C4D64">
        <w:t xml:space="preserve">uation 2), since the compensation information is provided by the NW, the CQI adjustment can also be directly completed by the NW, and it seems unnecessary for the UE-side to adjust. </w:t>
      </w:r>
      <w:r w:rsidR="00CD3934">
        <w:t xml:space="preserve">  </w:t>
      </w:r>
    </w:p>
    <w:p w14:paraId="45556A78" w14:textId="386BC420" w:rsidR="00FE685B" w:rsidRDefault="00FE685B" w:rsidP="00EF38CE">
      <w:pPr>
        <w:pStyle w:val="a0"/>
        <w:snapToGrid w:val="0"/>
        <w:spacing w:before="120"/>
        <w:jc w:val="both"/>
        <w:rPr>
          <w:b/>
          <w:bCs/>
          <w:i/>
        </w:rPr>
      </w:pPr>
      <w:r w:rsidRPr="0091549C">
        <w:rPr>
          <w:b/>
          <w:bCs/>
          <w:i/>
        </w:rPr>
        <w:t xml:space="preserve">Proposal </w:t>
      </w:r>
      <w:r w:rsidR="00D7406B">
        <w:rPr>
          <w:b/>
          <w:bCs/>
          <w:i/>
        </w:rPr>
        <w:t>4</w:t>
      </w:r>
      <w:r>
        <w:rPr>
          <w:b/>
          <w:bCs/>
          <w:i/>
        </w:rPr>
        <w:t xml:space="preserve">: For CQI </w:t>
      </w:r>
      <w:r w:rsidRPr="00FE685B">
        <w:rPr>
          <w:b/>
          <w:bCs/>
          <w:i/>
        </w:rPr>
        <w:t>determination</w:t>
      </w:r>
      <w:r>
        <w:rPr>
          <w:b/>
          <w:bCs/>
          <w:i/>
        </w:rPr>
        <w:t>, support option 1a</w:t>
      </w:r>
      <w:r w:rsidR="00B501CE">
        <w:rPr>
          <w:b/>
          <w:bCs/>
          <w:i/>
        </w:rPr>
        <w:t>,</w:t>
      </w:r>
      <w:r w:rsidR="00B501CE" w:rsidRPr="00B501CE">
        <w:t xml:space="preserve"> </w:t>
      </w:r>
      <w:r w:rsidR="00B501CE" w:rsidRPr="00B501CE">
        <w:rPr>
          <w:b/>
          <w:bCs/>
          <w:i/>
        </w:rPr>
        <w:t>CQI is calculated based on target CSI with realistic channel measurement.</w:t>
      </w:r>
    </w:p>
    <w:p w14:paraId="51AAC72E" w14:textId="4331BDD7" w:rsidR="00577F7B" w:rsidRDefault="00577F7B" w:rsidP="00EF38CE">
      <w:pPr>
        <w:pStyle w:val="2"/>
        <w:numPr>
          <w:ilvl w:val="1"/>
          <w:numId w:val="1"/>
        </w:numPr>
        <w:autoSpaceDE w:val="0"/>
        <w:autoSpaceDN w:val="0"/>
        <w:adjustRightInd w:val="0"/>
        <w:snapToGrid w:val="0"/>
        <w:spacing w:before="120" w:after="120"/>
        <w:ind w:left="0" w:firstLine="0"/>
        <w:jc w:val="both"/>
        <w:rPr>
          <w:rFonts w:ascii="Times New Roman" w:eastAsiaTheme="minorEastAsia" w:hAnsi="Times New Roman" w:cs="Times New Roman"/>
          <w:b/>
          <w:iCs w:val="0"/>
          <w:szCs w:val="22"/>
        </w:rPr>
      </w:pPr>
      <w:r>
        <w:rPr>
          <w:rFonts w:ascii="Times New Roman" w:eastAsiaTheme="minorEastAsia" w:hAnsi="Times New Roman" w:cs="Times New Roman"/>
          <w:b/>
          <w:iCs w:val="0"/>
          <w:szCs w:val="22"/>
        </w:rPr>
        <w:lastRenderedPageBreak/>
        <w:t>UCI mapping</w:t>
      </w:r>
    </w:p>
    <w:p w14:paraId="4186DA96" w14:textId="7D93E032" w:rsidR="00577F7B" w:rsidRPr="007A5901" w:rsidRDefault="00577F7B" w:rsidP="00EF38CE">
      <w:pPr>
        <w:snapToGrid w:val="0"/>
        <w:spacing w:before="120" w:after="120"/>
        <w:jc w:val="both"/>
        <w:rPr>
          <w:rFonts w:eastAsia="等线" w:cs="Times New Roman"/>
          <w:lang w:val="en-GB"/>
        </w:rPr>
      </w:pPr>
      <w:r w:rsidRPr="007A5901">
        <w:rPr>
          <w:rFonts w:eastAsia="等线" w:cs="Times New Roman"/>
          <w:lang w:val="en-GB"/>
        </w:rPr>
        <w:t>For UCI mapping, it has been agreed that the framework of two parts CSI is considered as the start point</w:t>
      </w:r>
      <w:r>
        <w:rPr>
          <w:rFonts w:eastAsia="等线" w:cs="Times New Roman"/>
          <w:lang w:val="en-GB"/>
        </w:rPr>
        <w:t xml:space="preserve"> in TR 38.843.</w:t>
      </w:r>
    </w:p>
    <w:tbl>
      <w:tblPr>
        <w:tblStyle w:val="ae"/>
        <w:tblW w:w="0" w:type="auto"/>
        <w:tblLook w:val="04A0" w:firstRow="1" w:lastRow="0" w:firstColumn="1" w:lastColumn="0" w:noHBand="0" w:noVBand="1"/>
      </w:tblPr>
      <w:tblGrid>
        <w:gridCol w:w="9060"/>
      </w:tblGrid>
      <w:tr w:rsidR="00577F7B" w:rsidRPr="007A5901" w14:paraId="37C0D636" w14:textId="77777777" w:rsidTr="006C4D64">
        <w:tc>
          <w:tcPr>
            <w:tcW w:w="9629" w:type="dxa"/>
          </w:tcPr>
          <w:p w14:paraId="6D7C90A2" w14:textId="206E14FD" w:rsidR="00577F7B" w:rsidRPr="007A5901" w:rsidRDefault="00577F7B" w:rsidP="00EF38CE">
            <w:pPr>
              <w:snapToGrid w:val="0"/>
              <w:spacing w:before="120" w:after="120"/>
              <w:jc w:val="both"/>
              <w:rPr>
                <w:rFonts w:eastAsia="等线" w:cs="Times New Roman"/>
                <w:lang w:val="en-GB"/>
              </w:rPr>
            </w:pPr>
            <w:r>
              <w:rPr>
                <w:rFonts w:eastAsia="等线" w:cs="Times New Roman"/>
                <w:b/>
                <w:bCs/>
                <w:lang w:val="en-GB"/>
              </w:rPr>
              <w:t xml:space="preserve">TR 38.843 </w:t>
            </w:r>
            <w:r w:rsidRPr="00577F7B">
              <w:rPr>
                <w:rFonts w:eastAsia="等线" w:cs="Times New Roman"/>
                <w:b/>
                <w:bCs/>
                <w:lang w:val="en-GB"/>
              </w:rPr>
              <w:t xml:space="preserve">CSI configuration and report: </w:t>
            </w:r>
          </w:p>
          <w:p w14:paraId="33434BD4" w14:textId="77777777" w:rsidR="00577F7B" w:rsidRPr="007A5901" w:rsidRDefault="00577F7B" w:rsidP="00EF38CE">
            <w:pPr>
              <w:snapToGrid w:val="0"/>
              <w:spacing w:before="120" w:after="120"/>
              <w:jc w:val="both"/>
              <w:rPr>
                <w:rFonts w:eastAsia="等线" w:cs="Times New Roman"/>
                <w:lang w:val="en-GB"/>
              </w:rPr>
            </w:pPr>
            <w:r w:rsidRPr="00577F7B">
              <w:rPr>
                <w:rFonts w:eastAsia="等线" w:cs="Times New Roman"/>
                <w:sz w:val="20"/>
                <w:szCs w:val="20"/>
                <w:lang w:val="en-GB" w:eastAsia="ko-KR"/>
              </w:rPr>
              <w:t>-</w:t>
            </w:r>
            <w:r w:rsidRPr="00577F7B">
              <w:rPr>
                <w:rFonts w:eastAsia="等线" w:cs="Times New Roman"/>
                <w:sz w:val="20"/>
                <w:szCs w:val="20"/>
                <w:lang w:val="en-GB" w:eastAsia="ko-KR"/>
              </w:rPr>
              <w:tab/>
              <w:t xml:space="preserve">Relevant UCI format considering the legacy CSI reporting principle with CSI Part 1 and Part 2 as a starting point, where Part 1 has a network configured fixed size and Part 2 size is dynamic, determined by information in Part 1. </w:t>
            </w:r>
          </w:p>
        </w:tc>
      </w:tr>
    </w:tbl>
    <w:p w14:paraId="7BE6B96B" w14:textId="3C5E800D" w:rsidR="00577F7B" w:rsidRPr="001114E0" w:rsidRDefault="00E63475" w:rsidP="00EF38CE">
      <w:pPr>
        <w:snapToGrid w:val="0"/>
        <w:spacing w:before="120" w:after="120"/>
        <w:jc w:val="both"/>
        <w:rPr>
          <w:rFonts w:eastAsia="等线" w:cs="Times New Roman"/>
          <w:lang w:val="en-GB"/>
        </w:rPr>
      </w:pPr>
      <w:r>
        <w:rPr>
          <w:rFonts w:eastAsia="等线" w:cs="Times New Roman"/>
          <w:lang w:val="en-GB"/>
        </w:rPr>
        <w:t>For</w:t>
      </w:r>
      <w:r w:rsidR="00577F7B" w:rsidRPr="001114E0">
        <w:rPr>
          <w:rFonts w:eastAsia="等线" w:cs="Times New Roman"/>
          <w:lang w:val="en-GB"/>
        </w:rPr>
        <w:t xml:space="preserve"> legacy </w:t>
      </w:r>
      <w:proofErr w:type="spellStart"/>
      <w:r w:rsidR="00577F7B" w:rsidRPr="001114E0">
        <w:rPr>
          <w:rFonts w:eastAsia="等线" w:cs="Times New Roman"/>
          <w:lang w:val="en-GB"/>
        </w:rPr>
        <w:t>eType</w:t>
      </w:r>
      <w:proofErr w:type="spellEnd"/>
      <w:r w:rsidR="00577F7B" w:rsidRPr="001114E0">
        <w:rPr>
          <w:rFonts w:eastAsia="等线" w:cs="Times New Roman"/>
          <w:lang w:val="en-GB"/>
        </w:rPr>
        <w:t xml:space="preserve"> II codebook, CSI Part 2 is organized into three groups</w:t>
      </w:r>
      <w:r w:rsidR="00C711C1">
        <w:rPr>
          <w:rFonts w:eastAsia="等线" w:cs="Times New Roman"/>
          <w:lang w:val="en-GB"/>
        </w:rPr>
        <w:t>:</w:t>
      </w:r>
    </w:p>
    <w:p w14:paraId="5D643BF9" w14:textId="21F218C8" w:rsidR="00577F7B" w:rsidRPr="001114E0" w:rsidRDefault="00577F7B" w:rsidP="007E4DE3">
      <w:pPr>
        <w:pStyle w:val="aa"/>
        <w:numPr>
          <w:ilvl w:val="0"/>
          <w:numId w:val="15"/>
        </w:numPr>
        <w:snapToGrid w:val="0"/>
        <w:spacing w:before="120" w:after="120" w:line="259" w:lineRule="auto"/>
        <w:jc w:val="both"/>
        <w:rPr>
          <w:rFonts w:ascii="Times New Roman" w:eastAsia="等线" w:hAnsi="Times New Roman" w:cs="Times New Roman"/>
          <w:lang w:val="en-GB"/>
        </w:rPr>
      </w:pPr>
      <w:r w:rsidRPr="001114E0">
        <w:rPr>
          <w:rFonts w:ascii="Times New Roman" w:eastAsia="等线" w:hAnsi="Times New Roman" w:cs="Times New Roman"/>
          <w:lang w:val="en-GB"/>
        </w:rPr>
        <w:t>G</w:t>
      </w:r>
      <w:r w:rsidR="00E63475">
        <w:rPr>
          <w:rFonts w:ascii="Times New Roman" w:eastAsia="等线" w:hAnsi="Times New Roman" w:cs="Times New Roman"/>
          <w:lang w:val="en-GB"/>
        </w:rPr>
        <w:t xml:space="preserve">roup </w:t>
      </w:r>
      <w:r w:rsidRPr="001114E0">
        <w:rPr>
          <w:rFonts w:ascii="Times New Roman" w:eastAsia="等线" w:hAnsi="Times New Roman" w:cs="Times New Roman"/>
          <w:lang w:val="en-GB"/>
        </w:rPr>
        <w:t>0: Spatial-domain basis vector indicator, and significant coefficient indicator</w:t>
      </w:r>
      <w:r w:rsidR="00E63475">
        <w:rPr>
          <w:rFonts w:ascii="Times New Roman" w:eastAsia="等线" w:hAnsi="Times New Roman" w:cs="Times New Roman"/>
          <w:lang w:val="en-GB"/>
        </w:rPr>
        <w:t xml:space="preserve"> per layer</w:t>
      </w:r>
      <w:r w:rsidRPr="001114E0">
        <w:rPr>
          <w:rFonts w:ascii="Times New Roman" w:eastAsia="等线" w:hAnsi="Times New Roman" w:cs="Times New Roman"/>
          <w:lang w:val="en-GB"/>
        </w:rPr>
        <w:t>.</w:t>
      </w:r>
    </w:p>
    <w:p w14:paraId="695DB445" w14:textId="1F8B8A5F" w:rsidR="00577F7B" w:rsidRPr="001114E0" w:rsidRDefault="00E63475" w:rsidP="007E4DE3">
      <w:pPr>
        <w:pStyle w:val="aa"/>
        <w:numPr>
          <w:ilvl w:val="0"/>
          <w:numId w:val="15"/>
        </w:numPr>
        <w:snapToGrid w:val="0"/>
        <w:spacing w:before="120" w:after="120" w:line="259" w:lineRule="auto"/>
        <w:jc w:val="both"/>
        <w:rPr>
          <w:rFonts w:ascii="Times New Roman" w:eastAsia="等线" w:hAnsi="Times New Roman" w:cs="Times New Roman"/>
          <w:lang w:val="en-GB"/>
        </w:rPr>
      </w:pPr>
      <w:r w:rsidRPr="001114E0">
        <w:rPr>
          <w:rFonts w:ascii="Times New Roman" w:eastAsia="等线" w:hAnsi="Times New Roman" w:cs="Times New Roman"/>
          <w:lang w:val="en-GB"/>
        </w:rPr>
        <w:t>G</w:t>
      </w:r>
      <w:r>
        <w:rPr>
          <w:rFonts w:ascii="Times New Roman" w:eastAsia="等线" w:hAnsi="Times New Roman" w:cs="Times New Roman"/>
          <w:lang w:val="en-GB"/>
        </w:rPr>
        <w:t>roup</w:t>
      </w:r>
      <w:r w:rsidRPr="001114E0">
        <w:rPr>
          <w:rFonts w:ascii="Times New Roman" w:eastAsia="等线" w:hAnsi="Times New Roman" w:cs="Times New Roman"/>
          <w:lang w:val="en-GB"/>
        </w:rPr>
        <w:t xml:space="preserve"> </w:t>
      </w:r>
      <w:r w:rsidR="00577F7B" w:rsidRPr="001114E0">
        <w:rPr>
          <w:rFonts w:ascii="Times New Roman" w:eastAsia="等线" w:hAnsi="Times New Roman" w:cs="Times New Roman"/>
          <w:lang w:val="en-GB"/>
        </w:rPr>
        <w:t>1: Frequency-domain basis vector indicator and high-priority non-zero coefficients.</w:t>
      </w:r>
    </w:p>
    <w:p w14:paraId="4AD99BB9" w14:textId="1A760126" w:rsidR="00577F7B" w:rsidRDefault="00E63475" w:rsidP="007E4DE3">
      <w:pPr>
        <w:pStyle w:val="aa"/>
        <w:numPr>
          <w:ilvl w:val="0"/>
          <w:numId w:val="15"/>
        </w:numPr>
        <w:snapToGrid w:val="0"/>
        <w:spacing w:before="120" w:after="120" w:line="259" w:lineRule="auto"/>
        <w:jc w:val="both"/>
        <w:rPr>
          <w:rFonts w:ascii="Times New Roman" w:eastAsia="等线" w:hAnsi="Times New Roman" w:cs="Times New Roman"/>
          <w:lang w:val="en-GB"/>
        </w:rPr>
      </w:pPr>
      <w:r w:rsidRPr="001114E0">
        <w:rPr>
          <w:rFonts w:ascii="Times New Roman" w:eastAsia="等线" w:hAnsi="Times New Roman" w:cs="Times New Roman"/>
          <w:lang w:val="en-GB"/>
        </w:rPr>
        <w:t>G</w:t>
      </w:r>
      <w:r>
        <w:rPr>
          <w:rFonts w:ascii="Times New Roman" w:eastAsia="等线" w:hAnsi="Times New Roman" w:cs="Times New Roman"/>
          <w:lang w:val="en-GB"/>
        </w:rPr>
        <w:t>roup</w:t>
      </w:r>
      <w:r w:rsidRPr="001114E0">
        <w:rPr>
          <w:rFonts w:ascii="Times New Roman" w:eastAsia="等线" w:hAnsi="Times New Roman" w:cs="Times New Roman"/>
          <w:lang w:val="en-GB"/>
        </w:rPr>
        <w:t xml:space="preserve"> </w:t>
      </w:r>
      <w:r w:rsidR="00577F7B" w:rsidRPr="001114E0">
        <w:rPr>
          <w:rFonts w:ascii="Times New Roman" w:eastAsia="等线" w:hAnsi="Times New Roman" w:cs="Times New Roman"/>
          <w:lang w:val="en-GB"/>
        </w:rPr>
        <w:t>2: Low-priority non-zero coefficients.</w:t>
      </w:r>
    </w:p>
    <w:p w14:paraId="123391EF" w14:textId="7947AD06" w:rsidR="00EF1946" w:rsidRDefault="00BF2768" w:rsidP="00EF38CE">
      <w:pPr>
        <w:snapToGrid w:val="0"/>
        <w:spacing w:before="120" w:after="120" w:line="259" w:lineRule="auto"/>
        <w:jc w:val="both"/>
        <w:rPr>
          <w:rFonts w:cs="Times New Roman"/>
        </w:rPr>
      </w:pPr>
      <w:r>
        <w:rPr>
          <w:rFonts w:eastAsia="等线" w:cs="Times New Roman"/>
          <w:lang w:val="en-GB"/>
        </w:rPr>
        <w:t>E</w:t>
      </w:r>
      <w:r w:rsidR="003A695D" w:rsidRPr="003A695D">
        <w:rPr>
          <w:rFonts w:eastAsia="等线" w:cs="Times New Roman"/>
          <w:lang w:val="en-GB"/>
        </w:rPr>
        <w:t>ach group</w:t>
      </w:r>
      <w:r w:rsidR="003A695D">
        <w:rPr>
          <w:rFonts w:eastAsia="等线" w:cs="Times New Roman" w:hint="eastAsia"/>
          <w:lang w:val="en-GB"/>
        </w:rPr>
        <w:t xml:space="preserve"> con</w:t>
      </w:r>
      <w:r w:rsidR="003A695D">
        <w:rPr>
          <w:rFonts w:eastAsia="等线" w:cs="Times New Roman"/>
          <w:lang w:val="en-GB"/>
        </w:rPr>
        <w:t xml:space="preserve">tains all layers’ information, </w:t>
      </w:r>
      <w:r w:rsidR="00DC2689" w:rsidRPr="00DC2689">
        <w:rPr>
          <w:rFonts w:eastAsia="等线" w:cs="Times New Roman"/>
          <w:lang w:val="en-GB"/>
        </w:rPr>
        <w:t>and the rank remains unchanged even if one group is omitted</w:t>
      </w:r>
      <w:r>
        <w:rPr>
          <w:rFonts w:eastAsia="等线" w:cs="Times New Roman"/>
          <w:lang w:val="en-GB"/>
        </w:rPr>
        <w:t>.</w:t>
      </w:r>
      <w:r w:rsidR="0012365C">
        <w:rPr>
          <w:rFonts w:eastAsia="等线" w:cs="Times New Roman"/>
          <w:lang w:val="en-GB"/>
        </w:rPr>
        <w:t xml:space="preserve"> For CSI compression, the CSI feedback </w:t>
      </w:r>
      <w:r w:rsidR="00A415A3">
        <w:rPr>
          <w:rFonts w:eastAsia="等线" w:cs="Times New Roman"/>
          <w:lang w:val="en-GB"/>
        </w:rPr>
        <w:t xml:space="preserve">bits </w:t>
      </w:r>
      <w:r w:rsidR="0012365C">
        <w:rPr>
          <w:rFonts w:eastAsia="等线" w:cs="Times New Roman"/>
          <w:lang w:val="en-GB"/>
        </w:rPr>
        <w:t>have no physical meaning.</w:t>
      </w:r>
      <w:r w:rsidR="00E525F8">
        <w:rPr>
          <w:rFonts w:eastAsia="等线" w:cs="Times New Roman"/>
          <w:lang w:val="en-GB"/>
        </w:rPr>
        <w:t xml:space="preserve"> </w:t>
      </w:r>
      <w:r w:rsidR="00DC2689" w:rsidRPr="00DC2689">
        <w:rPr>
          <w:rFonts w:eastAsia="等线" w:cs="Times New Roman"/>
          <w:lang w:val="en-GB"/>
        </w:rPr>
        <w:t>A layer-index-based UCI grouping offers a straightforward solution but leads to rank reduction when CSI omission occurs</w:t>
      </w:r>
      <w:r w:rsidR="00DC767E">
        <w:rPr>
          <w:rFonts w:eastAsia="等线" w:cs="Times New Roman"/>
          <w:lang w:val="en-GB"/>
        </w:rPr>
        <w:t>.</w:t>
      </w:r>
      <w:r w:rsidR="00DC767E" w:rsidRPr="00DC767E">
        <w:rPr>
          <w:rFonts w:eastAsia="等线" w:cs="Times New Roman"/>
          <w:lang w:val="en-GB"/>
        </w:rPr>
        <w:t xml:space="preserve"> </w:t>
      </w:r>
      <w:r w:rsidR="00781CA1">
        <w:rPr>
          <w:rFonts w:eastAsia="等线" w:cs="Times New Roman"/>
          <w:lang w:val="en-GB"/>
        </w:rPr>
        <w:t>A</w:t>
      </w:r>
      <w:r w:rsidR="00781CA1" w:rsidRPr="00781CA1">
        <w:rPr>
          <w:rFonts w:eastAsia="等线" w:cs="Times New Roman"/>
          <w:lang w:val="en-GB"/>
        </w:rPr>
        <w:t xml:space="preserve">nother </w:t>
      </w:r>
      <w:r w:rsidR="00F25B8F">
        <w:rPr>
          <w:rFonts w:eastAsia="等线" w:cs="Times New Roman"/>
          <w:lang w:val="en-GB"/>
        </w:rPr>
        <w:t>way</w:t>
      </w:r>
      <w:r w:rsidR="00781CA1" w:rsidRPr="00781CA1">
        <w:rPr>
          <w:rFonts w:eastAsia="等线" w:cs="Times New Roman"/>
          <w:lang w:val="en-GB"/>
        </w:rPr>
        <w:t xml:space="preserve"> is based on portions of each layer similar to the eT2 approach.</w:t>
      </w:r>
      <w:r w:rsidR="00781CA1" w:rsidRPr="00781CA1">
        <w:t xml:space="preserve"> </w:t>
      </w:r>
      <w:r w:rsidR="00F25B8F">
        <w:t xml:space="preserve">There </w:t>
      </w:r>
      <w:r w:rsidR="00DF7476">
        <w:t>are</w:t>
      </w:r>
      <w:r w:rsidR="00F25B8F">
        <w:t xml:space="preserve"> two potential options. The first </w:t>
      </w:r>
      <w:r w:rsidR="00EF1946">
        <w:t xml:space="preserve">option </w:t>
      </w:r>
      <w:r w:rsidR="00F25B8F">
        <w:t xml:space="preserve">is based on </w:t>
      </w:r>
      <w:r w:rsidR="00EF1946">
        <w:t>output dimension index or segment index</w:t>
      </w:r>
      <w:r w:rsidR="00A91968">
        <w:t xml:space="preserve">. </w:t>
      </w:r>
      <w:r w:rsidR="00B67DAA" w:rsidRPr="00375AE7">
        <w:t>For</w:t>
      </w:r>
      <w:r w:rsidR="00B67DAA">
        <w:t xml:space="preserve"> example, for </w:t>
      </w:r>
      <w:r w:rsidR="00B67DAA" w:rsidRPr="00375AE7">
        <w:t xml:space="preserve">a certain layer </w:t>
      </w:r>
      <m:oMath>
        <m:r>
          <w:rPr>
            <w:rFonts w:ascii="Cambria Math" w:hAnsi="Cambria Math"/>
          </w:rPr>
          <m:t>l</m:t>
        </m:r>
      </m:oMath>
      <w:r w:rsidR="00B67DAA" w:rsidRPr="00375AE7">
        <w:t xml:space="preserve"> and rank </w:t>
      </w:r>
      <m:oMath>
        <m:r>
          <m:rPr>
            <m:sty m:val="p"/>
          </m:rPr>
          <w:rPr>
            <w:rFonts w:ascii="Cambria Math" w:hAnsi="Cambria Math"/>
          </w:rPr>
          <m:t>ν</m:t>
        </m:r>
      </m:oMath>
      <w:r w:rsidR="00B67DAA" w:rsidRPr="00375AE7">
        <w:t>,</w:t>
      </w:r>
      <w:r w:rsidR="00B67DAA">
        <w:t xml:space="preserve"> </w:t>
      </w:r>
      <w:r w:rsidR="007B0102">
        <w:t xml:space="preserve">the </w:t>
      </w:r>
      <w:r w:rsidR="007B0102" w:rsidRPr="00375AE7">
        <w:t>latent message</w:t>
      </w:r>
      <w:r w:rsidR="007B0102">
        <w:t xml:space="preserve"> contains 32 elements, </w:t>
      </w:r>
      <w:r w:rsidR="00CB25A0">
        <w:t>i.e.,</w:t>
      </w:r>
      <w:r w:rsidR="007B0102">
        <w:t xml:space="preserve"> </w:t>
      </w:r>
      <m:oMath>
        <m:sSup>
          <m:sSupPr>
            <m:ctrlPr>
              <w:rPr>
                <w:rFonts w:ascii="Cambria Math" w:hAnsi="Cambria Math"/>
              </w:rPr>
            </m:ctrlPr>
          </m:sSupPr>
          <m:e>
            <m:r>
              <m:rPr>
                <m:sty m:val="p"/>
              </m:rPr>
              <w:rPr>
                <w:rFonts w:ascii="Cambria Math" w:hAnsi="Cambria Math"/>
              </w:rPr>
              <m:t>z</m:t>
            </m:r>
          </m:e>
          <m:sup>
            <m:r>
              <w:rPr>
                <w:rFonts w:ascii="Cambria Math" w:hAnsi="Cambria Math"/>
              </w:rPr>
              <m:t>l</m:t>
            </m:r>
          </m:sup>
        </m:sSup>
        <m:r>
          <m:rPr>
            <m:sty m:val="p"/>
          </m:rPr>
          <w:rPr>
            <w:rFonts w:ascii="Cambria Math" w:hAnsi="Cambria Math"/>
          </w:rPr>
          <m:t>=</m:t>
        </m:r>
        <m:d>
          <m:dPr>
            <m:begChr m:val="["/>
            <m:endChr m:val="]"/>
            <m:ctrlPr>
              <w:rPr>
                <w:rFonts w:ascii="Cambria Math" w:hAnsi="Cambria Math"/>
              </w:rPr>
            </m:ctrlPr>
          </m:dPr>
          <m:e>
            <m:sSubSup>
              <m:sSubSupPr>
                <m:ctrlPr>
                  <w:rPr>
                    <w:rFonts w:ascii="Cambria Math" w:hAnsi="Cambria Math"/>
                  </w:rPr>
                </m:ctrlPr>
              </m:sSubSupPr>
              <m:e>
                <m:r>
                  <m:rPr>
                    <m:sty m:val="p"/>
                  </m:rPr>
                  <w:rPr>
                    <w:rFonts w:ascii="Cambria Math" w:hAnsi="Cambria Math"/>
                  </w:rPr>
                  <m:t>z</m:t>
                </m:r>
              </m:e>
              <m:sub>
                <m:r>
                  <m:rPr>
                    <m:sty m:val="p"/>
                  </m:rPr>
                  <w:rPr>
                    <w:rFonts w:ascii="Cambria Math" w:hAnsi="Cambria Math"/>
                  </w:rPr>
                  <m:t>0</m:t>
                </m:r>
              </m:sub>
              <m:sup>
                <m:r>
                  <w:rPr>
                    <w:rFonts w:ascii="Cambria Math" w:hAnsi="Cambria Math"/>
                  </w:rPr>
                  <m:t>l</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z</m:t>
                </m:r>
              </m:e>
              <m:sub>
                <m:r>
                  <m:rPr>
                    <m:sty m:val="p"/>
                  </m:rPr>
                  <w:rPr>
                    <w:rFonts w:ascii="Cambria Math" w:hAnsi="Cambria Math"/>
                  </w:rPr>
                  <m:t>1</m:t>
                </m:r>
              </m:sub>
              <m:sup>
                <m:r>
                  <w:rPr>
                    <w:rFonts w:ascii="Cambria Math" w:hAnsi="Cambria Math"/>
                  </w:rPr>
                  <m:t>l</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z</m:t>
                </m:r>
              </m:e>
              <m:sub>
                <m:r>
                  <m:rPr>
                    <m:sty m:val="p"/>
                  </m:rPr>
                  <w:rPr>
                    <w:rFonts w:ascii="Cambria Math" w:hAnsi="Cambria Math"/>
                  </w:rPr>
                  <m:t>31</m:t>
                </m:r>
              </m:sub>
              <m:sup>
                <m:r>
                  <w:rPr>
                    <w:rFonts w:ascii="Cambria Math" w:hAnsi="Cambria Math"/>
                  </w:rPr>
                  <m:t>l</m:t>
                </m:r>
              </m:sup>
            </m:sSubSup>
          </m:e>
        </m:d>
      </m:oMath>
      <w:r w:rsidR="008F7C81">
        <w:t>. A</w:t>
      </w:r>
      <w:r w:rsidR="00DF7476" w:rsidRPr="00DF7476">
        <w:rPr>
          <w:rFonts w:cs="Times New Roman"/>
        </w:rPr>
        <w:t xml:space="preserve"> latent message with 32 elements can be split into two 16-element groups, as illustrated in Figure 1(a).</w:t>
      </w:r>
      <w:r w:rsidR="00981F9F">
        <w:t xml:space="preserve"> </w:t>
      </w:r>
      <w:r w:rsidR="00EF1946">
        <w:t xml:space="preserve">The second option is based on </w:t>
      </w:r>
      <w:r w:rsidR="00981F9F" w:rsidRPr="00981F9F">
        <w:t>quantized bit index.</w:t>
      </w:r>
      <w:r w:rsidR="0009742A">
        <w:t xml:space="preserve"> </w:t>
      </w:r>
      <w:r w:rsidR="00FD6122">
        <w:rPr>
          <w:rFonts w:cs="Times New Roman"/>
        </w:rPr>
        <w:t xml:space="preserve">Specifically, </w:t>
      </w:r>
      <w:r w:rsidR="004211BC">
        <w:rPr>
          <w:rFonts w:cs="Times New Roman"/>
        </w:rPr>
        <w:t>t</w:t>
      </w:r>
      <w:r w:rsidR="003B5B4A">
        <w:rPr>
          <w:rFonts w:cs="Times New Roman"/>
        </w:rPr>
        <w:t>he binary bit</w:t>
      </w:r>
      <w:r w:rsidR="005A6C00">
        <w:rPr>
          <w:rFonts w:cs="Times New Roman"/>
        </w:rPr>
        <w:t>s</w:t>
      </w:r>
      <w:r w:rsidR="003B5B4A">
        <w:rPr>
          <w:rFonts w:cs="Times New Roman"/>
        </w:rPr>
        <w:t xml:space="preserve"> corresponding to </w:t>
      </w:r>
      <w:r w:rsidR="00FD6122">
        <w:rPr>
          <w:rFonts w:cs="Times New Roman"/>
        </w:rPr>
        <w:t xml:space="preserve">the same quantization bit index </w:t>
      </w:r>
      <w:r w:rsidR="00DF7476">
        <w:rPr>
          <w:rFonts w:cs="Times New Roman"/>
        </w:rPr>
        <w:t>across</w:t>
      </w:r>
      <w:r w:rsidR="00FD6122">
        <w:rPr>
          <w:rFonts w:cs="Times New Roman"/>
        </w:rPr>
        <w:t xml:space="preserve"> a</w:t>
      </w:r>
      <w:r w:rsidR="00FD6122" w:rsidRPr="00FD6122">
        <w:rPr>
          <w:rFonts w:cs="Times New Roman"/>
        </w:rPr>
        <w:t>l</w:t>
      </w:r>
      <w:r w:rsidR="00FD6122">
        <w:rPr>
          <w:rFonts w:cs="Times New Roman"/>
        </w:rPr>
        <w:t xml:space="preserve">l </w:t>
      </w:r>
      <w:r w:rsidR="00FD6122" w:rsidRPr="00FD6122">
        <w:rPr>
          <w:rFonts w:cs="Times New Roman"/>
        </w:rPr>
        <w:t>output dimensions</w:t>
      </w:r>
      <w:r w:rsidR="00FD6122">
        <w:rPr>
          <w:rFonts w:cs="Times New Roman"/>
        </w:rPr>
        <w:t xml:space="preserve"> are </w:t>
      </w:r>
      <w:r w:rsidR="00FD6122" w:rsidRPr="00FD6122">
        <w:rPr>
          <w:rFonts w:cs="Times New Roman"/>
        </w:rPr>
        <w:t>grouped</w:t>
      </w:r>
      <w:r w:rsidR="00DF7476">
        <w:rPr>
          <w:rFonts w:cs="Times New Roman"/>
        </w:rPr>
        <w:t>,</w:t>
      </w:r>
      <w:r w:rsidR="00A91968">
        <w:rPr>
          <w:rFonts w:cs="Times New Roman"/>
        </w:rPr>
        <w:t xml:space="preserve"> as </w:t>
      </w:r>
      <w:r w:rsidR="00A91968" w:rsidRPr="006E6C23">
        <w:rPr>
          <w:rFonts w:cs="Times New Roman"/>
        </w:rPr>
        <w:t xml:space="preserve">presented </w:t>
      </w:r>
      <w:r w:rsidR="00A91968">
        <w:rPr>
          <w:rFonts w:cs="Times New Roman"/>
        </w:rPr>
        <w:t>by</w:t>
      </w:r>
      <w:r w:rsidR="00A91968" w:rsidRPr="008C5622">
        <w:rPr>
          <w:rFonts w:cs="Times New Roman"/>
        </w:rPr>
        <w:t xml:space="preserve"> Figure </w:t>
      </w:r>
      <w:r w:rsidR="00B83CAC">
        <w:rPr>
          <w:rFonts w:cs="Times New Roman"/>
        </w:rPr>
        <w:t xml:space="preserve">1 </w:t>
      </w:r>
      <w:r w:rsidR="00BF5055">
        <w:rPr>
          <w:rFonts w:cs="Times New Roman"/>
        </w:rPr>
        <w:t>(b)</w:t>
      </w:r>
      <w:r w:rsidR="00FD6122" w:rsidRPr="00FD6122">
        <w:rPr>
          <w:rFonts w:cs="Times New Roman"/>
        </w:rPr>
        <w:t>.</w:t>
      </w:r>
      <w:r w:rsidR="00446018">
        <w:rPr>
          <w:rFonts w:cs="Times New Roman"/>
        </w:rPr>
        <w:t xml:space="preserve"> </w:t>
      </w:r>
    </w:p>
    <w:p w14:paraId="03FDA2D4" w14:textId="068B76DA" w:rsidR="000E149C" w:rsidRDefault="0034328E" w:rsidP="00EF38CE">
      <w:pPr>
        <w:snapToGrid w:val="0"/>
        <w:spacing w:before="120" w:after="120" w:line="259" w:lineRule="auto"/>
        <w:jc w:val="both"/>
      </w:pPr>
      <w:r w:rsidRPr="0034328E">
        <w:rPr>
          <w:noProof/>
        </w:rPr>
        <w:drawing>
          <wp:inline distT="0" distB="0" distL="0" distR="0" wp14:anchorId="7FCD841E" wp14:editId="166314C9">
            <wp:extent cx="1711757" cy="2723480"/>
            <wp:effectExtent l="0" t="0" r="3175" b="12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730829" cy="2753824"/>
                    </a:xfrm>
                    <a:prstGeom prst="rect">
                      <a:avLst/>
                    </a:prstGeom>
                  </pic:spPr>
                </pic:pic>
              </a:graphicData>
            </a:graphic>
          </wp:inline>
        </w:drawing>
      </w:r>
      <w:r w:rsidRPr="0034328E">
        <w:t xml:space="preserve"> </w:t>
      </w:r>
      <w:r w:rsidR="007E1DA2">
        <w:rPr>
          <w:rFonts w:hint="eastAsia"/>
        </w:rPr>
        <w:t xml:space="preserve"> </w:t>
      </w:r>
      <w:r w:rsidR="007E1DA2">
        <w:t xml:space="preserve">           </w:t>
      </w:r>
      <w:r w:rsidRPr="0034328E">
        <w:rPr>
          <w:noProof/>
        </w:rPr>
        <w:drawing>
          <wp:inline distT="0" distB="0" distL="0" distR="0" wp14:anchorId="0EBE17DB" wp14:editId="0923AB90">
            <wp:extent cx="2004261" cy="27626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011131" cy="2772099"/>
                    </a:xfrm>
                    <a:prstGeom prst="rect">
                      <a:avLst/>
                    </a:prstGeom>
                  </pic:spPr>
                </pic:pic>
              </a:graphicData>
            </a:graphic>
          </wp:inline>
        </w:drawing>
      </w:r>
    </w:p>
    <w:p w14:paraId="1D70DC10" w14:textId="3278ADBD" w:rsidR="007E1DA2" w:rsidRDefault="007E1DA2" w:rsidP="007F4ED0">
      <w:pPr>
        <w:snapToGrid w:val="0"/>
        <w:spacing w:before="120" w:after="120"/>
        <w:jc w:val="center"/>
      </w:pPr>
      <w:r w:rsidRPr="007E1DA2">
        <w:rPr>
          <w:rFonts w:eastAsia="Malgun Gothic" w:cs="Times New Roman" w:hint="eastAsia"/>
          <w:b/>
          <w:bCs/>
          <w:sz w:val="18"/>
          <w:szCs w:val="18"/>
          <w:lang w:val="en-GB" w:eastAsia="en-US"/>
        </w:rPr>
        <w:t>(</w:t>
      </w:r>
      <w:r w:rsidRPr="007E1DA2">
        <w:rPr>
          <w:rFonts w:eastAsia="Malgun Gothic" w:cs="Times New Roman"/>
          <w:b/>
          <w:bCs/>
          <w:sz w:val="18"/>
          <w:szCs w:val="18"/>
          <w:lang w:val="en-GB" w:eastAsia="en-US"/>
        </w:rPr>
        <w:t>a) Option</w:t>
      </w:r>
      <w:r w:rsidR="005466DC">
        <w:rPr>
          <w:rFonts w:eastAsia="Malgun Gothic" w:cs="Times New Roman"/>
          <w:b/>
          <w:bCs/>
          <w:sz w:val="18"/>
          <w:szCs w:val="18"/>
          <w:lang w:val="en-GB" w:eastAsia="en-US"/>
        </w:rPr>
        <w:t xml:space="preserve"> 1</w:t>
      </w:r>
      <w:r w:rsidRPr="007E1DA2">
        <w:rPr>
          <w:rFonts w:eastAsia="Malgun Gothic" w:cs="Times New Roman"/>
          <w:b/>
          <w:bCs/>
          <w:sz w:val="18"/>
          <w:szCs w:val="18"/>
          <w:lang w:val="en-GB" w:eastAsia="en-US"/>
        </w:rPr>
        <w:t xml:space="preserve">                   </w:t>
      </w:r>
      <w:r w:rsidR="00272BB9">
        <w:rPr>
          <w:rFonts w:eastAsia="Malgun Gothic" w:cs="Times New Roman"/>
          <w:b/>
          <w:bCs/>
          <w:sz w:val="18"/>
          <w:szCs w:val="18"/>
          <w:lang w:val="en-GB" w:eastAsia="en-US"/>
        </w:rPr>
        <w:t xml:space="preserve">         </w:t>
      </w:r>
      <w:r w:rsidRPr="007E1DA2">
        <w:rPr>
          <w:rFonts w:eastAsia="Malgun Gothic" w:cs="Times New Roman"/>
          <w:b/>
          <w:bCs/>
          <w:sz w:val="18"/>
          <w:szCs w:val="18"/>
          <w:lang w:val="en-GB" w:eastAsia="en-US"/>
        </w:rPr>
        <w:t xml:space="preserve">               </w:t>
      </w:r>
      <w:r w:rsidRPr="007E1DA2">
        <w:rPr>
          <w:rFonts w:eastAsia="Malgun Gothic" w:cs="Times New Roman" w:hint="eastAsia"/>
          <w:b/>
          <w:bCs/>
          <w:sz w:val="18"/>
          <w:szCs w:val="18"/>
          <w:lang w:val="en-GB" w:eastAsia="en-US"/>
        </w:rPr>
        <w:t>(</w:t>
      </w:r>
      <w:r w:rsidRPr="007E1DA2">
        <w:rPr>
          <w:rFonts w:eastAsia="Malgun Gothic" w:cs="Times New Roman"/>
          <w:b/>
          <w:bCs/>
          <w:sz w:val="18"/>
          <w:szCs w:val="18"/>
          <w:lang w:val="en-GB" w:eastAsia="en-US"/>
        </w:rPr>
        <w:t>b) Option</w:t>
      </w:r>
      <w:r w:rsidR="005466DC">
        <w:rPr>
          <w:rFonts w:eastAsia="Malgun Gothic" w:cs="Times New Roman"/>
          <w:b/>
          <w:bCs/>
          <w:sz w:val="18"/>
          <w:szCs w:val="18"/>
          <w:lang w:val="en-GB" w:eastAsia="en-US"/>
        </w:rPr>
        <w:t xml:space="preserve"> </w:t>
      </w:r>
      <w:r w:rsidRPr="007E1DA2">
        <w:rPr>
          <w:rFonts w:eastAsia="Malgun Gothic" w:cs="Times New Roman"/>
          <w:b/>
          <w:bCs/>
          <w:sz w:val="18"/>
          <w:szCs w:val="18"/>
          <w:lang w:val="en-GB" w:eastAsia="en-US"/>
        </w:rPr>
        <w:t>2</w:t>
      </w:r>
    </w:p>
    <w:p w14:paraId="0D330E1A" w14:textId="19F4E496" w:rsidR="007E1DA2" w:rsidRPr="00D325D4" w:rsidRDefault="007E1DA2" w:rsidP="000B2A80">
      <w:pPr>
        <w:snapToGrid w:val="0"/>
        <w:spacing w:before="120" w:after="120"/>
        <w:jc w:val="center"/>
        <w:rPr>
          <w:rFonts w:eastAsia="Malgun Gothic" w:cs="Times New Roman"/>
          <w:b/>
          <w:bCs/>
          <w:sz w:val="18"/>
          <w:szCs w:val="18"/>
          <w:lang w:val="en-GB" w:eastAsia="en-US"/>
        </w:rPr>
      </w:pPr>
      <w:r w:rsidRPr="00447B19">
        <w:rPr>
          <w:rFonts w:eastAsia="Malgun Gothic" w:cs="Times New Roman"/>
          <w:b/>
          <w:bCs/>
          <w:sz w:val="18"/>
          <w:szCs w:val="18"/>
          <w:lang w:val="en-GB" w:eastAsia="en-US"/>
        </w:rPr>
        <w:t xml:space="preserve">Figure </w:t>
      </w:r>
      <w:r>
        <w:rPr>
          <w:rFonts w:eastAsia="Malgun Gothic" w:cs="Times New Roman"/>
          <w:b/>
          <w:bCs/>
          <w:sz w:val="18"/>
          <w:szCs w:val="18"/>
          <w:lang w:val="en-GB" w:eastAsia="en-US"/>
        </w:rPr>
        <w:t>1</w:t>
      </w:r>
      <w:r w:rsidRPr="00447B19">
        <w:rPr>
          <w:rFonts w:eastAsia="Malgun Gothic" w:cs="Times New Roman"/>
          <w:b/>
          <w:bCs/>
          <w:sz w:val="18"/>
          <w:szCs w:val="18"/>
          <w:lang w:val="en-GB" w:eastAsia="en-US"/>
        </w:rPr>
        <w:t xml:space="preserve"> </w:t>
      </w:r>
      <w:r>
        <w:rPr>
          <w:rFonts w:eastAsia="Malgun Gothic" w:cs="Times New Roman"/>
          <w:b/>
          <w:bCs/>
          <w:sz w:val="18"/>
          <w:szCs w:val="18"/>
          <w:lang w:val="en-GB" w:eastAsia="en-US"/>
        </w:rPr>
        <w:t>UCI Grouping</w:t>
      </w:r>
    </w:p>
    <w:p w14:paraId="2482D188" w14:textId="47B0C2FC" w:rsidR="005466DC" w:rsidRPr="005466DC" w:rsidRDefault="005466DC" w:rsidP="005466DC">
      <w:pPr>
        <w:rPr>
          <w:rFonts w:eastAsiaTheme="minorEastAsia" w:cs="Times New Roman"/>
          <w:b/>
          <w:bCs/>
          <w:i/>
          <w:lang w:val="en-GB"/>
        </w:rPr>
      </w:pPr>
      <w:r w:rsidRPr="005466DC">
        <w:rPr>
          <w:rFonts w:eastAsiaTheme="minorEastAsia" w:cs="Times New Roman" w:hint="eastAsia"/>
          <w:b/>
          <w:bCs/>
          <w:i/>
          <w:lang w:val="en-GB"/>
        </w:rPr>
        <w:t>O</w:t>
      </w:r>
      <w:r w:rsidRPr="005466DC">
        <w:rPr>
          <w:rFonts w:eastAsiaTheme="minorEastAsia" w:cs="Times New Roman"/>
          <w:b/>
          <w:bCs/>
          <w:i/>
          <w:lang w:val="en-GB"/>
        </w:rPr>
        <w:t xml:space="preserve">bservation1: </w:t>
      </w:r>
      <w:r w:rsidRPr="005466DC">
        <w:rPr>
          <w:rFonts w:eastAsia="等线" w:cs="Times New Roman"/>
          <w:b/>
          <w:i/>
          <w:lang w:val="en-GB"/>
        </w:rPr>
        <w:t xml:space="preserve">A layer-index-based UCI grouping offers a straightforward solution but leads to rank reduction when CSI omission occurs. Resulting in the mismatch between CQI, RI and precoding </w:t>
      </w:r>
      <w:r w:rsidR="00772495" w:rsidRPr="005466DC">
        <w:rPr>
          <w:rFonts w:eastAsia="等线" w:cs="Times New Roman"/>
          <w:b/>
          <w:i/>
          <w:lang w:val="en-GB"/>
        </w:rPr>
        <w:t>matrix (</w:t>
      </w:r>
      <w:r w:rsidRPr="005466DC">
        <w:rPr>
          <w:rFonts w:eastAsia="等线" w:cs="Times New Roman"/>
          <w:b/>
          <w:i/>
          <w:lang w:val="en-GB"/>
        </w:rPr>
        <w:t>reconstructed CSI).</w:t>
      </w:r>
    </w:p>
    <w:p w14:paraId="49AD2699" w14:textId="23FDE272" w:rsidR="005466DC" w:rsidRDefault="005466DC" w:rsidP="005466DC">
      <w:pPr>
        <w:pStyle w:val="a0"/>
        <w:snapToGrid w:val="0"/>
        <w:spacing w:before="120"/>
        <w:jc w:val="both"/>
        <w:rPr>
          <w:b/>
          <w:bCs/>
          <w:i/>
        </w:rPr>
      </w:pPr>
      <w:r w:rsidRPr="0091549C">
        <w:rPr>
          <w:b/>
          <w:bCs/>
          <w:i/>
        </w:rPr>
        <w:t xml:space="preserve">Proposal </w:t>
      </w:r>
      <w:r w:rsidR="00D7406B">
        <w:rPr>
          <w:b/>
          <w:bCs/>
          <w:i/>
        </w:rPr>
        <w:t>5</w:t>
      </w:r>
      <w:r>
        <w:rPr>
          <w:b/>
          <w:bCs/>
          <w:i/>
        </w:rPr>
        <w:t xml:space="preserve">: For </w:t>
      </w:r>
      <w:r w:rsidRPr="0082670B">
        <w:rPr>
          <w:b/>
          <w:bCs/>
          <w:i/>
        </w:rPr>
        <w:t>UCI mapping</w:t>
      </w:r>
      <w:r>
        <w:rPr>
          <w:b/>
          <w:bCs/>
          <w:i/>
        </w:rPr>
        <w:t xml:space="preserve">, </w:t>
      </w:r>
      <w:r>
        <w:rPr>
          <w:rFonts w:hint="eastAsia"/>
          <w:b/>
          <w:bCs/>
          <w:i/>
        </w:rPr>
        <w:t>supp</w:t>
      </w:r>
      <w:r>
        <w:rPr>
          <w:b/>
          <w:bCs/>
          <w:i/>
        </w:rPr>
        <w:t>ort UCI grouping</w:t>
      </w:r>
      <w:r w:rsidRPr="0082670B">
        <w:rPr>
          <w:b/>
          <w:bCs/>
          <w:i/>
        </w:rPr>
        <w:t xml:space="preserve"> </w:t>
      </w:r>
      <w:r w:rsidRPr="00D05F2C">
        <w:rPr>
          <w:b/>
          <w:bCs/>
          <w:i/>
        </w:rPr>
        <w:t>based on portions of each layer</w:t>
      </w:r>
      <w:r>
        <w:rPr>
          <w:b/>
          <w:bCs/>
          <w:i/>
        </w:rPr>
        <w:t>, further study the following options:</w:t>
      </w:r>
    </w:p>
    <w:p w14:paraId="12AE8D68" w14:textId="77777777" w:rsidR="005466DC" w:rsidRDefault="005466DC" w:rsidP="00C82EE6">
      <w:pPr>
        <w:pStyle w:val="a0"/>
        <w:numPr>
          <w:ilvl w:val="0"/>
          <w:numId w:val="18"/>
        </w:numPr>
        <w:snapToGrid w:val="0"/>
        <w:spacing w:before="120"/>
        <w:jc w:val="both"/>
        <w:rPr>
          <w:b/>
          <w:bCs/>
          <w:i/>
        </w:rPr>
      </w:pPr>
      <w:r>
        <w:rPr>
          <w:b/>
          <w:bCs/>
          <w:i/>
        </w:rPr>
        <w:t xml:space="preserve">Option1: Grouping based on </w:t>
      </w:r>
      <w:r w:rsidRPr="0082670B">
        <w:rPr>
          <w:b/>
          <w:bCs/>
          <w:i/>
        </w:rPr>
        <w:t>output dimension index or segment index</w:t>
      </w:r>
      <w:r>
        <w:rPr>
          <w:b/>
          <w:bCs/>
          <w:i/>
        </w:rPr>
        <w:t>.</w:t>
      </w:r>
    </w:p>
    <w:p w14:paraId="4D738FBE" w14:textId="77777777" w:rsidR="005466DC" w:rsidRDefault="005466DC" w:rsidP="00C82EE6">
      <w:pPr>
        <w:pStyle w:val="a0"/>
        <w:numPr>
          <w:ilvl w:val="0"/>
          <w:numId w:val="18"/>
        </w:numPr>
        <w:snapToGrid w:val="0"/>
        <w:spacing w:before="120"/>
        <w:jc w:val="both"/>
        <w:rPr>
          <w:b/>
          <w:bCs/>
          <w:i/>
        </w:rPr>
      </w:pPr>
      <w:r>
        <w:rPr>
          <w:b/>
          <w:bCs/>
          <w:i/>
        </w:rPr>
        <w:lastRenderedPageBreak/>
        <w:t>Option2: Grouping based on q</w:t>
      </w:r>
      <w:r w:rsidRPr="0082670B">
        <w:rPr>
          <w:b/>
          <w:bCs/>
          <w:i/>
        </w:rPr>
        <w:t>uantized</w:t>
      </w:r>
      <w:r>
        <w:rPr>
          <w:b/>
          <w:bCs/>
          <w:i/>
        </w:rPr>
        <w:t xml:space="preserve"> </w:t>
      </w:r>
      <w:r w:rsidRPr="0082670B">
        <w:rPr>
          <w:b/>
          <w:bCs/>
          <w:i/>
        </w:rPr>
        <w:t>bit index.</w:t>
      </w:r>
    </w:p>
    <w:p w14:paraId="22CDDDEF" w14:textId="77777777" w:rsidR="00F876C4" w:rsidRPr="005466DC" w:rsidRDefault="00F876C4" w:rsidP="005466DC">
      <w:pPr>
        <w:pStyle w:val="a0"/>
        <w:snapToGrid w:val="0"/>
        <w:spacing w:before="120"/>
        <w:ind w:left="1440"/>
        <w:jc w:val="both"/>
        <w:rPr>
          <w:b/>
          <w:bCs/>
          <w:i/>
        </w:rPr>
      </w:pPr>
    </w:p>
    <w:p w14:paraId="189D209A" w14:textId="30FF9A6C" w:rsidR="00976513" w:rsidRDefault="005A51FB" w:rsidP="00EF38CE">
      <w:pPr>
        <w:pStyle w:val="2"/>
        <w:numPr>
          <w:ilvl w:val="1"/>
          <w:numId w:val="1"/>
        </w:numPr>
        <w:autoSpaceDE w:val="0"/>
        <w:autoSpaceDN w:val="0"/>
        <w:adjustRightInd w:val="0"/>
        <w:snapToGrid w:val="0"/>
        <w:spacing w:before="120" w:after="120"/>
        <w:ind w:left="0" w:firstLine="0"/>
        <w:jc w:val="both"/>
        <w:rPr>
          <w:rFonts w:ascii="Times New Roman" w:eastAsiaTheme="minorEastAsia" w:hAnsi="Times New Roman" w:cs="Times New Roman"/>
          <w:b/>
          <w:iCs w:val="0"/>
          <w:szCs w:val="22"/>
        </w:rPr>
      </w:pPr>
      <w:r w:rsidRPr="005A51FB">
        <w:rPr>
          <w:rFonts w:ascii="Times New Roman" w:eastAsiaTheme="minorEastAsia" w:hAnsi="Times New Roman" w:cs="Times New Roman"/>
          <w:b/>
          <w:iCs w:val="0"/>
          <w:szCs w:val="22"/>
        </w:rPr>
        <w:t>CSI processing criteria</w:t>
      </w:r>
      <w:r w:rsidR="00C60F04">
        <w:rPr>
          <w:rFonts w:ascii="Times New Roman" w:eastAsiaTheme="minorEastAsia" w:hAnsi="Times New Roman" w:cs="Times New Roman"/>
          <w:b/>
          <w:iCs w:val="0"/>
          <w:szCs w:val="22"/>
        </w:rPr>
        <w:t xml:space="preserve"> and timeline</w:t>
      </w:r>
    </w:p>
    <w:p w14:paraId="329E7B0E" w14:textId="18A0AC82" w:rsidR="00B64739" w:rsidRPr="00FC2A0E" w:rsidRDefault="009D4871" w:rsidP="00EF38CE">
      <w:pPr>
        <w:pStyle w:val="a0"/>
        <w:snapToGrid w:val="0"/>
        <w:spacing w:before="120"/>
        <w:jc w:val="both"/>
        <w:rPr>
          <w:rFonts w:cs="Times New Roman"/>
          <w:b/>
          <w:bCs/>
          <w:u w:val="single"/>
        </w:rPr>
      </w:pPr>
      <w:r w:rsidRPr="009D4871">
        <w:rPr>
          <w:rFonts w:cs="Times New Roman" w:hint="eastAsia"/>
          <w:b/>
          <w:bCs/>
          <w:u w:val="single"/>
        </w:rPr>
        <w:t>C</w:t>
      </w:r>
      <w:r w:rsidRPr="009D4871">
        <w:rPr>
          <w:rFonts w:cs="Times New Roman"/>
          <w:b/>
          <w:bCs/>
          <w:u w:val="single"/>
        </w:rPr>
        <w:t>PU/APU occupancy</w:t>
      </w:r>
    </w:p>
    <w:p w14:paraId="14E11145" w14:textId="6DF4A099" w:rsidR="00B64739" w:rsidRPr="002A72A3" w:rsidRDefault="00B64739" w:rsidP="00EF38CE">
      <w:pPr>
        <w:pStyle w:val="a0"/>
        <w:snapToGrid w:val="0"/>
        <w:spacing w:before="120"/>
        <w:jc w:val="both"/>
        <w:rPr>
          <w:rFonts w:cs="Times New Roman"/>
        </w:rPr>
      </w:pPr>
      <w:r w:rsidRPr="00B64739">
        <w:rPr>
          <w:rFonts w:cs="Times New Roman"/>
        </w:rPr>
        <w:t xml:space="preserve">In general, the </w:t>
      </w:r>
      <w:r w:rsidRPr="002A72A3">
        <w:rPr>
          <w:rFonts w:cs="Times New Roman"/>
        </w:rPr>
        <w:t>CSI processing criteria</w:t>
      </w:r>
      <w:r w:rsidRPr="00B64739">
        <w:rPr>
          <w:rFonts w:cs="Times New Roman"/>
        </w:rPr>
        <w:t xml:space="preserve"> used for </w:t>
      </w:r>
      <w:r w:rsidRPr="002A72A3">
        <w:rPr>
          <w:rFonts w:cs="Times New Roman"/>
        </w:rPr>
        <w:t>AI BM</w:t>
      </w:r>
      <w:r w:rsidRPr="00B64739">
        <w:rPr>
          <w:rFonts w:cs="Times New Roman"/>
        </w:rPr>
        <w:t xml:space="preserve"> and </w:t>
      </w:r>
      <w:r w:rsidRPr="002A72A3">
        <w:rPr>
          <w:rFonts w:cs="Times New Roman"/>
        </w:rPr>
        <w:t>AI CSI prediction</w:t>
      </w:r>
      <w:r w:rsidRPr="00B64739">
        <w:rPr>
          <w:rFonts w:cs="Times New Roman"/>
        </w:rPr>
        <w:t xml:space="preserve"> can</w:t>
      </w:r>
      <w:r>
        <w:rPr>
          <w:rFonts w:cs="Times New Roman"/>
        </w:rPr>
        <w:t xml:space="preserve"> reused</w:t>
      </w:r>
      <w:r w:rsidRPr="00B64739">
        <w:rPr>
          <w:rFonts w:cs="Times New Roman"/>
        </w:rPr>
        <w:t xml:space="preserve"> to </w:t>
      </w:r>
      <w:r w:rsidRPr="002A72A3">
        <w:rPr>
          <w:rFonts w:cs="Times New Roman"/>
        </w:rPr>
        <w:t>CSI compression</w:t>
      </w:r>
      <w:r w:rsidRPr="00B64739">
        <w:rPr>
          <w:rFonts w:cs="Times New Roman"/>
        </w:rPr>
        <w:t xml:space="preserve">. </w:t>
      </w:r>
      <w:r w:rsidR="002A72A3" w:rsidRPr="002A72A3">
        <w:rPr>
          <w:rFonts w:cs="Times New Roman"/>
        </w:rPr>
        <w:t>APU</w:t>
      </w:r>
      <w:r w:rsidR="002A72A3" w:rsidRPr="00B64739">
        <w:rPr>
          <w:rFonts w:cs="Times New Roman"/>
        </w:rPr>
        <w:t xml:space="preserve"> and/or </w:t>
      </w:r>
      <w:r w:rsidR="002A72A3" w:rsidRPr="002A72A3">
        <w:rPr>
          <w:rFonts w:cs="Times New Roman"/>
        </w:rPr>
        <w:t xml:space="preserve">CPU </w:t>
      </w:r>
      <w:r w:rsidR="002A72A3" w:rsidRPr="002A72A3">
        <w:rPr>
          <w:rFonts w:cs="Times New Roman" w:hint="eastAsia"/>
        </w:rPr>
        <w:t>m</w:t>
      </w:r>
      <w:r w:rsidR="002A72A3" w:rsidRPr="002A72A3">
        <w:rPr>
          <w:rFonts w:cs="Times New Roman"/>
        </w:rPr>
        <w:t xml:space="preserve">ay be supported depending on UE’s capability </w:t>
      </w:r>
      <w:r w:rsidR="00C82EE6" w:rsidRPr="002A72A3">
        <w:rPr>
          <w:rFonts w:cs="Times New Roman"/>
        </w:rPr>
        <w:t>reporting.</w:t>
      </w:r>
      <w:r w:rsidR="00C82EE6">
        <w:rPr>
          <w:rFonts w:cs="Times New Roman"/>
        </w:rPr>
        <w:t xml:space="preserve"> In</w:t>
      </w:r>
      <w:r w:rsidR="002A72A3">
        <w:rPr>
          <w:rFonts w:cs="Times New Roman"/>
        </w:rPr>
        <w:t xml:space="preserve"> addition, for</w:t>
      </w:r>
      <w:r w:rsidRPr="00B64739">
        <w:rPr>
          <w:rFonts w:cs="Times New Roman"/>
        </w:rPr>
        <w:t xml:space="preserve"> CSI compression</w:t>
      </w:r>
      <w:r w:rsidR="002A72A3">
        <w:rPr>
          <w:rFonts w:cs="Times New Roman"/>
        </w:rPr>
        <w:t>, the inference for each layer may be</w:t>
      </w:r>
      <w:r w:rsidRPr="00B64739">
        <w:rPr>
          <w:rFonts w:cs="Times New Roman"/>
        </w:rPr>
        <w:t xml:space="preserve"> </w:t>
      </w:r>
      <w:r w:rsidRPr="002A72A3">
        <w:rPr>
          <w:rFonts w:cs="Times New Roman"/>
        </w:rPr>
        <w:t>independen</w:t>
      </w:r>
      <w:r w:rsidR="002A72A3" w:rsidRPr="002A72A3">
        <w:rPr>
          <w:rFonts w:cs="Times New Roman"/>
        </w:rPr>
        <w:t>t</w:t>
      </w:r>
      <w:r w:rsidRPr="00B64739">
        <w:rPr>
          <w:rFonts w:cs="Times New Roman"/>
        </w:rPr>
        <w:t xml:space="preserve">, which is different from AI BM or AI CSI prediction. This raises the question of whether </w:t>
      </w:r>
      <w:r w:rsidRPr="002A72A3">
        <w:rPr>
          <w:rFonts w:cs="Times New Roman"/>
        </w:rPr>
        <w:t>CPU/APU allocation</w:t>
      </w:r>
      <w:r w:rsidRPr="00B64739">
        <w:rPr>
          <w:rFonts w:cs="Times New Roman"/>
        </w:rPr>
        <w:t xml:space="preserve"> should be </w:t>
      </w:r>
      <w:r w:rsidRPr="002A72A3">
        <w:rPr>
          <w:rFonts w:cs="Times New Roman"/>
        </w:rPr>
        <w:t>layer-specific or rank-specific</w:t>
      </w:r>
      <w:r w:rsidRPr="00B64739">
        <w:rPr>
          <w:rFonts w:cs="Times New Roman"/>
        </w:rPr>
        <w:t xml:space="preserve">, which requires further </w:t>
      </w:r>
      <w:r w:rsidR="00C82EE6" w:rsidRPr="00B64739">
        <w:rPr>
          <w:rFonts w:cs="Times New Roman"/>
        </w:rPr>
        <w:t>investigation. For</w:t>
      </w:r>
      <w:r w:rsidRPr="00B64739">
        <w:rPr>
          <w:rFonts w:cs="Times New Roman"/>
        </w:rPr>
        <w:t xml:space="preserve"> example, in </w:t>
      </w:r>
      <w:r w:rsidRPr="002A72A3">
        <w:rPr>
          <w:rFonts w:cs="Times New Roman"/>
        </w:rPr>
        <w:t>Rank 4</w:t>
      </w:r>
      <w:r w:rsidRPr="00B64739">
        <w:rPr>
          <w:rFonts w:cs="Times New Roman"/>
        </w:rPr>
        <w:t xml:space="preserve">, inference </w:t>
      </w:r>
      <w:r w:rsidR="002A72A3">
        <w:rPr>
          <w:rFonts w:cs="Times New Roman"/>
        </w:rPr>
        <w:t>may be</w:t>
      </w:r>
      <w:r w:rsidRPr="00B64739">
        <w:rPr>
          <w:rFonts w:cs="Times New Roman"/>
        </w:rPr>
        <w:t xml:space="preserve"> performed across </w:t>
      </w:r>
      <w:r w:rsidRPr="002A72A3">
        <w:rPr>
          <w:rFonts w:cs="Times New Roman"/>
        </w:rPr>
        <w:t>four layers</w:t>
      </w:r>
      <w:r w:rsidRPr="00B64739">
        <w:rPr>
          <w:rFonts w:cs="Times New Roman"/>
        </w:rPr>
        <w:t xml:space="preserve">, while </w:t>
      </w:r>
      <w:r w:rsidRPr="002A72A3">
        <w:rPr>
          <w:rFonts w:cs="Times New Roman"/>
        </w:rPr>
        <w:t>Rank 1</w:t>
      </w:r>
      <w:r w:rsidRPr="00B64739">
        <w:rPr>
          <w:rFonts w:cs="Times New Roman"/>
        </w:rPr>
        <w:t xml:space="preserve"> only requires inference for </w:t>
      </w:r>
      <w:r w:rsidRPr="002A72A3">
        <w:rPr>
          <w:rFonts w:cs="Times New Roman"/>
        </w:rPr>
        <w:t>Layer 1</w:t>
      </w:r>
      <w:r w:rsidRPr="00B64739">
        <w:rPr>
          <w:rFonts w:cs="Times New Roman"/>
        </w:rPr>
        <w:t xml:space="preserve">. Consequently, </w:t>
      </w:r>
      <w:r w:rsidRPr="002A72A3">
        <w:rPr>
          <w:rFonts w:cs="Times New Roman"/>
        </w:rPr>
        <w:t>Rank 1</w:t>
      </w:r>
      <w:r w:rsidRPr="00B64739">
        <w:rPr>
          <w:rFonts w:cs="Times New Roman"/>
        </w:rPr>
        <w:t xml:space="preserve"> may occupy </w:t>
      </w:r>
      <w:r w:rsidRPr="002A72A3">
        <w:rPr>
          <w:rFonts w:cs="Times New Roman"/>
        </w:rPr>
        <w:t>fewer CPU/APU resources</w:t>
      </w:r>
      <w:r w:rsidRPr="00B64739">
        <w:rPr>
          <w:rFonts w:cs="Times New Roman"/>
        </w:rPr>
        <w:t xml:space="preserve"> compared to </w:t>
      </w:r>
      <w:r w:rsidRPr="002A72A3">
        <w:rPr>
          <w:rFonts w:cs="Times New Roman"/>
        </w:rPr>
        <w:t>Rank 4</w:t>
      </w:r>
      <w:r w:rsidRPr="00B64739">
        <w:rPr>
          <w:rFonts w:cs="Times New Roman"/>
        </w:rPr>
        <w:t xml:space="preserve">. However, since the network cannot determine the actual reported rank in advance, the </w:t>
      </w:r>
      <w:r w:rsidRPr="002A72A3">
        <w:rPr>
          <w:rFonts w:cs="Times New Roman"/>
        </w:rPr>
        <w:t>CPU/APU occupancy for CSI compression reporting</w:t>
      </w:r>
      <w:r w:rsidRPr="00B64739">
        <w:rPr>
          <w:rFonts w:cs="Times New Roman"/>
        </w:rPr>
        <w:t xml:space="preserve"> should be provisioned based on the </w:t>
      </w:r>
      <w:r w:rsidRPr="002A72A3">
        <w:rPr>
          <w:rFonts w:cs="Times New Roman"/>
        </w:rPr>
        <w:t>maximum rank configured by the network</w:t>
      </w:r>
      <w:r w:rsidRPr="00B64739">
        <w:rPr>
          <w:rFonts w:cs="Times New Roman"/>
        </w:rPr>
        <w:t>.</w:t>
      </w:r>
    </w:p>
    <w:p w14:paraId="7C5E95C3" w14:textId="30E11680" w:rsidR="00035828" w:rsidRDefault="00035828" w:rsidP="00EF38CE">
      <w:pPr>
        <w:pStyle w:val="a0"/>
        <w:snapToGrid w:val="0"/>
        <w:spacing w:before="120"/>
        <w:jc w:val="both"/>
        <w:rPr>
          <w:b/>
          <w:bCs/>
          <w:i/>
        </w:rPr>
      </w:pPr>
      <w:r w:rsidRPr="0091549C">
        <w:rPr>
          <w:b/>
          <w:bCs/>
          <w:i/>
        </w:rPr>
        <w:t>Proposal</w:t>
      </w:r>
      <w:r>
        <w:rPr>
          <w:b/>
          <w:bCs/>
          <w:i/>
        </w:rPr>
        <w:t xml:space="preserve"> </w:t>
      </w:r>
      <w:r w:rsidR="00D7406B">
        <w:rPr>
          <w:b/>
          <w:bCs/>
          <w:i/>
        </w:rPr>
        <w:t>6</w:t>
      </w:r>
      <w:r>
        <w:rPr>
          <w:b/>
          <w:bCs/>
          <w:i/>
        </w:rPr>
        <w:t xml:space="preserve">: For </w:t>
      </w:r>
      <w:r w:rsidRPr="00035828">
        <w:rPr>
          <w:b/>
          <w:bCs/>
          <w:i/>
        </w:rPr>
        <w:t>CPU/APU occupancy</w:t>
      </w:r>
      <w:r>
        <w:rPr>
          <w:b/>
          <w:bCs/>
          <w:i/>
        </w:rPr>
        <w:t xml:space="preserve">, </w:t>
      </w:r>
      <w:r w:rsidR="00341CAC">
        <w:rPr>
          <w:b/>
          <w:bCs/>
          <w:i/>
        </w:rPr>
        <w:t>f</w:t>
      </w:r>
      <w:r>
        <w:rPr>
          <w:b/>
          <w:bCs/>
          <w:i/>
        </w:rPr>
        <w:t xml:space="preserve">urther study </w:t>
      </w:r>
      <w:r w:rsidRPr="00035828">
        <w:rPr>
          <w:b/>
          <w:bCs/>
          <w:i/>
        </w:rPr>
        <w:t xml:space="preserve">whether </w:t>
      </w:r>
      <w:r w:rsidRPr="00035828">
        <w:rPr>
          <w:rFonts w:hint="eastAsia"/>
          <w:b/>
          <w:bCs/>
          <w:i/>
        </w:rPr>
        <w:t>C</w:t>
      </w:r>
      <w:r w:rsidRPr="00035828">
        <w:rPr>
          <w:b/>
          <w:bCs/>
          <w:i/>
        </w:rPr>
        <w:t>PU/APU</w:t>
      </w:r>
      <w:r w:rsidR="002A72A3">
        <w:rPr>
          <w:b/>
          <w:bCs/>
          <w:i/>
        </w:rPr>
        <w:t xml:space="preserve"> occupancy</w:t>
      </w:r>
      <w:r w:rsidRPr="00035828">
        <w:rPr>
          <w:b/>
          <w:bCs/>
          <w:i/>
        </w:rPr>
        <w:t xml:space="preserve"> is </w:t>
      </w:r>
      <w:r w:rsidR="00FA2787" w:rsidRPr="00FA2787">
        <w:rPr>
          <w:b/>
          <w:bCs/>
          <w:i/>
        </w:rPr>
        <w:t xml:space="preserve">specific </w:t>
      </w:r>
      <w:r w:rsidRPr="00035828">
        <w:rPr>
          <w:b/>
          <w:bCs/>
          <w:i/>
        </w:rPr>
        <w:t>for different layers</w:t>
      </w:r>
      <w:r w:rsidRPr="00035828">
        <w:rPr>
          <w:rFonts w:hint="eastAsia"/>
          <w:b/>
          <w:bCs/>
          <w:i/>
        </w:rPr>
        <w:t>/rank</w:t>
      </w:r>
      <w:r w:rsidRPr="00035828">
        <w:rPr>
          <w:b/>
          <w:bCs/>
          <w:i/>
        </w:rPr>
        <w:t>s</w:t>
      </w:r>
      <w:r w:rsidR="00D556D7">
        <w:rPr>
          <w:b/>
          <w:bCs/>
          <w:i/>
        </w:rPr>
        <w:t>.</w:t>
      </w:r>
    </w:p>
    <w:p w14:paraId="070BDEFA" w14:textId="77777777" w:rsidR="002A08F3" w:rsidRPr="00212652" w:rsidRDefault="002A08F3" w:rsidP="00212652">
      <w:pPr>
        <w:pStyle w:val="1"/>
        <w:tabs>
          <w:tab w:val="num" w:pos="432"/>
        </w:tabs>
        <w:autoSpaceDE w:val="0"/>
        <w:autoSpaceDN w:val="0"/>
        <w:adjustRightInd w:val="0"/>
        <w:snapToGrid w:val="0"/>
        <w:spacing w:before="120" w:after="120"/>
        <w:ind w:left="432" w:hanging="432"/>
        <w:jc w:val="both"/>
        <w:rPr>
          <w:rFonts w:ascii="Times New Roman" w:hAnsi="Times New Roman" w:cs="Times New Roman"/>
          <w:b/>
        </w:rPr>
      </w:pPr>
      <w:r w:rsidRPr="00212652">
        <w:rPr>
          <w:rFonts w:ascii="Times New Roman" w:hAnsi="Times New Roman" w:cs="Times New Roman"/>
          <w:b/>
        </w:rPr>
        <w:t>Conclusion</w:t>
      </w:r>
    </w:p>
    <w:p w14:paraId="3A7F4D0A" w14:textId="55D8CA8B" w:rsidR="00DA5160" w:rsidRDefault="00DA5160" w:rsidP="005B0BB1">
      <w:pPr>
        <w:pStyle w:val="a0"/>
        <w:snapToGrid w:val="0"/>
        <w:spacing w:before="120"/>
        <w:jc w:val="both"/>
      </w:pPr>
      <w:r w:rsidRPr="00AA16C0">
        <w:t>In this paper we make the following observations and proposals:</w:t>
      </w:r>
    </w:p>
    <w:p w14:paraId="30FA7A69" w14:textId="77777777" w:rsidR="00C82EE6" w:rsidRPr="005466DC" w:rsidRDefault="00C82EE6" w:rsidP="00C82EE6">
      <w:pPr>
        <w:rPr>
          <w:rFonts w:eastAsiaTheme="minorEastAsia" w:cs="Times New Roman"/>
          <w:b/>
          <w:bCs/>
          <w:i/>
          <w:lang w:val="en-GB"/>
        </w:rPr>
      </w:pPr>
      <w:r w:rsidRPr="005466DC">
        <w:rPr>
          <w:rFonts w:eastAsiaTheme="minorEastAsia" w:cs="Times New Roman" w:hint="eastAsia"/>
          <w:b/>
          <w:bCs/>
          <w:i/>
          <w:lang w:val="en-GB"/>
        </w:rPr>
        <w:t>O</w:t>
      </w:r>
      <w:r w:rsidRPr="005466DC">
        <w:rPr>
          <w:rFonts w:eastAsiaTheme="minorEastAsia" w:cs="Times New Roman"/>
          <w:b/>
          <w:bCs/>
          <w:i/>
          <w:lang w:val="en-GB"/>
        </w:rPr>
        <w:t xml:space="preserve">bservation1: </w:t>
      </w:r>
      <w:r w:rsidRPr="005466DC">
        <w:rPr>
          <w:rFonts w:eastAsia="等线" w:cs="Times New Roman"/>
          <w:b/>
          <w:i/>
          <w:lang w:val="en-GB"/>
        </w:rPr>
        <w:t>A layer-index-based UCI grouping offers a straightforward solution but leads to rank reduction when CSI omission occurs. Resulting in the mismatch between CQI, RI and precoding matrix (reconstructed CSI).</w:t>
      </w:r>
    </w:p>
    <w:p w14:paraId="58224773" w14:textId="3479B44A" w:rsidR="00C82EE6" w:rsidRPr="00C82EE6" w:rsidRDefault="00C82EE6" w:rsidP="00C82EE6">
      <w:pPr>
        <w:pStyle w:val="a0"/>
        <w:snapToGrid w:val="0"/>
        <w:spacing w:before="120"/>
        <w:jc w:val="both"/>
        <w:rPr>
          <w:b/>
          <w:bCs/>
          <w:i/>
        </w:rPr>
      </w:pPr>
      <w:r w:rsidRPr="00C82EE6">
        <w:rPr>
          <w:rFonts w:eastAsia="Times New Roman" w:cs="Times New Roman"/>
          <w:b/>
          <w:bCs/>
          <w:i/>
        </w:rPr>
        <w:t>Proposal 1</w:t>
      </w:r>
      <w:r w:rsidRPr="00C82EE6">
        <w:rPr>
          <w:b/>
          <w:bCs/>
          <w:i/>
        </w:rPr>
        <w:t>:</w:t>
      </w:r>
      <w:r w:rsidRPr="00C82EE6">
        <w:rPr>
          <w:b/>
          <w:i/>
        </w:rPr>
        <w:t xml:space="preserve"> </w:t>
      </w:r>
      <w:r w:rsidRPr="00C82EE6">
        <w:rPr>
          <w:b/>
          <w:bCs/>
          <w:i/>
        </w:rPr>
        <w:t xml:space="preserve">That </w:t>
      </w:r>
      <m:oMath>
        <m:sSubSup>
          <m:sSubSupPr>
            <m:ctrlPr>
              <w:rPr>
                <w:rFonts w:ascii="Cambria Math" w:hAnsi="Cambria Math" w:cs="Times New Roman"/>
                <w:b/>
                <w:i/>
              </w:rPr>
            </m:ctrlPr>
          </m:sSubSupPr>
          <m:e>
            <m:r>
              <m:rPr>
                <m:sty m:val="bi"/>
              </m:rPr>
              <w:rPr>
                <w:rFonts w:ascii="Cambria Math" w:hAnsi="Cambria Math" w:cs="Times New Roman"/>
              </w:rPr>
              <m:t>d</m:t>
            </m:r>
          </m:e>
          <m:sub>
            <m:r>
              <m:rPr>
                <m:sty m:val="bi"/>
              </m:rPr>
              <w:rPr>
                <w:rFonts w:ascii="Cambria Math" w:hAnsi="Cambria Math" w:cs="Times New Roman"/>
              </w:rPr>
              <m:t>z</m:t>
            </m:r>
          </m:sub>
          <m:sup>
            <m:r>
              <m:rPr>
                <m:sty m:val="bi"/>
              </m:rPr>
              <w:rPr>
                <w:rFonts w:ascii="Cambria Math" w:hAnsi="Cambria Math" w:cs="Times New Roman"/>
              </w:rPr>
              <m:t>l,ν</m:t>
            </m:r>
          </m:sup>
        </m:sSubSup>
      </m:oMath>
      <w:r w:rsidRPr="00C82EE6">
        <w:rPr>
          <w:rFonts w:cs="Times New Roman"/>
          <w:b/>
          <w:i/>
        </w:rPr>
        <w:t xml:space="preserve"> is common or specific for different layers or ranks is depended on the UE’s capability reporting.</w:t>
      </w:r>
    </w:p>
    <w:p w14:paraId="66AD1D42" w14:textId="2C86E7D2" w:rsidR="00C82EE6" w:rsidRPr="00C82EE6" w:rsidRDefault="00C82EE6" w:rsidP="00C82EE6">
      <w:pPr>
        <w:pStyle w:val="a0"/>
        <w:snapToGrid w:val="0"/>
        <w:spacing w:before="120"/>
        <w:jc w:val="both"/>
        <w:rPr>
          <w:b/>
          <w:bCs/>
          <w:i/>
        </w:rPr>
      </w:pPr>
      <w:r w:rsidRPr="00C82EE6">
        <w:rPr>
          <w:b/>
          <w:bCs/>
          <w:i/>
        </w:rPr>
        <w:t xml:space="preserve">Proposal 2: </w:t>
      </w:r>
      <w:r w:rsidRPr="00C82EE6">
        <w:rPr>
          <w:rFonts w:eastAsia="Batang" w:cs="Times New Roman"/>
          <w:b/>
          <w:i/>
          <w:lang w:val="en-GB" w:eastAsia="x-none"/>
        </w:rPr>
        <w:t xml:space="preserve">Each combination of </w:t>
      </w:r>
      <m:oMath>
        <m:sSubSup>
          <m:sSubSupPr>
            <m:ctrlPr>
              <w:rPr>
                <w:rFonts w:ascii="Cambria Math" w:eastAsia="Batang" w:hAnsi="Cambria Math" w:cs="Times New Roman"/>
                <w:b/>
                <w:bCs/>
                <w:i/>
                <w:iCs/>
                <w:lang w:val="en-GB" w:eastAsia="en-US"/>
              </w:rPr>
            </m:ctrlPr>
          </m:sSubSupPr>
          <m:e>
            <m:r>
              <m:rPr>
                <m:sty m:val="bi"/>
              </m:rPr>
              <w:rPr>
                <w:rFonts w:ascii="Cambria Math" w:eastAsia="Batang" w:hAnsi="Cambria Math" w:cs="Times New Roman"/>
                <w:lang w:val="en-GB" w:eastAsia="en-US"/>
              </w:rPr>
              <m:t>d</m:t>
            </m:r>
          </m:e>
          <m:sub>
            <m:r>
              <m:rPr>
                <m:sty m:val="bi"/>
              </m:rPr>
              <w:rPr>
                <w:rFonts w:ascii="Cambria Math" w:eastAsia="Batang" w:hAnsi="Cambria Math" w:cs="Times New Roman"/>
                <w:lang w:val="en-GB" w:eastAsia="en-US"/>
              </w:rPr>
              <m:t>z</m:t>
            </m:r>
          </m:sub>
          <m:sup>
            <m:r>
              <m:rPr>
                <m:sty m:val="bi"/>
              </m:rPr>
              <w:rPr>
                <w:rFonts w:ascii="Cambria Math" w:eastAsia="Batang" w:hAnsi="Cambria Math" w:cs="Times New Roman"/>
                <w:lang w:val="en-GB" w:eastAsia="en-US"/>
              </w:rPr>
              <m:t>l,ν</m:t>
            </m:r>
          </m:sup>
        </m:sSubSup>
      </m:oMath>
      <w:r w:rsidRPr="00C82EE6">
        <w:rPr>
          <w:rFonts w:eastAsia="Batang" w:cs="Times New Roman"/>
          <w:b/>
          <w:i/>
          <w:lang w:val="en-GB" w:eastAsia="x-none"/>
        </w:rPr>
        <w:t xml:space="preserve">, </w:t>
      </w:r>
      <m:oMath>
        <m:sSup>
          <m:sSupPr>
            <m:ctrlPr>
              <w:rPr>
                <w:rFonts w:ascii="Cambria Math" w:eastAsia="Batang" w:hAnsi="Cambria Math" w:cs="Times New Roman"/>
                <w:b/>
                <w:bCs/>
                <w:i/>
                <w:iCs/>
                <w:lang w:val="en-GB" w:eastAsia="en-US"/>
              </w:rPr>
            </m:ctrlPr>
          </m:sSupPr>
          <m:e>
            <m:r>
              <m:rPr>
                <m:sty m:val="bi"/>
              </m:rPr>
              <w:rPr>
                <w:rFonts w:ascii="Cambria Math" w:eastAsia="Batang" w:hAnsi="Cambria Math" w:cs="Times New Roman"/>
                <w:lang w:val="en-GB" w:eastAsia="en-US"/>
              </w:rPr>
              <m:t>Q</m:t>
            </m:r>
          </m:e>
          <m:sup>
            <m:r>
              <m:rPr>
                <m:sty m:val="bi"/>
              </m:rPr>
              <w:rPr>
                <w:rFonts w:ascii="Cambria Math" w:eastAsia="Batang" w:hAnsi="Cambria Math" w:cs="Times New Roman"/>
                <w:lang w:val="en-GB" w:eastAsia="en-US"/>
              </w:rPr>
              <m:t>l,ν</m:t>
            </m:r>
          </m:sup>
        </m:sSup>
      </m:oMath>
      <w:r w:rsidRPr="00C82EE6">
        <w:rPr>
          <w:rFonts w:eastAsia="Batang" w:cs="Times New Roman"/>
          <w:b/>
          <w:i/>
          <w:lang w:val="en-GB" w:eastAsia="x-none"/>
        </w:rPr>
        <w:t xml:space="preserve"> and </w:t>
      </w:r>
      <m:oMath>
        <m:r>
          <m:rPr>
            <m:sty m:val="bi"/>
          </m:rPr>
          <w:rPr>
            <w:rFonts w:ascii="Cambria Math" w:eastAsia="Batang" w:hAnsi="Cambria Math" w:cs="Times New Roman"/>
            <w:lang w:val="en-GB" w:eastAsia="en-US"/>
          </w:rPr>
          <m:t xml:space="preserve">L </m:t>
        </m:r>
      </m:oMath>
      <w:r w:rsidRPr="00C82EE6">
        <w:rPr>
          <w:rFonts w:eastAsia="Batang" w:cs="Times New Roman"/>
          <w:b/>
          <w:i/>
          <w:lang w:val="en-GB" w:eastAsia="x-none"/>
        </w:rPr>
        <w:t>can be applicable to a certain set of subband and port configurations, e.g., the size of n_subband</w:t>
      </w:r>
      <m:oMath>
        <m:r>
          <m:rPr>
            <m:sty m:val="bi"/>
          </m:rPr>
          <w:rPr>
            <w:rFonts w:ascii="Cambria Math" w:eastAsia="Batang" w:hAnsi="Cambria Math" w:cs="Times New Roman"/>
            <w:lang w:val="en-GB" w:eastAsia="x-none"/>
          </w:rPr>
          <m:t>×</m:t>
        </m:r>
      </m:oMath>
      <w:r w:rsidRPr="00C82EE6">
        <w:rPr>
          <w:rFonts w:eastAsia="Batang" w:cs="Times New Roman"/>
          <w:b/>
          <w:i/>
          <w:lang w:val="en-GB" w:eastAsia="x-none"/>
        </w:rPr>
        <w:t>n_port are the same or at least similar.</w:t>
      </w:r>
    </w:p>
    <w:p w14:paraId="5A4EF2B4" w14:textId="77777777" w:rsidR="00C82EE6" w:rsidRDefault="00C82EE6" w:rsidP="00C82EE6">
      <w:pPr>
        <w:pStyle w:val="a0"/>
        <w:snapToGrid w:val="0"/>
        <w:spacing w:before="120"/>
        <w:jc w:val="both"/>
        <w:rPr>
          <w:b/>
          <w:bCs/>
          <w:i/>
        </w:rPr>
      </w:pPr>
      <w:r w:rsidRPr="0091549C">
        <w:rPr>
          <w:b/>
          <w:bCs/>
          <w:i/>
        </w:rPr>
        <w:t xml:space="preserve">Proposal </w:t>
      </w:r>
      <w:r>
        <w:rPr>
          <w:b/>
          <w:bCs/>
          <w:i/>
        </w:rPr>
        <w:t xml:space="preserve">3: For </w:t>
      </w:r>
      <w:r w:rsidRPr="003962DD">
        <w:rPr>
          <w:b/>
          <w:bCs/>
          <w:i/>
        </w:rPr>
        <w:t>Quantization methods</w:t>
      </w:r>
      <w:r>
        <w:rPr>
          <w:b/>
          <w:bCs/>
          <w:i/>
        </w:rPr>
        <w:t>, SQ is preferred</w:t>
      </w:r>
      <w:r w:rsidRPr="0091549C">
        <w:rPr>
          <w:b/>
          <w:bCs/>
          <w:i/>
        </w:rPr>
        <w:t>.</w:t>
      </w:r>
    </w:p>
    <w:p w14:paraId="21C1B6B7" w14:textId="77777777" w:rsidR="00C82EE6" w:rsidRDefault="00C82EE6" w:rsidP="00C82EE6">
      <w:pPr>
        <w:pStyle w:val="a0"/>
        <w:numPr>
          <w:ilvl w:val="0"/>
          <w:numId w:val="16"/>
        </w:numPr>
        <w:snapToGrid w:val="0"/>
        <w:spacing w:before="120"/>
        <w:jc w:val="both"/>
        <w:rPr>
          <w:b/>
          <w:bCs/>
          <w:i/>
        </w:rPr>
      </w:pPr>
      <w:r w:rsidRPr="000B4122">
        <w:rPr>
          <w:rFonts w:hint="eastAsia"/>
          <w:b/>
          <w:bCs/>
          <w:i/>
        </w:rPr>
        <w:t>F</w:t>
      </w:r>
      <w:r w:rsidRPr="000B4122">
        <w:rPr>
          <w:b/>
          <w:bCs/>
          <w:i/>
        </w:rPr>
        <w:t>FS: whether/how to support fixed vector quantization codebook</w:t>
      </w:r>
    </w:p>
    <w:p w14:paraId="15616477" w14:textId="669909DC" w:rsidR="009518FA" w:rsidRPr="00C82EE6" w:rsidRDefault="009518FA" w:rsidP="00C82EE6">
      <w:pPr>
        <w:pStyle w:val="a0"/>
        <w:snapToGrid w:val="0"/>
        <w:spacing w:before="120"/>
        <w:ind w:left="860"/>
        <w:jc w:val="both"/>
      </w:pPr>
    </w:p>
    <w:p w14:paraId="714780C7" w14:textId="77777777" w:rsidR="00C82EE6" w:rsidRDefault="00C82EE6" w:rsidP="00C82EE6">
      <w:pPr>
        <w:pStyle w:val="a0"/>
        <w:snapToGrid w:val="0"/>
        <w:spacing w:before="120"/>
        <w:jc w:val="both"/>
        <w:rPr>
          <w:b/>
          <w:bCs/>
          <w:i/>
        </w:rPr>
      </w:pPr>
      <w:r w:rsidRPr="0091549C">
        <w:rPr>
          <w:b/>
          <w:bCs/>
          <w:i/>
        </w:rPr>
        <w:t xml:space="preserve">Proposal </w:t>
      </w:r>
      <w:r>
        <w:rPr>
          <w:b/>
          <w:bCs/>
          <w:i/>
        </w:rPr>
        <w:t xml:space="preserve">4: For CQI </w:t>
      </w:r>
      <w:r w:rsidRPr="00FE685B">
        <w:rPr>
          <w:b/>
          <w:bCs/>
          <w:i/>
        </w:rPr>
        <w:t>determination</w:t>
      </w:r>
      <w:r>
        <w:rPr>
          <w:b/>
          <w:bCs/>
          <w:i/>
        </w:rPr>
        <w:t>, support option 1a,</w:t>
      </w:r>
      <w:r w:rsidRPr="00B501CE">
        <w:t xml:space="preserve"> </w:t>
      </w:r>
      <w:r w:rsidRPr="00B501CE">
        <w:rPr>
          <w:b/>
          <w:bCs/>
          <w:i/>
        </w:rPr>
        <w:t>CQI is calculated based on target CSI with realistic channel measurement.</w:t>
      </w:r>
    </w:p>
    <w:p w14:paraId="14D9126C" w14:textId="77777777" w:rsidR="00C82EE6" w:rsidRDefault="00C82EE6" w:rsidP="00C82EE6">
      <w:pPr>
        <w:pStyle w:val="a0"/>
        <w:snapToGrid w:val="0"/>
        <w:spacing w:before="120"/>
        <w:jc w:val="both"/>
        <w:rPr>
          <w:b/>
          <w:bCs/>
          <w:i/>
        </w:rPr>
      </w:pPr>
      <w:r w:rsidRPr="0091549C">
        <w:rPr>
          <w:b/>
          <w:bCs/>
          <w:i/>
        </w:rPr>
        <w:t xml:space="preserve">Proposal </w:t>
      </w:r>
      <w:r>
        <w:rPr>
          <w:b/>
          <w:bCs/>
          <w:i/>
        </w:rPr>
        <w:t xml:space="preserve">5: For </w:t>
      </w:r>
      <w:r w:rsidRPr="0082670B">
        <w:rPr>
          <w:b/>
          <w:bCs/>
          <w:i/>
        </w:rPr>
        <w:t>UCI mapping</w:t>
      </w:r>
      <w:r>
        <w:rPr>
          <w:b/>
          <w:bCs/>
          <w:i/>
        </w:rPr>
        <w:t xml:space="preserve">, </w:t>
      </w:r>
      <w:r>
        <w:rPr>
          <w:rFonts w:hint="eastAsia"/>
          <w:b/>
          <w:bCs/>
          <w:i/>
        </w:rPr>
        <w:t>supp</w:t>
      </w:r>
      <w:r>
        <w:rPr>
          <w:b/>
          <w:bCs/>
          <w:i/>
        </w:rPr>
        <w:t>ort UCI grouping</w:t>
      </w:r>
      <w:r w:rsidRPr="0082670B">
        <w:rPr>
          <w:b/>
          <w:bCs/>
          <w:i/>
        </w:rPr>
        <w:t xml:space="preserve"> </w:t>
      </w:r>
      <w:r w:rsidRPr="00D05F2C">
        <w:rPr>
          <w:b/>
          <w:bCs/>
          <w:i/>
        </w:rPr>
        <w:t>based on portions of each layer</w:t>
      </w:r>
      <w:r>
        <w:rPr>
          <w:b/>
          <w:bCs/>
          <w:i/>
        </w:rPr>
        <w:t>, further study the following options:</w:t>
      </w:r>
    </w:p>
    <w:p w14:paraId="66A46464" w14:textId="77777777" w:rsidR="00C82EE6" w:rsidRDefault="00C82EE6" w:rsidP="00C82EE6">
      <w:pPr>
        <w:pStyle w:val="a0"/>
        <w:numPr>
          <w:ilvl w:val="0"/>
          <w:numId w:val="18"/>
        </w:numPr>
        <w:snapToGrid w:val="0"/>
        <w:spacing w:before="120"/>
        <w:jc w:val="both"/>
        <w:rPr>
          <w:b/>
          <w:bCs/>
          <w:i/>
        </w:rPr>
      </w:pPr>
      <w:r>
        <w:rPr>
          <w:b/>
          <w:bCs/>
          <w:i/>
        </w:rPr>
        <w:t xml:space="preserve">Option1: Grouping based on </w:t>
      </w:r>
      <w:r w:rsidRPr="0082670B">
        <w:rPr>
          <w:b/>
          <w:bCs/>
          <w:i/>
        </w:rPr>
        <w:t>output dimension index or segment index</w:t>
      </w:r>
      <w:r>
        <w:rPr>
          <w:b/>
          <w:bCs/>
          <w:i/>
        </w:rPr>
        <w:t>.</w:t>
      </w:r>
    </w:p>
    <w:p w14:paraId="4BAC4225" w14:textId="77777777" w:rsidR="00C82EE6" w:rsidRDefault="00C82EE6" w:rsidP="00C82EE6">
      <w:pPr>
        <w:pStyle w:val="a0"/>
        <w:numPr>
          <w:ilvl w:val="0"/>
          <w:numId w:val="18"/>
        </w:numPr>
        <w:snapToGrid w:val="0"/>
        <w:spacing w:before="120"/>
        <w:jc w:val="both"/>
        <w:rPr>
          <w:b/>
          <w:bCs/>
          <w:i/>
        </w:rPr>
      </w:pPr>
      <w:r>
        <w:rPr>
          <w:b/>
          <w:bCs/>
          <w:i/>
        </w:rPr>
        <w:t>Option2: Grouping based on q</w:t>
      </w:r>
      <w:r w:rsidRPr="0082670B">
        <w:rPr>
          <w:b/>
          <w:bCs/>
          <w:i/>
        </w:rPr>
        <w:t>uantized</w:t>
      </w:r>
      <w:r>
        <w:rPr>
          <w:b/>
          <w:bCs/>
          <w:i/>
        </w:rPr>
        <w:t xml:space="preserve"> </w:t>
      </w:r>
      <w:r w:rsidRPr="0082670B">
        <w:rPr>
          <w:b/>
          <w:bCs/>
          <w:i/>
        </w:rPr>
        <w:t>bit index.</w:t>
      </w:r>
    </w:p>
    <w:p w14:paraId="003CC4A7" w14:textId="77777777" w:rsidR="00C82EE6" w:rsidRDefault="00C82EE6" w:rsidP="00C82EE6">
      <w:pPr>
        <w:pStyle w:val="a0"/>
        <w:numPr>
          <w:ilvl w:val="0"/>
          <w:numId w:val="18"/>
        </w:numPr>
        <w:snapToGrid w:val="0"/>
        <w:spacing w:before="120"/>
        <w:jc w:val="both"/>
        <w:rPr>
          <w:b/>
          <w:bCs/>
          <w:i/>
        </w:rPr>
      </w:pPr>
      <w:r w:rsidRPr="0091549C">
        <w:rPr>
          <w:b/>
          <w:bCs/>
          <w:i/>
        </w:rPr>
        <w:t>Proposal</w:t>
      </w:r>
      <w:r>
        <w:rPr>
          <w:b/>
          <w:bCs/>
          <w:i/>
        </w:rPr>
        <w:t xml:space="preserve"> 6: For </w:t>
      </w:r>
      <w:r w:rsidRPr="00035828">
        <w:rPr>
          <w:b/>
          <w:bCs/>
          <w:i/>
        </w:rPr>
        <w:t>CPU/APU occupancy</w:t>
      </w:r>
      <w:r>
        <w:rPr>
          <w:b/>
          <w:bCs/>
          <w:i/>
        </w:rPr>
        <w:t xml:space="preserve">, further study </w:t>
      </w:r>
      <w:r w:rsidRPr="00035828">
        <w:rPr>
          <w:b/>
          <w:bCs/>
          <w:i/>
        </w:rPr>
        <w:t xml:space="preserve">whether </w:t>
      </w:r>
      <w:r w:rsidRPr="00035828">
        <w:rPr>
          <w:rFonts w:hint="eastAsia"/>
          <w:b/>
          <w:bCs/>
          <w:i/>
        </w:rPr>
        <w:t>C</w:t>
      </w:r>
      <w:r w:rsidRPr="00035828">
        <w:rPr>
          <w:b/>
          <w:bCs/>
          <w:i/>
        </w:rPr>
        <w:t>PU/APU</w:t>
      </w:r>
      <w:r>
        <w:rPr>
          <w:b/>
          <w:bCs/>
          <w:i/>
        </w:rPr>
        <w:t xml:space="preserve"> occupancy</w:t>
      </w:r>
      <w:r w:rsidRPr="00035828">
        <w:rPr>
          <w:b/>
          <w:bCs/>
          <w:i/>
        </w:rPr>
        <w:t xml:space="preserve"> is </w:t>
      </w:r>
      <w:r w:rsidRPr="00FA2787">
        <w:rPr>
          <w:b/>
          <w:bCs/>
          <w:i/>
        </w:rPr>
        <w:t xml:space="preserve">specific </w:t>
      </w:r>
      <w:r w:rsidRPr="00035828">
        <w:rPr>
          <w:b/>
          <w:bCs/>
          <w:i/>
        </w:rPr>
        <w:t>for different layers</w:t>
      </w:r>
      <w:r w:rsidRPr="00035828">
        <w:rPr>
          <w:rFonts w:hint="eastAsia"/>
          <w:b/>
          <w:bCs/>
          <w:i/>
        </w:rPr>
        <w:t>/rank</w:t>
      </w:r>
      <w:r w:rsidRPr="00035828">
        <w:rPr>
          <w:b/>
          <w:bCs/>
          <w:i/>
        </w:rPr>
        <w:t>s</w:t>
      </w:r>
      <w:r>
        <w:rPr>
          <w:b/>
          <w:bCs/>
          <w:i/>
        </w:rPr>
        <w:t>.</w:t>
      </w:r>
    </w:p>
    <w:p w14:paraId="5F617379" w14:textId="1F75DA58" w:rsidR="00435A25" w:rsidRPr="00C82EE6" w:rsidRDefault="00435A25" w:rsidP="00C55D3A">
      <w:pPr>
        <w:pStyle w:val="a0"/>
        <w:snapToGrid w:val="0"/>
        <w:spacing w:before="120"/>
        <w:jc w:val="both"/>
        <w:rPr>
          <w:rFonts w:eastAsia="Times New Roman" w:cs="Times New Roman"/>
          <w:b/>
          <w:bCs/>
          <w:i/>
        </w:rPr>
      </w:pPr>
    </w:p>
    <w:p w14:paraId="59777FCB" w14:textId="77777777" w:rsidR="002A08F3" w:rsidRDefault="002A08F3" w:rsidP="00184A05">
      <w:pPr>
        <w:pStyle w:val="1"/>
        <w:numPr>
          <w:ilvl w:val="0"/>
          <w:numId w:val="0"/>
        </w:numPr>
        <w:snapToGrid w:val="0"/>
        <w:spacing w:before="120" w:after="120"/>
        <w:ind w:left="425" w:hanging="425"/>
        <w:rPr>
          <w:rFonts w:ascii="Times New Roman" w:eastAsiaTheme="minorEastAsia" w:hAnsi="Times New Roman" w:cs="Times New Roman"/>
          <w:b/>
        </w:rPr>
      </w:pPr>
      <w:r w:rsidRPr="002A08F3">
        <w:rPr>
          <w:rFonts w:ascii="Times New Roman" w:eastAsiaTheme="minorEastAsia" w:hAnsi="Times New Roman" w:cs="Times New Roman" w:hint="eastAsia"/>
          <w:b/>
        </w:rPr>
        <w:t>Reference</w:t>
      </w:r>
    </w:p>
    <w:p w14:paraId="28E4EE0A" w14:textId="1C88CF80" w:rsidR="00C70B08" w:rsidRPr="00004770" w:rsidRDefault="000E3E4E" w:rsidP="00004770">
      <w:pPr>
        <w:pStyle w:val="References"/>
        <w:numPr>
          <w:ilvl w:val="0"/>
          <w:numId w:val="3"/>
        </w:numPr>
        <w:jc w:val="both"/>
        <w:rPr>
          <w:lang w:val="en-GB"/>
        </w:rPr>
      </w:pPr>
      <w:bookmarkStart w:id="3" w:name="_Ref157442088"/>
      <w:r w:rsidRPr="000E3E4E">
        <w:rPr>
          <w:szCs w:val="22"/>
          <w:lang w:val="en-GB"/>
        </w:rPr>
        <w:t xml:space="preserve">RP-251870, “New WID on </w:t>
      </w:r>
      <w:proofErr w:type="spellStart"/>
      <w:r w:rsidRPr="000E3E4E">
        <w:rPr>
          <w:szCs w:val="22"/>
          <w:lang w:val="en-GB"/>
        </w:rPr>
        <w:t>Aritificial</w:t>
      </w:r>
      <w:proofErr w:type="spellEnd"/>
      <w:r w:rsidRPr="000E3E4E">
        <w:rPr>
          <w:szCs w:val="22"/>
          <w:lang w:val="en-GB"/>
        </w:rPr>
        <w:t xml:space="preserve"> Intelligence (AI)/Machine Learning (ML) for NR Air Interface enhancements,” 3GPP TSG RAN Meeting #108, Qualcomm (Moderator), Prague, Czech, June 9-13, 2025</w:t>
      </w:r>
      <w:r w:rsidR="005D61A9" w:rsidRPr="00A20883">
        <w:rPr>
          <w:szCs w:val="22"/>
          <w:lang w:val="en-GB"/>
        </w:rPr>
        <w:t>.</w:t>
      </w:r>
      <w:bookmarkEnd w:id="3"/>
    </w:p>
    <w:sectPr w:rsidR="00C70B08" w:rsidRPr="00004770" w:rsidSect="000C124D">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1925F" w14:textId="77777777" w:rsidR="00792A83" w:rsidRDefault="00792A83" w:rsidP="00274D37">
      <w:r>
        <w:separator/>
      </w:r>
    </w:p>
  </w:endnote>
  <w:endnote w:type="continuationSeparator" w:id="0">
    <w:p w14:paraId="4D404CAF" w14:textId="77777777" w:rsidR="00792A83" w:rsidRDefault="00792A83" w:rsidP="00274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ED8770" w14:textId="77777777" w:rsidR="00792A83" w:rsidRDefault="00792A83" w:rsidP="00274D37">
      <w:r>
        <w:separator/>
      </w:r>
    </w:p>
  </w:footnote>
  <w:footnote w:type="continuationSeparator" w:id="0">
    <w:p w14:paraId="6C4991AF" w14:textId="77777777" w:rsidR="00792A83" w:rsidRDefault="00792A83" w:rsidP="00274D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354380"/>
    <w:multiLevelType w:val="multilevel"/>
    <w:tmpl w:val="15354380"/>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18287A8F"/>
    <w:multiLevelType w:val="hybridMultilevel"/>
    <w:tmpl w:val="13F4F558"/>
    <w:lvl w:ilvl="0" w:tplc="5B16D3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96B48AE"/>
    <w:multiLevelType w:val="hybridMultilevel"/>
    <w:tmpl w:val="B3766C0A"/>
    <w:lvl w:ilvl="0" w:tplc="3E0A8AC0">
      <w:start w:val="1"/>
      <w:numFmt w:val="decimal"/>
      <w:lvlText w:val="[%1]"/>
      <w:lvlJc w:val="left"/>
      <w:pPr>
        <w:ind w:left="360" w:hanging="360"/>
      </w:pPr>
      <w:rPr>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197143D2"/>
    <w:multiLevelType w:val="multilevel"/>
    <w:tmpl w:val="74F0752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4" w15:restartNumberingAfterBreak="0">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C19774F"/>
    <w:multiLevelType w:val="hybridMultilevel"/>
    <w:tmpl w:val="C4E073DA"/>
    <w:lvl w:ilvl="0" w:tplc="5B16D3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D97E4F"/>
    <w:multiLevelType w:val="hybridMultilevel"/>
    <w:tmpl w:val="D83E6FFE"/>
    <w:lvl w:ilvl="0" w:tplc="62A6D5FE">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8" w15:restartNumberingAfterBreak="0">
    <w:nsid w:val="2EE42BF6"/>
    <w:multiLevelType w:val="multilevel"/>
    <w:tmpl w:val="8F9263DC"/>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lvlText w:val="%1.%2.%3"/>
      <w:lvlJc w:val="left"/>
      <w:pPr>
        <w:tabs>
          <w:tab w:val="num" w:pos="990"/>
        </w:tabs>
        <w:ind w:left="99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FF62810"/>
    <w:multiLevelType w:val="multilevel"/>
    <w:tmpl w:val="BDFCF34E"/>
    <w:lvl w:ilvl="0">
      <w:start w:val="2"/>
      <w:numFmt w:val="decimal"/>
      <w:pStyle w:val="1"/>
      <w:lvlText w:val="%1."/>
      <w:lvlJc w:val="left"/>
      <w:pPr>
        <w:ind w:left="425" w:hanging="425"/>
      </w:pPr>
      <w:rPr>
        <w:rFonts w:ascii="Times New Roman" w:hAnsi="Times New Roman" w:cs="Times New Roman" w:hint="default"/>
      </w:rPr>
    </w:lvl>
    <w:lvl w:ilvl="1">
      <w:start w:val="1"/>
      <w:numFmt w:val="decimal"/>
      <w:lvlText w:val="%1.%2."/>
      <w:lvlJc w:val="left"/>
      <w:pPr>
        <w:ind w:left="567" w:hanging="567"/>
      </w:pPr>
      <w:rPr>
        <w:rFonts w:ascii="Times New Roman" w:hAnsi="Times New Roman" w:cs="Times New Roman" w:hint="default"/>
        <w:b/>
      </w:rPr>
    </w:lvl>
    <w:lvl w:ilvl="2">
      <w:start w:val="1"/>
      <w:numFmt w:val="decimal"/>
      <w:pStyle w:val="3"/>
      <w:lvlText w:val="%1.%2.%3."/>
      <w:lvlJc w:val="left"/>
      <w:pPr>
        <w:ind w:left="851" w:hanging="709"/>
      </w:pPr>
      <w:rPr>
        <w:rFonts w:ascii="Times New Roman" w:hAnsi="Times New Roman" w:cs="Times New Roman" w:hint="default"/>
        <w:sz w:val="22"/>
        <w:szCs w:val="22"/>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15:restartNumberingAfterBreak="0">
    <w:nsid w:val="3BFD20B3"/>
    <w:multiLevelType w:val="hybridMultilevel"/>
    <w:tmpl w:val="832A6E24"/>
    <w:lvl w:ilvl="0" w:tplc="DB8E602E">
      <w:start w:val="1"/>
      <w:numFmt w:val="bullet"/>
      <w:pStyle w:val="Style2"/>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D273A6A"/>
    <w:multiLevelType w:val="hybridMultilevel"/>
    <w:tmpl w:val="8C4496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FD70DE"/>
    <w:multiLevelType w:val="hybridMultilevel"/>
    <w:tmpl w:val="703C08E0"/>
    <w:lvl w:ilvl="0" w:tplc="EDC4F5C8">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514D2B6C"/>
    <w:multiLevelType w:val="multilevel"/>
    <w:tmpl w:val="F782C180"/>
    <w:lvl w:ilvl="0">
      <w:start w:val="1"/>
      <w:numFmt w:val="bullet"/>
      <w:lvlText w:val="•"/>
      <w:lvlJc w:val="left"/>
      <w:pPr>
        <w:tabs>
          <w:tab w:val="left" w:pos="0"/>
        </w:tabs>
        <w:ind w:left="720" w:hanging="360"/>
      </w:pPr>
      <w:rPr>
        <w:rFonts w:ascii="Arial" w:hAnsi="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41003811">
    <w:abstractNumId w:val="9"/>
  </w:num>
  <w:num w:numId="2" w16cid:durableId="947389268">
    <w:abstractNumId w:val="10"/>
  </w:num>
  <w:num w:numId="3" w16cid:durableId="1260212432">
    <w:abstractNumId w:val="2"/>
  </w:num>
  <w:num w:numId="4" w16cid:durableId="1229026956">
    <w:abstractNumId w:val="14"/>
  </w:num>
  <w:num w:numId="5" w16cid:durableId="747267942">
    <w:abstractNumId w:val="3"/>
  </w:num>
  <w:num w:numId="6" w16cid:durableId="1758403649">
    <w:abstractNumId w:val="0"/>
  </w:num>
  <w:num w:numId="7" w16cid:durableId="1456757455">
    <w:abstractNumId w:val="8"/>
  </w:num>
  <w:num w:numId="8" w16cid:durableId="21325173">
    <w:abstractNumId w:val="7"/>
  </w:num>
  <w:num w:numId="9" w16cid:durableId="1023482625">
    <w:abstractNumId w:val="6"/>
  </w:num>
  <w:num w:numId="10" w16cid:durableId="1708142830">
    <w:abstractNumId w:val="17"/>
  </w:num>
  <w:num w:numId="11" w16cid:durableId="157382882">
    <w:abstractNumId w:val="13"/>
  </w:num>
  <w:num w:numId="12" w16cid:durableId="2003044614">
    <w:abstractNumId w:val="4"/>
  </w:num>
  <w:num w:numId="13" w16cid:durableId="1109013599">
    <w:abstractNumId w:val="11"/>
  </w:num>
  <w:num w:numId="14" w16cid:durableId="302854025">
    <w:abstractNumId w:val="15"/>
  </w:num>
  <w:num w:numId="15" w16cid:durableId="664863088">
    <w:abstractNumId w:val="12"/>
  </w:num>
  <w:num w:numId="16" w16cid:durableId="1935941687">
    <w:abstractNumId w:val="1"/>
  </w:num>
  <w:num w:numId="17" w16cid:durableId="425807892">
    <w:abstractNumId w:val="5"/>
  </w:num>
  <w:num w:numId="18" w16cid:durableId="51779411">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5B95"/>
    <w:rsid w:val="000017E3"/>
    <w:rsid w:val="00001E3B"/>
    <w:rsid w:val="00001F23"/>
    <w:rsid w:val="0000241D"/>
    <w:rsid w:val="0000318D"/>
    <w:rsid w:val="000034E5"/>
    <w:rsid w:val="000043F8"/>
    <w:rsid w:val="000044F8"/>
    <w:rsid w:val="00004770"/>
    <w:rsid w:val="00004CE5"/>
    <w:rsid w:val="00005F15"/>
    <w:rsid w:val="00005F9D"/>
    <w:rsid w:val="0000673B"/>
    <w:rsid w:val="00010F9C"/>
    <w:rsid w:val="0001130E"/>
    <w:rsid w:val="00011CB2"/>
    <w:rsid w:val="00011CD9"/>
    <w:rsid w:val="000133E5"/>
    <w:rsid w:val="000134C4"/>
    <w:rsid w:val="00014254"/>
    <w:rsid w:val="000154F5"/>
    <w:rsid w:val="00015D0C"/>
    <w:rsid w:val="00017288"/>
    <w:rsid w:val="000229E7"/>
    <w:rsid w:val="00022F09"/>
    <w:rsid w:val="00023EE7"/>
    <w:rsid w:val="000248B4"/>
    <w:rsid w:val="000251EA"/>
    <w:rsid w:val="00025A9B"/>
    <w:rsid w:val="000260C8"/>
    <w:rsid w:val="000262FA"/>
    <w:rsid w:val="0002672B"/>
    <w:rsid w:val="00027B9F"/>
    <w:rsid w:val="00027E8F"/>
    <w:rsid w:val="00030623"/>
    <w:rsid w:val="00031215"/>
    <w:rsid w:val="00031EF2"/>
    <w:rsid w:val="000327F8"/>
    <w:rsid w:val="0003430E"/>
    <w:rsid w:val="0003442D"/>
    <w:rsid w:val="000347DA"/>
    <w:rsid w:val="0003480A"/>
    <w:rsid w:val="000349DD"/>
    <w:rsid w:val="00034A62"/>
    <w:rsid w:val="00034CB7"/>
    <w:rsid w:val="00034CE8"/>
    <w:rsid w:val="00034E9D"/>
    <w:rsid w:val="000352BC"/>
    <w:rsid w:val="00035828"/>
    <w:rsid w:val="000358FF"/>
    <w:rsid w:val="00035A31"/>
    <w:rsid w:val="00035E45"/>
    <w:rsid w:val="000364D6"/>
    <w:rsid w:val="00036AE3"/>
    <w:rsid w:val="00040862"/>
    <w:rsid w:val="00041B7E"/>
    <w:rsid w:val="000428A9"/>
    <w:rsid w:val="00042A42"/>
    <w:rsid w:val="00042E49"/>
    <w:rsid w:val="00042EA9"/>
    <w:rsid w:val="0004313B"/>
    <w:rsid w:val="00043214"/>
    <w:rsid w:val="00043BE4"/>
    <w:rsid w:val="00044EAB"/>
    <w:rsid w:val="00046320"/>
    <w:rsid w:val="000467AD"/>
    <w:rsid w:val="00046CB4"/>
    <w:rsid w:val="0004721B"/>
    <w:rsid w:val="0004729E"/>
    <w:rsid w:val="00047586"/>
    <w:rsid w:val="00050FFF"/>
    <w:rsid w:val="00052324"/>
    <w:rsid w:val="00052680"/>
    <w:rsid w:val="00053E65"/>
    <w:rsid w:val="00054C51"/>
    <w:rsid w:val="00054D48"/>
    <w:rsid w:val="00054E67"/>
    <w:rsid w:val="000559AA"/>
    <w:rsid w:val="00056270"/>
    <w:rsid w:val="000567C6"/>
    <w:rsid w:val="00056BC2"/>
    <w:rsid w:val="000574ED"/>
    <w:rsid w:val="00057513"/>
    <w:rsid w:val="00060673"/>
    <w:rsid w:val="000610EB"/>
    <w:rsid w:val="00061775"/>
    <w:rsid w:val="00061BF4"/>
    <w:rsid w:val="00062A86"/>
    <w:rsid w:val="00062F02"/>
    <w:rsid w:val="000634F3"/>
    <w:rsid w:val="00064516"/>
    <w:rsid w:val="0006453A"/>
    <w:rsid w:val="000673C9"/>
    <w:rsid w:val="0006741A"/>
    <w:rsid w:val="00067C29"/>
    <w:rsid w:val="00067C99"/>
    <w:rsid w:val="0007333C"/>
    <w:rsid w:val="000741FC"/>
    <w:rsid w:val="000744DE"/>
    <w:rsid w:val="0007578F"/>
    <w:rsid w:val="00080613"/>
    <w:rsid w:val="00080E96"/>
    <w:rsid w:val="00080EB0"/>
    <w:rsid w:val="00080F28"/>
    <w:rsid w:val="00080F91"/>
    <w:rsid w:val="00081589"/>
    <w:rsid w:val="00081DA0"/>
    <w:rsid w:val="000827BD"/>
    <w:rsid w:val="00082A92"/>
    <w:rsid w:val="00082F5B"/>
    <w:rsid w:val="0008323D"/>
    <w:rsid w:val="00084B2B"/>
    <w:rsid w:val="00085BD6"/>
    <w:rsid w:val="00085CEE"/>
    <w:rsid w:val="000867B6"/>
    <w:rsid w:val="00090052"/>
    <w:rsid w:val="00090825"/>
    <w:rsid w:val="00093C43"/>
    <w:rsid w:val="00093F4B"/>
    <w:rsid w:val="00094125"/>
    <w:rsid w:val="00094882"/>
    <w:rsid w:val="000954B0"/>
    <w:rsid w:val="00095CEB"/>
    <w:rsid w:val="00096026"/>
    <w:rsid w:val="0009618B"/>
    <w:rsid w:val="0009672D"/>
    <w:rsid w:val="0009742A"/>
    <w:rsid w:val="00097C98"/>
    <w:rsid w:val="000A0506"/>
    <w:rsid w:val="000A1591"/>
    <w:rsid w:val="000A1BE9"/>
    <w:rsid w:val="000A1ED0"/>
    <w:rsid w:val="000A29D3"/>
    <w:rsid w:val="000A2D8F"/>
    <w:rsid w:val="000A310C"/>
    <w:rsid w:val="000A3CEF"/>
    <w:rsid w:val="000A4BCB"/>
    <w:rsid w:val="000A54D4"/>
    <w:rsid w:val="000A6AB9"/>
    <w:rsid w:val="000A70F3"/>
    <w:rsid w:val="000A713D"/>
    <w:rsid w:val="000A7927"/>
    <w:rsid w:val="000B05B2"/>
    <w:rsid w:val="000B0658"/>
    <w:rsid w:val="000B1234"/>
    <w:rsid w:val="000B2645"/>
    <w:rsid w:val="000B29C2"/>
    <w:rsid w:val="000B2A80"/>
    <w:rsid w:val="000B2C7F"/>
    <w:rsid w:val="000B309F"/>
    <w:rsid w:val="000B3586"/>
    <w:rsid w:val="000B3E87"/>
    <w:rsid w:val="000B404E"/>
    <w:rsid w:val="000B4122"/>
    <w:rsid w:val="000B6004"/>
    <w:rsid w:val="000B69CD"/>
    <w:rsid w:val="000B6C7E"/>
    <w:rsid w:val="000B7080"/>
    <w:rsid w:val="000B7111"/>
    <w:rsid w:val="000C017C"/>
    <w:rsid w:val="000C0D23"/>
    <w:rsid w:val="000C0E51"/>
    <w:rsid w:val="000C124D"/>
    <w:rsid w:val="000C12D3"/>
    <w:rsid w:val="000C179E"/>
    <w:rsid w:val="000C26F5"/>
    <w:rsid w:val="000C2DDD"/>
    <w:rsid w:val="000C2DEC"/>
    <w:rsid w:val="000C3237"/>
    <w:rsid w:val="000C3935"/>
    <w:rsid w:val="000C4841"/>
    <w:rsid w:val="000C5859"/>
    <w:rsid w:val="000C5F96"/>
    <w:rsid w:val="000C670C"/>
    <w:rsid w:val="000C764C"/>
    <w:rsid w:val="000C79CA"/>
    <w:rsid w:val="000C7FF9"/>
    <w:rsid w:val="000D007F"/>
    <w:rsid w:val="000D1246"/>
    <w:rsid w:val="000D1749"/>
    <w:rsid w:val="000D17C7"/>
    <w:rsid w:val="000D17EA"/>
    <w:rsid w:val="000D1897"/>
    <w:rsid w:val="000D22EA"/>
    <w:rsid w:val="000D265C"/>
    <w:rsid w:val="000D2BBF"/>
    <w:rsid w:val="000D2EF2"/>
    <w:rsid w:val="000D3261"/>
    <w:rsid w:val="000D37AD"/>
    <w:rsid w:val="000D41FD"/>
    <w:rsid w:val="000D5247"/>
    <w:rsid w:val="000D68FF"/>
    <w:rsid w:val="000D70E2"/>
    <w:rsid w:val="000D7DBC"/>
    <w:rsid w:val="000E0083"/>
    <w:rsid w:val="000E03B6"/>
    <w:rsid w:val="000E0420"/>
    <w:rsid w:val="000E04E3"/>
    <w:rsid w:val="000E0622"/>
    <w:rsid w:val="000E07A5"/>
    <w:rsid w:val="000E0F67"/>
    <w:rsid w:val="000E1448"/>
    <w:rsid w:val="000E149C"/>
    <w:rsid w:val="000E1B82"/>
    <w:rsid w:val="000E1C73"/>
    <w:rsid w:val="000E2742"/>
    <w:rsid w:val="000E3069"/>
    <w:rsid w:val="000E3A8C"/>
    <w:rsid w:val="000E3E4E"/>
    <w:rsid w:val="000E4166"/>
    <w:rsid w:val="000E4577"/>
    <w:rsid w:val="000E464A"/>
    <w:rsid w:val="000E562B"/>
    <w:rsid w:val="000E57B5"/>
    <w:rsid w:val="000E5D72"/>
    <w:rsid w:val="000E7067"/>
    <w:rsid w:val="000E72CE"/>
    <w:rsid w:val="000E73F8"/>
    <w:rsid w:val="000E7F1D"/>
    <w:rsid w:val="000F07B3"/>
    <w:rsid w:val="000F1C38"/>
    <w:rsid w:val="000F297E"/>
    <w:rsid w:val="000F2CAD"/>
    <w:rsid w:val="000F3913"/>
    <w:rsid w:val="000F39B9"/>
    <w:rsid w:val="000F443F"/>
    <w:rsid w:val="000F47B4"/>
    <w:rsid w:val="000F59C6"/>
    <w:rsid w:val="000F5E37"/>
    <w:rsid w:val="000F7486"/>
    <w:rsid w:val="00100700"/>
    <w:rsid w:val="00101FDD"/>
    <w:rsid w:val="001030EE"/>
    <w:rsid w:val="0010366F"/>
    <w:rsid w:val="001043B5"/>
    <w:rsid w:val="0010562A"/>
    <w:rsid w:val="00105E64"/>
    <w:rsid w:val="00106A8C"/>
    <w:rsid w:val="001075A5"/>
    <w:rsid w:val="00107740"/>
    <w:rsid w:val="00107BF4"/>
    <w:rsid w:val="00110CA8"/>
    <w:rsid w:val="001112E9"/>
    <w:rsid w:val="001114AF"/>
    <w:rsid w:val="00112E3F"/>
    <w:rsid w:val="001140DB"/>
    <w:rsid w:val="00114154"/>
    <w:rsid w:val="001143DF"/>
    <w:rsid w:val="001147DA"/>
    <w:rsid w:val="00114B73"/>
    <w:rsid w:val="00114C15"/>
    <w:rsid w:val="00114C30"/>
    <w:rsid w:val="0011558E"/>
    <w:rsid w:val="00115FC1"/>
    <w:rsid w:val="00116278"/>
    <w:rsid w:val="001177F1"/>
    <w:rsid w:val="00117DED"/>
    <w:rsid w:val="001202FE"/>
    <w:rsid w:val="00122881"/>
    <w:rsid w:val="0012365C"/>
    <w:rsid w:val="00124AF9"/>
    <w:rsid w:val="00124D26"/>
    <w:rsid w:val="00125D46"/>
    <w:rsid w:val="00125F99"/>
    <w:rsid w:val="001266C6"/>
    <w:rsid w:val="00131FCB"/>
    <w:rsid w:val="0013236C"/>
    <w:rsid w:val="0013367C"/>
    <w:rsid w:val="0013438D"/>
    <w:rsid w:val="001353B8"/>
    <w:rsid w:val="001355F1"/>
    <w:rsid w:val="0013608F"/>
    <w:rsid w:val="0013691F"/>
    <w:rsid w:val="00136938"/>
    <w:rsid w:val="00136B2D"/>
    <w:rsid w:val="00137393"/>
    <w:rsid w:val="0014040D"/>
    <w:rsid w:val="00141A48"/>
    <w:rsid w:val="00141F7C"/>
    <w:rsid w:val="00142097"/>
    <w:rsid w:val="00144442"/>
    <w:rsid w:val="001449E6"/>
    <w:rsid w:val="00145A3F"/>
    <w:rsid w:val="00145B73"/>
    <w:rsid w:val="0014768E"/>
    <w:rsid w:val="001476EB"/>
    <w:rsid w:val="00147944"/>
    <w:rsid w:val="0015004F"/>
    <w:rsid w:val="00150089"/>
    <w:rsid w:val="0015052D"/>
    <w:rsid w:val="00151105"/>
    <w:rsid w:val="00151776"/>
    <w:rsid w:val="00151F13"/>
    <w:rsid w:val="00151FBC"/>
    <w:rsid w:val="001525D4"/>
    <w:rsid w:val="00152884"/>
    <w:rsid w:val="00153270"/>
    <w:rsid w:val="00153432"/>
    <w:rsid w:val="001537C3"/>
    <w:rsid w:val="00153800"/>
    <w:rsid w:val="001554CA"/>
    <w:rsid w:val="00155FF0"/>
    <w:rsid w:val="00156044"/>
    <w:rsid w:val="0015613C"/>
    <w:rsid w:val="0015639A"/>
    <w:rsid w:val="00156736"/>
    <w:rsid w:val="00156F1B"/>
    <w:rsid w:val="0015756D"/>
    <w:rsid w:val="0015765C"/>
    <w:rsid w:val="00160314"/>
    <w:rsid w:val="0016106E"/>
    <w:rsid w:val="0016152D"/>
    <w:rsid w:val="001617DD"/>
    <w:rsid w:val="001618D7"/>
    <w:rsid w:val="00162A43"/>
    <w:rsid w:val="00162DFE"/>
    <w:rsid w:val="00163A32"/>
    <w:rsid w:val="00164DFC"/>
    <w:rsid w:val="001658D7"/>
    <w:rsid w:val="00165E36"/>
    <w:rsid w:val="00166723"/>
    <w:rsid w:val="001673EC"/>
    <w:rsid w:val="00171970"/>
    <w:rsid w:val="00171E13"/>
    <w:rsid w:val="00172AD4"/>
    <w:rsid w:val="00172B94"/>
    <w:rsid w:val="00174963"/>
    <w:rsid w:val="00174AB4"/>
    <w:rsid w:val="00175062"/>
    <w:rsid w:val="00175272"/>
    <w:rsid w:val="001757E0"/>
    <w:rsid w:val="00176996"/>
    <w:rsid w:val="00177940"/>
    <w:rsid w:val="001809EC"/>
    <w:rsid w:val="00183257"/>
    <w:rsid w:val="0018335C"/>
    <w:rsid w:val="001833D9"/>
    <w:rsid w:val="001837D9"/>
    <w:rsid w:val="001848D6"/>
    <w:rsid w:val="00184962"/>
    <w:rsid w:val="00184A05"/>
    <w:rsid w:val="00184E87"/>
    <w:rsid w:val="00184F22"/>
    <w:rsid w:val="001858DE"/>
    <w:rsid w:val="00185FD0"/>
    <w:rsid w:val="00186708"/>
    <w:rsid w:val="001869AA"/>
    <w:rsid w:val="00187634"/>
    <w:rsid w:val="00187AEF"/>
    <w:rsid w:val="001911EC"/>
    <w:rsid w:val="001913C6"/>
    <w:rsid w:val="00191758"/>
    <w:rsid w:val="0019194A"/>
    <w:rsid w:val="00193D08"/>
    <w:rsid w:val="001946CC"/>
    <w:rsid w:val="00194E33"/>
    <w:rsid w:val="00195C39"/>
    <w:rsid w:val="001965ED"/>
    <w:rsid w:val="001966E3"/>
    <w:rsid w:val="001968A4"/>
    <w:rsid w:val="00196C64"/>
    <w:rsid w:val="00196D77"/>
    <w:rsid w:val="00197047"/>
    <w:rsid w:val="00197288"/>
    <w:rsid w:val="00197D28"/>
    <w:rsid w:val="001A0620"/>
    <w:rsid w:val="001A0D79"/>
    <w:rsid w:val="001A2446"/>
    <w:rsid w:val="001A312D"/>
    <w:rsid w:val="001A3A26"/>
    <w:rsid w:val="001A5104"/>
    <w:rsid w:val="001A5E64"/>
    <w:rsid w:val="001A7058"/>
    <w:rsid w:val="001B08E0"/>
    <w:rsid w:val="001B1821"/>
    <w:rsid w:val="001B21D4"/>
    <w:rsid w:val="001B4361"/>
    <w:rsid w:val="001B4396"/>
    <w:rsid w:val="001B472B"/>
    <w:rsid w:val="001B56E3"/>
    <w:rsid w:val="001B59E7"/>
    <w:rsid w:val="001B5DFF"/>
    <w:rsid w:val="001B6184"/>
    <w:rsid w:val="001B61DC"/>
    <w:rsid w:val="001B6841"/>
    <w:rsid w:val="001B7318"/>
    <w:rsid w:val="001B7530"/>
    <w:rsid w:val="001B7E7D"/>
    <w:rsid w:val="001C0E23"/>
    <w:rsid w:val="001C1008"/>
    <w:rsid w:val="001C282D"/>
    <w:rsid w:val="001C2AED"/>
    <w:rsid w:val="001C383F"/>
    <w:rsid w:val="001C3EE0"/>
    <w:rsid w:val="001C41A7"/>
    <w:rsid w:val="001C45D7"/>
    <w:rsid w:val="001C5556"/>
    <w:rsid w:val="001C5DD4"/>
    <w:rsid w:val="001C5E02"/>
    <w:rsid w:val="001C71A7"/>
    <w:rsid w:val="001C75D0"/>
    <w:rsid w:val="001D0764"/>
    <w:rsid w:val="001D0917"/>
    <w:rsid w:val="001D1E73"/>
    <w:rsid w:val="001D23C1"/>
    <w:rsid w:val="001D372A"/>
    <w:rsid w:val="001D4438"/>
    <w:rsid w:val="001D4764"/>
    <w:rsid w:val="001D4B9A"/>
    <w:rsid w:val="001D4E06"/>
    <w:rsid w:val="001D711F"/>
    <w:rsid w:val="001D73F6"/>
    <w:rsid w:val="001E14EA"/>
    <w:rsid w:val="001E17DF"/>
    <w:rsid w:val="001E302F"/>
    <w:rsid w:val="001E31B2"/>
    <w:rsid w:val="001E3710"/>
    <w:rsid w:val="001E3F39"/>
    <w:rsid w:val="001E4408"/>
    <w:rsid w:val="001E5DE9"/>
    <w:rsid w:val="001E6561"/>
    <w:rsid w:val="001E76FC"/>
    <w:rsid w:val="001F08BD"/>
    <w:rsid w:val="001F1013"/>
    <w:rsid w:val="001F1C67"/>
    <w:rsid w:val="001F2342"/>
    <w:rsid w:val="001F4DEC"/>
    <w:rsid w:val="001F6E6A"/>
    <w:rsid w:val="002003F4"/>
    <w:rsid w:val="002017E9"/>
    <w:rsid w:val="002022CA"/>
    <w:rsid w:val="002025AE"/>
    <w:rsid w:val="00202953"/>
    <w:rsid w:val="002038F3"/>
    <w:rsid w:val="00204035"/>
    <w:rsid w:val="002048B1"/>
    <w:rsid w:val="002050BF"/>
    <w:rsid w:val="0020645F"/>
    <w:rsid w:val="00206E99"/>
    <w:rsid w:val="002071B7"/>
    <w:rsid w:val="002076B0"/>
    <w:rsid w:val="00207903"/>
    <w:rsid w:val="00211370"/>
    <w:rsid w:val="00212652"/>
    <w:rsid w:val="002127A7"/>
    <w:rsid w:val="0021326A"/>
    <w:rsid w:val="0021462C"/>
    <w:rsid w:val="00217024"/>
    <w:rsid w:val="00217752"/>
    <w:rsid w:val="00217AD8"/>
    <w:rsid w:val="002209FB"/>
    <w:rsid w:val="00220A28"/>
    <w:rsid w:val="002229A2"/>
    <w:rsid w:val="00223607"/>
    <w:rsid w:val="00223D40"/>
    <w:rsid w:val="00223FE7"/>
    <w:rsid w:val="002246FC"/>
    <w:rsid w:val="00225935"/>
    <w:rsid w:val="0022790E"/>
    <w:rsid w:val="00227A20"/>
    <w:rsid w:val="00230617"/>
    <w:rsid w:val="00230CD2"/>
    <w:rsid w:val="00230DF1"/>
    <w:rsid w:val="00231327"/>
    <w:rsid w:val="0023188C"/>
    <w:rsid w:val="00231AA7"/>
    <w:rsid w:val="002326C8"/>
    <w:rsid w:val="0023396C"/>
    <w:rsid w:val="00235CA9"/>
    <w:rsid w:val="00235EA4"/>
    <w:rsid w:val="00236782"/>
    <w:rsid w:val="00236A16"/>
    <w:rsid w:val="00236DC2"/>
    <w:rsid w:val="00237CB1"/>
    <w:rsid w:val="00237FB1"/>
    <w:rsid w:val="0024019D"/>
    <w:rsid w:val="002409FA"/>
    <w:rsid w:val="00240C27"/>
    <w:rsid w:val="0024129B"/>
    <w:rsid w:val="00241F23"/>
    <w:rsid w:val="0024275E"/>
    <w:rsid w:val="00242F7C"/>
    <w:rsid w:val="00243691"/>
    <w:rsid w:val="00243B00"/>
    <w:rsid w:val="00243C18"/>
    <w:rsid w:val="0024507C"/>
    <w:rsid w:val="00245CB2"/>
    <w:rsid w:val="00246309"/>
    <w:rsid w:val="00247C3C"/>
    <w:rsid w:val="00250302"/>
    <w:rsid w:val="002510C5"/>
    <w:rsid w:val="002514A6"/>
    <w:rsid w:val="00251F0F"/>
    <w:rsid w:val="00251F3A"/>
    <w:rsid w:val="00252981"/>
    <w:rsid w:val="00252A75"/>
    <w:rsid w:val="00252DDC"/>
    <w:rsid w:val="00254F4A"/>
    <w:rsid w:val="0025500F"/>
    <w:rsid w:val="002550A7"/>
    <w:rsid w:val="00256B64"/>
    <w:rsid w:val="0025718D"/>
    <w:rsid w:val="002575A7"/>
    <w:rsid w:val="00257DEF"/>
    <w:rsid w:val="0026030E"/>
    <w:rsid w:val="00260D3A"/>
    <w:rsid w:val="002619D6"/>
    <w:rsid w:val="0026204D"/>
    <w:rsid w:val="002647FA"/>
    <w:rsid w:val="00265C28"/>
    <w:rsid w:val="00265EB6"/>
    <w:rsid w:val="002665F0"/>
    <w:rsid w:val="00266A60"/>
    <w:rsid w:val="002704F5"/>
    <w:rsid w:val="0027147B"/>
    <w:rsid w:val="0027238B"/>
    <w:rsid w:val="002729E0"/>
    <w:rsid w:val="00272BB9"/>
    <w:rsid w:val="0027374D"/>
    <w:rsid w:val="002743E4"/>
    <w:rsid w:val="00274D37"/>
    <w:rsid w:val="00274F5B"/>
    <w:rsid w:val="00274F9D"/>
    <w:rsid w:val="00275A6E"/>
    <w:rsid w:val="00280E61"/>
    <w:rsid w:val="0028308E"/>
    <w:rsid w:val="0028382A"/>
    <w:rsid w:val="00284965"/>
    <w:rsid w:val="00284E4B"/>
    <w:rsid w:val="00285EE7"/>
    <w:rsid w:val="00286210"/>
    <w:rsid w:val="00286A55"/>
    <w:rsid w:val="00286BCC"/>
    <w:rsid w:val="002871E2"/>
    <w:rsid w:val="00287DD9"/>
    <w:rsid w:val="00290037"/>
    <w:rsid w:val="002913CB"/>
    <w:rsid w:val="00293494"/>
    <w:rsid w:val="00293A95"/>
    <w:rsid w:val="00293E8C"/>
    <w:rsid w:val="002941D6"/>
    <w:rsid w:val="00294D12"/>
    <w:rsid w:val="002968D3"/>
    <w:rsid w:val="00296D57"/>
    <w:rsid w:val="002A08F3"/>
    <w:rsid w:val="002A2662"/>
    <w:rsid w:val="002A2748"/>
    <w:rsid w:val="002A46AB"/>
    <w:rsid w:val="002A4DF7"/>
    <w:rsid w:val="002A5AD0"/>
    <w:rsid w:val="002A6EAD"/>
    <w:rsid w:val="002A6FEE"/>
    <w:rsid w:val="002A72A3"/>
    <w:rsid w:val="002A7C32"/>
    <w:rsid w:val="002B14DE"/>
    <w:rsid w:val="002B1FDF"/>
    <w:rsid w:val="002B21FB"/>
    <w:rsid w:val="002B2D56"/>
    <w:rsid w:val="002B3B85"/>
    <w:rsid w:val="002B506A"/>
    <w:rsid w:val="002B5CEA"/>
    <w:rsid w:val="002C0386"/>
    <w:rsid w:val="002C0B08"/>
    <w:rsid w:val="002C1675"/>
    <w:rsid w:val="002C2F9F"/>
    <w:rsid w:val="002C5A6A"/>
    <w:rsid w:val="002C5BB8"/>
    <w:rsid w:val="002C723A"/>
    <w:rsid w:val="002D06D7"/>
    <w:rsid w:val="002D1929"/>
    <w:rsid w:val="002D1C31"/>
    <w:rsid w:val="002D26CE"/>
    <w:rsid w:val="002D500F"/>
    <w:rsid w:val="002D5B8F"/>
    <w:rsid w:val="002D6DC4"/>
    <w:rsid w:val="002D7106"/>
    <w:rsid w:val="002E0080"/>
    <w:rsid w:val="002E1036"/>
    <w:rsid w:val="002E1B94"/>
    <w:rsid w:val="002E203D"/>
    <w:rsid w:val="002E221C"/>
    <w:rsid w:val="002E32D3"/>
    <w:rsid w:val="002E3B44"/>
    <w:rsid w:val="002E4A66"/>
    <w:rsid w:val="002E5499"/>
    <w:rsid w:val="002E64D9"/>
    <w:rsid w:val="002E68FA"/>
    <w:rsid w:val="002E71A7"/>
    <w:rsid w:val="002F0260"/>
    <w:rsid w:val="002F06F9"/>
    <w:rsid w:val="002F16AF"/>
    <w:rsid w:val="002F18F0"/>
    <w:rsid w:val="002F1B87"/>
    <w:rsid w:val="002F491E"/>
    <w:rsid w:val="002F524C"/>
    <w:rsid w:val="002F5370"/>
    <w:rsid w:val="002F56AA"/>
    <w:rsid w:val="002F56BA"/>
    <w:rsid w:val="002F6D28"/>
    <w:rsid w:val="002F6E93"/>
    <w:rsid w:val="003007E6"/>
    <w:rsid w:val="003023E6"/>
    <w:rsid w:val="00303B7A"/>
    <w:rsid w:val="00304487"/>
    <w:rsid w:val="00304FC6"/>
    <w:rsid w:val="003058F2"/>
    <w:rsid w:val="00306359"/>
    <w:rsid w:val="003067FB"/>
    <w:rsid w:val="003106C2"/>
    <w:rsid w:val="00310E02"/>
    <w:rsid w:val="00310F20"/>
    <w:rsid w:val="00310FB2"/>
    <w:rsid w:val="00310FFF"/>
    <w:rsid w:val="003119AB"/>
    <w:rsid w:val="003119CF"/>
    <w:rsid w:val="003123EF"/>
    <w:rsid w:val="00312B13"/>
    <w:rsid w:val="00313356"/>
    <w:rsid w:val="00313A56"/>
    <w:rsid w:val="00313FCF"/>
    <w:rsid w:val="00314E20"/>
    <w:rsid w:val="00314EB2"/>
    <w:rsid w:val="00315AD9"/>
    <w:rsid w:val="003164E3"/>
    <w:rsid w:val="0031659A"/>
    <w:rsid w:val="00316788"/>
    <w:rsid w:val="00316BA1"/>
    <w:rsid w:val="0031767E"/>
    <w:rsid w:val="00317760"/>
    <w:rsid w:val="00317893"/>
    <w:rsid w:val="00320471"/>
    <w:rsid w:val="00320C03"/>
    <w:rsid w:val="00321281"/>
    <w:rsid w:val="00322682"/>
    <w:rsid w:val="00322A7F"/>
    <w:rsid w:val="00323CFF"/>
    <w:rsid w:val="00324419"/>
    <w:rsid w:val="003244DD"/>
    <w:rsid w:val="003258F2"/>
    <w:rsid w:val="00325E90"/>
    <w:rsid w:val="00325FC9"/>
    <w:rsid w:val="003262AD"/>
    <w:rsid w:val="003265DC"/>
    <w:rsid w:val="00327D4F"/>
    <w:rsid w:val="00332266"/>
    <w:rsid w:val="00332895"/>
    <w:rsid w:val="003332E0"/>
    <w:rsid w:val="0033346E"/>
    <w:rsid w:val="0033439A"/>
    <w:rsid w:val="0033475B"/>
    <w:rsid w:val="003347CB"/>
    <w:rsid w:val="0033496C"/>
    <w:rsid w:val="00334C3F"/>
    <w:rsid w:val="0033563C"/>
    <w:rsid w:val="00335B7D"/>
    <w:rsid w:val="00337AC0"/>
    <w:rsid w:val="00340293"/>
    <w:rsid w:val="00340884"/>
    <w:rsid w:val="00341CAC"/>
    <w:rsid w:val="003422DD"/>
    <w:rsid w:val="0034328E"/>
    <w:rsid w:val="00343362"/>
    <w:rsid w:val="00343A70"/>
    <w:rsid w:val="00345F64"/>
    <w:rsid w:val="003465A7"/>
    <w:rsid w:val="0034686B"/>
    <w:rsid w:val="00346F59"/>
    <w:rsid w:val="003472B2"/>
    <w:rsid w:val="003474A2"/>
    <w:rsid w:val="00350C60"/>
    <w:rsid w:val="003518C5"/>
    <w:rsid w:val="003531E5"/>
    <w:rsid w:val="00354383"/>
    <w:rsid w:val="00354A69"/>
    <w:rsid w:val="00355134"/>
    <w:rsid w:val="0035515E"/>
    <w:rsid w:val="00355327"/>
    <w:rsid w:val="00355734"/>
    <w:rsid w:val="0035657F"/>
    <w:rsid w:val="00356F0D"/>
    <w:rsid w:val="003576E7"/>
    <w:rsid w:val="00357F31"/>
    <w:rsid w:val="003600AF"/>
    <w:rsid w:val="003609EC"/>
    <w:rsid w:val="00361A26"/>
    <w:rsid w:val="00361F02"/>
    <w:rsid w:val="0036250D"/>
    <w:rsid w:val="00362870"/>
    <w:rsid w:val="00363475"/>
    <w:rsid w:val="0036408E"/>
    <w:rsid w:val="003643D9"/>
    <w:rsid w:val="003646A9"/>
    <w:rsid w:val="003646BE"/>
    <w:rsid w:val="00364F22"/>
    <w:rsid w:val="00365550"/>
    <w:rsid w:val="003657C1"/>
    <w:rsid w:val="00366171"/>
    <w:rsid w:val="003661D3"/>
    <w:rsid w:val="00366A9F"/>
    <w:rsid w:val="00367059"/>
    <w:rsid w:val="00367726"/>
    <w:rsid w:val="00367852"/>
    <w:rsid w:val="00367AB2"/>
    <w:rsid w:val="00367E60"/>
    <w:rsid w:val="00370E7D"/>
    <w:rsid w:val="00371497"/>
    <w:rsid w:val="00371DF7"/>
    <w:rsid w:val="003724DF"/>
    <w:rsid w:val="0037254B"/>
    <w:rsid w:val="00372F67"/>
    <w:rsid w:val="0037305E"/>
    <w:rsid w:val="0037442C"/>
    <w:rsid w:val="00375AE7"/>
    <w:rsid w:val="00376223"/>
    <w:rsid w:val="003769BB"/>
    <w:rsid w:val="00377695"/>
    <w:rsid w:val="0038012D"/>
    <w:rsid w:val="003822D6"/>
    <w:rsid w:val="003825F1"/>
    <w:rsid w:val="00383B98"/>
    <w:rsid w:val="00383BDA"/>
    <w:rsid w:val="0038447C"/>
    <w:rsid w:val="00384524"/>
    <w:rsid w:val="00384AF4"/>
    <w:rsid w:val="00384E05"/>
    <w:rsid w:val="003850B0"/>
    <w:rsid w:val="003855D1"/>
    <w:rsid w:val="00385A8E"/>
    <w:rsid w:val="0038631A"/>
    <w:rsid w:val="00386731"/>
    <w:rsid w:val="00390AE4"/>
    <w:rsid w:val="00391536"/>
    <w:rsid w:val="00391C75"/>
    <w:rsid w:val="00391FB9"/>
    <w:rsid w:val="00392644"/>
    <w:rsid w:val="003932F0"/>
    <w:rsid w:val="003933EB"/>
    <w:rsid w:val="00393A3B"/>
    <w:rsid w:val="00394449"/>
    <w:rsid w:val="00394620"/>
    <w:rsid w:val="00394AF0"/>
    <w:rsid w:val="003962DD"/>
    <w:rsid w:val="003966CD"/>
    <w:rsid w:val="00396FF5"/>
    <w:rsid w:val="00397188"/>
    <w:rsid w:val="00397755"/>
    <w:rsid w:val="003A1E67"/>
    <w:rsid w:val="003A41B6"/>
    <w:rsid w:val="003A4779"/>
    <w:rsid w:val="003A4C30"/>
    <w:rsid w:val="003A600E"/>
    <w:rsid w:val="003A695D"/>
    <w:rsid w:val="003A6AD6"/>
    <w:rsid w:val="003A7AD7"/>
    <w:rsid w:val="003B0392"/>
    <w:rsid w:val="003B03DA"/>
    <w:rsid w:val="003B07CD"/>
    <w:rsid w:val="003B07D6"/>
    <w:rsid w:val="003B209F"/>
    <w:rsid w:val="003B24A3"/>
    <w:rsid w:val="003B2723"/>
    <w:rsid w:val="003B3C45"/>
    <w:rsid w:val="003B44FC"/>
    <w:rsid w:val="003B4F30"/>
    <w:rsid w:val="003B5B4A"/>
    <w:rsid w:val="003B5EE9"/>
    <w:rsid w:val="003C01E3"/>
    <w:rsid w:val="003C2421"/>
    <w:rsid w:val="003C2D5A"/>
    <w:rsid w:val="003C334E"/>
    <w:rsid w:val="003C39AA"/>
    <w:rsid w:val="003C51B9"/>
    <w:rsid w:val="003C5C08"/>
    <w:rsid w:val="003C683C"/>
    <w:rsid w:val="003C7E5E"/>
    <w:rsid w:val="003C7E7C"/>
    <w:rsid w:val="003D0C33"/>
    <w:rsid w:val="003D0C75"/>
    <w:rsid w:val="003D1FA7"/>
    <w:rsid w:val="003D22DC"/>
    <w:rsid w:val="003D2654"/>
    <w:rsid w:val="003D2E27"/>
    <w:rsid w:val="003D2E39"/>
    <w:rsid w:val="003D396C"/>
    <w:rsid w:val="003D3EB2"/>
    <w:rsid w:val="003D4637"/>
    <w:rsid w:val="003D4A51"/>
    <w:rsid w:val="003D5522"/>
    <w:rsid w:val="003D5C8B"/>
    <w:rsid w:val="003D6201"/>
    <w:rsid w:val="003D6BCB"/>
    <w:rsid w:val="003D7FC3"/>
    <w:rsid w:val="003E1329"/>
    <w:rsid w:val="003E15C1"/>
    <w:rsid w:val="003E20FF"/>
    <w:rsid w:val="003E2DD0"/>
    <w:rsid w:val="003E2E34"/>
    <w:rsid w:val="003E5E72"/>
    <w:rsid w:val="003E6418"/>
    <w:rsid w:val="003E64A1"/>
    <w:rsid w:val="003E6753"/>
    <w:rsid w:val="003E6E4D"/>
    <w:rsid w:val="003E7B9F"/>
    <w:rsid w:val="003F110A"/>
    <w:rsid w:val="003F1645"/>
    <w:rsid w:val="003F18B1"/>
    <w:rsid w:val="003F28F2"/>
    <w:rsid w:val="003F30F8"/>
    <w:rsid w:val="003F3DA8"/>
    <w:rsid w:val="003F415E"/>
    <w:rsid w:val="003F456E"/>
    <w:rsid w:val="003F4D0B"/>
    <w:rsid w:val="003F4D7B"/>
    <w:rsid w:val="003F4D98"/>
    <w:rsid w:val="003F5EF8"/>
    <w:rsid w:val="003F6450"/>
    <w:rsid w:val="003F7560"/>
    <w:rsid w:val="00400561"/>
    <w:rsid w:val="0040057A"/>
    <w:rsid w:val="00401A9A"/>
    <w:rsid w:val="004036AE"/>
    <w:rsid w:val="00405A46"/>
    <w:rsid w:val="00405D0B"/>
    <w:rsid w:val="00406532"/>
    <w:rsid w:val="0040728A"/>
    <w:rsid w:val="004075A4"/>
    <w:rsid w:val="004103DF"/>
    <w:rsid w:val="00410A36"/>
    <w:rsid w:val="004115D8"/>
    <w:rsid w:val="004119D9"/>
    <w:rsid w:val="00411C23"/>
    <w:rsid w:val="00412520"/>
    <w:rsid w:val="0041384D"/>
    <w:rsid w:val="004143F2"/>
    <w:rsid w:val="0041449E"/>
    <w:rsid w:val="0041461D"/>
    <w:rsid w:val="00415D33"/>
    <w:rsid w:val="0042060D"/>
    <w:rsid w:val="00420CD6"/>
    <w:rsid w:val="004211BC"/>
    <w:rsid w:val="004220D8"/>
    <w:rsid w:val="0042543B"/>
    <w:rsid w:val="0042593E"/>
    <w:rsid w:val="00425962"/>
    <w:rsid w:val="00425EEC"/>
    <w:rsid w:val="004273C7"/>
    <w:rsid w:val="0043036A"/>
    <w:rsid w:val="00432316"/>
    <w:rsid w:val="00433489"/>
    <w:rsid w:val="0043441A"/>
    <w:rsid w:val="0043499B"/>
    <w:rsid w:val="00435197"/>
    <w:rsid w:val="00435220"/>
    <w:rsid w:val="00435A25"/>
    <w:rsid w:val="00435A52"/>
    <w:rsid w:val="00436697"/>
    <w:rsid w:val="00436A8F"/>
    <w:rsid w:val="004377A5"/>
    <w:rsid w:val="004378B1"/>
    <w:rsid w:val="00437C4E"/>
    <w:rsid w:val="00440A17"/>
    <w:rsid w:val="00441339"/>
    <w:rsid w:val="00441DBE"/>
    <w:rsid w:val="004426AC"/>
    <w:rsid w:val="004433E1"/>
    <w:rsid w:val="00443ACD"/>
    <w:rsid w:val="004446D0"/>
    <w:rsid w:val="00445108"/>
    <w:rsid w:val="0044513A"/>
    <w:rsid w:val="004452B4"/>
    <w:rsid w:val="00446018"/>
    <w:rsid w:val="00446835"/>
    <w:rsid w:val="00446E60"/>
    <w:rsid w:val="00447B19"/>
    <w:rsid w:val="00451EE4"/>
    <w:rsid w:val="00453229"/>
    <w:rsid w:val="00453A3D"/>
    <w:rsid w:val="0045509A"/>
    <w:rsid w:val="004555A6"/>
    <w:rsid w:val="00456C9D"/>
    <w:rsid w:val="00456E2A"/>
    <w:rsid w:val="00461C03"/>
    <w:rsid w:val="00462822"/>
    <w:rsid w:val="00462CFF"/>
    <w:rsid w:val="004638C6"/>
    <w:rsid w:val="00464549"/>
    <w:rsid w:val="004650DA"/>
    <w:rsid w:val="00465778"/>
    <w:rsid w:val="0046754C"/>
    <w:rsid w:val="0046759D"/>
    <w:rsid w:val="004675B3"/>
    <w:rsid w:val="00467FFC"/>
    <w:rsid w:val="00471849"/>
    <w:rsid w:val="00471CE7"/>
    <w:rsid w:val="00472E08"/>
    <w:rsid w:val="00472ECE"/>
    <w:rsid w:val="00473C0B"/>
    <w:rsid w:val="004743C6"/>
    <w:rsid w:val="00475AC5"/>
    <w:rsid w:val="00475C4C"/>
    <w:rsid w:val="00475F99"/>
    <w:rsid w:val="00476380"/>
    <w:rsid w:val="00477406"/>
    <w:rsid w:val="00477491"/>
    <w:rsid w:val="00477AC9"/>
    <w:rsid w:val="00480200"/>
    <w:rsid w:val="004853A6"/>
    <w:rsid w:val="0048551B"/>
    <w:rsid w:val="00486B32"/>
    <w:rsid w:val="00487850"/>
    <w:rsid w:val="00487D9A"/>
    <w:rsid w:val="00487FE6"/>
    <w:rsid w:val="00490A37"/>
    <w:rsid w:val="00491990"/>
    <w:rsid w:val="00492204"/>
    <w:rsid w:val="00492AC0"/>
    <w:rsid w:val="00493A9C"/>
    <w:rsid w:val="00493C3E"/>
    <w:rsid w:val="00493C60"/>
    <w:rsid w:val="00496761"/>
    <w:rsid w:val="004A0A8E"/>
    <w:rsid w:val="004A111D"/>
    <w:rsid w:val="004A1E80"/>
    <w:rsid w:val="004A2800"/>
    <w:rsid w:val="004A286A"/>
    <w:rsid w:val="004A3004"/>
    <w:rsid w:val="004A4F0E"/>
    <w:rsid w:val="004A56A8"/>
    <w:rsid w:val="004A75BE"/>
    <w:rsid w:val="004A77D0"/>
    <w:rsid w:val="004B08D0"/>
    <w:rsid w:val="004B0B52"/>
    <w:rsid w:val="004B0E12"/>
    <w:rsid w:val="004B27BD"/>
    <w:rsid w:val="004B284B"/>
    <w:rsid w:val="004B2E5A"/>
    <w:rsid w:val="004B42D5"/>
    <w:rsid w:val="004B4825"/>
    <w:rsid w:val="004B490F"/>
    <w:rsid w:val="004B6794"/>
    <w:rsid w:val="004B6B23"/>
    <w:rsid w:val="004B6BBE"/>
    <w:rsid w:val="004C0F45"/>
    <w:rsid w:val="004C121F"/>
    <w:rsid w:val="004C1BEC"/>
    <w:rsid w:val="004C1FB0"/>
    <w:rsid w:val="004C2151"/>
    <w:rsid w:val="004C32B6"/>
    <w:rsid w:val="004C46E7"/>
    <w:rsid w:val="004C4A8C"/>
    <w:rsid w:val="004C572A"/>
    <w:rsid w:val="004C6FEA"/>
    <w:rsid w:val="004C70A6"/>
    <w:rsid w:val="004C790E"/>
    <w:rsid w:val="004C7D60"/>
    <w:rsid w:val="004D000C"/>
    <w:rsid w:val="004D0496"/>
    <w:rsid w:val="004D1583"/>
    <w:rsid w:val="004D2185"/>
    <w:rsid w:val="004D23CE"/>
    <w:rsid w:val="004D30B2"/>
    <w:rsid w:val="004D3531"/>
    <w:rsid w:val="004D4925"/>
    <w:rsid w:val="004D61C4"/>
    <w:rsid w:val="004D6689"/>
    <w:rsid w:val="004D6CD8"/>
    <w:rsid w:val="004D6D01"/>
    <w:rsid w:val="004E05EF"/>
    <w:rsid w:val="004E07D5"/>
    <w:rsid w:val="004E125B"/>
    <w:rsid w:val="004E1996"/>
    <w:rsid w:val="004E229A"/>
    <w:rsid w:val="004E2379"/>
    <w:rsid w:val="004E23AA"/>
    <w:rsid w:val="004E3563"/>
    <w:rsid w:val="004E38D2"/>
    <w:rsid w:val="004E3CD6"/>
    <w:rsid w:val="004E5897"/>
    <w:rsid w:val="004E65F9"/>
    <w:rsid w:val="004E6733"/>
    <w:rsid w:val="004E731B"/>
    <w:rsid w:val="004E7AA4"/>
    <w:rsid w:val="004F1912"/>
    <w:rsid w:val="004F1F1F"/>
    <w:rsid w:val="004F20F7"/>
    <w:rsid w:val="004F2399"/>
    <w:rsid w:val="004F3508"/>
    <w:rsid w:val="004F362B"/>
    <w:rsid w:val="004F380A"/>
    <w:rsid w:val="004F4611"/>
    <w:rsid w:val="004F52DA"/>
    <w:rsid w:val="004F566C"/>
    <w:rsid w:val="004F57BE"/>
    <w:rsid w:val="004F5E4B"/>
    <w:rsid w:val="004F672A"/>
    <w:rsid w:val="005000CF"/>
    <w:rsid w:val="00500484"/>
    <w:rsid w:val="00500D40"/>
    <w:rsid w:val="00501253"/>
    <w:rsid w:val="005014EE"/>
    <w:rsid w:val="005026F7"/>
    <w:rsid w:val="00502A49"/>
    <w:rsid w:val="00502C9E"/>
    <w:rsid w:val="00503D75"/>
    <w:rsid w:val="00504BD0"/>
    <w:rsid w:val="005053ED"/>
    <w:rsid w:val="00505C38"/>
    <w:rsid w:val="00506086"/>
    <w:rsid w:val="005101A6"/>
    <w:rsid w:val="00510320"/>
    <w:rsid w:val="005110FC"/>
    <w:rsid w:val="005116ED"/>
    <w:rsid w:val="0051270A"/>
    <w:rsid w:val="00513135"/>
    <w:rsid w:val="00513779"/>
    <w:rsid w:val="00513EF4"/>
    <w:rsid w:val="00513FF2"/>
    <w:rsid w:val="00514AD0"/>
    <w:rsid w:val="00516B24"/>
    <w:rsid w:val="00516CAA"/>
    <w:rsid w:val="00517CA2"/>
    <w:rsid w:val="00520D77"/>
    <w:rsid w:val="00520F2E"/>
    <w:rsid w:val="00520F91"/>
    <w:rsid w:val="0052107D"/>
    <w:rsid w:val="00521DDA"/>
    <w:rsid w:val="00522F4E"/>
    <w:rsid w:val="00523BF6"/>
    <w:rsid w:val="00524641"/>
    <w:rsid w:val="00525C1F"/>
    <w:rsid w:val="00526BCF"/>
    <w:rsid w:val="00526FFE"/>
    <w:rsid w:val="00527A7F"/>
    <w:rsid w:val="005301C9"/>
    <w:rsid w:val="0053065C"/>
    <w:rsid w:val="0053067E"/>
    <w:rsid w:val="00530C29"/>
    <w:rsid w:val="00531196"/>
    <w:rsid w:val="005324E2"/>
    <w:rsid w:val="005329AE"/>
    <w:rsid w:val="00533862"/>
    <w:rsid w:val="00534434"/>
    <w:rsid w:val="00536809"/>
    <w:rsid w:val="005369E5"/>
    <w:rsid w:val="005369FD"/>
    <w:rsid w:val="00536D3D"/>
    <w:rsid w:val="0053792C"/>
    <w:rsid w:val="00542661"/>
    <w:rsid w:val="005445C5"/>
    <w:rsid w:val="005449E8"/>
    <w:rsid w:val="005466DC"/>
    <w:rsid w:val="00546B47"/>
    <w:rsid w:val="0054743C"/>
    <w:rsid w:val="00550A56"/>
    <w:rsid w:val="00551868"/>
    <w:rsid w:val="00551AE7"/>
    <w:rsid w:val="0055494E"/>
    <w:rsid w:val="00554ADF"/>
    <w:rsid w:val="0055506C"/>
    <w:rsid w:val="0055548F"/>
    <w:rsid w:val="00556212"/>
    <w:rsid w:val="005562D9"/>
    <w:rsid w:val="005607B9"/>
    <w:rsid w:val="005608D7"/>
    <w:rsid w:val="00561325"/>
    <w:rsid w:val="005621C1"/>
    <w:rsid w:val="0056327F"/>
    <w:rsid w:val="005637AA"/>
    <w:rsid w:val="0056447F"/>
    <w:rsid w:val="00564C6E"/>
    <w:rsid w:val="00565C3D"/>
    <w:rsid w:val="005670C5"/>
    <w:rsid w:val="00567304"/>
    <w:rsid w:val="0057050F"/>
    <w:rsid w:val="005708C0"/>
    <w:rsid w:val="00570C76"/>
    <w:rsid w:val="00571236"/>
    <w:rsid w:val="0057125B"/>
    <w:rsid w:val="00572AF5"/>
    <w:rsid w:val="00573414"/>
    <w:rsid w:val="00573B73"/>
    <w:rsid w:val="00573F1A"/>
    <w:rsid w:val="0057573B"/>
    <w:rsid w:val="005757A7"/>
    <w:rsid w:val="00575A58"/>
    <w:rsid w:val="00575C1D"/>
    <w:rsid w:val="00576618"/>
    <w:rsid w:val="00576724"/>
    <w:rsid w:val="0057752A"/>
    <w:rsid w:val="00577A81"/>
    <w:rsid w:val="00577AFD"/>
    <w:rsid w:val="00577E02"/>
    <w:rsid w:val="00577EE4"/>
    <w:rsid w:val="00577F7B"/>
    <w:rsid w:val="005803E1"/>
    <w:rsid w:val="00582192"/>
    <w:rsid w:val="00582387"/>
    <w:rsid w:val="0058273D"/>
    <w:rsid w:val="005828F6"/>
    <w:rsid w:val="00583153"/>
    <w:rsid w:val="00583559"/>
    <w:rsid w:val="00583A85"/>
    <w:rsid w:val="00584E3E"/>
    <w:rsid w:val="005850E7"/>
    <w:rsid w:val="005852D2"/>
    <w:rsid w:val="00586357"/>
    <w:rsid w:val="0058658C"/>
    <w:rsid w:val="00587137"/>
    <w:rsid w:val="00587286"/>
    <w:rsid w:val="005874E0"/>
    <w:rsid w:val="005877A9"/>
    <w:rsid w:val="00587A2E"/>
    <w:rsid w:val="005914D8"/>
    <w:rsid w:val="00591CC3"/>
    <w:rsid w:val="00591CE6"/>
    <w:rsid w:val="005924DE"/>
    <w:rsid w:val="0059494E"/>
    <w:rsid w:val="005953C2"/>
    <w:rsid w:val="005953F2"/>
    <w:rsid w:val="00595A64"/>
    <w:rsid w:val="00595FBB"/>
    <w:rsid w:val="0059642F"/>
    <w:rsid w:val="005967FC"/>
    <w:rsid w:val="005977A9"/>
    <w:rsid w:val="005A01D7"/>
    <w:rsid w:val="005A0305"/>
    <w:rsid w:val="005A0506"/>
    <w:rsid w:val="005A08DF"/>
    <w:rsid w:val="005A1BC7"/>
    <w:rsid w:val="005A26D2"/>
    <w:rsid w:val="005A399D"/>
    <w:rsid w:val="005A51FB"/>
    <w:rsid w:val="005A5821"/>
    <w:rsid w:val="005A5D72"/>
    <w:rsid w:val="005A6243"/>
    <w:rsid w:val="005A637E"/>
    <w:rsid w:val="005A6C00"/>
    <w:rsid w:val="005A6E7D"/>
    <w:rsid w:val="005A7D21"/>
    <w:rsid w:val="005A7DC0"/>
    <w:rsid w:val="005B0BB1"/>
    <w:rsid w:val="005B1345"/>
    <w:rsid w:val="005B1A69"/>
    <w:rsid w:val="005B309E"/>
    <w:rsid w:val="005B429E"/>
    <w:rsid w:val="005B4CB2"/>
    <w:rsid w:val="005B56EC"/>
    <w:rsid w:val="005B58AE"/>
    <w:rsid w:val="005B5953"/>
    <w:rsid w:val="005B59E4"/>
    <w:rsid w:val="005B688F"/>
    <w:rsid w:val="005B718D"/>
    <w:rsid w:val="005C0859"/>
    <w:rsid w:val="005C1DD9"/>
    <w:rsid w:val="005C1EBC"/>
    <w:rsid w:val="005C2A50"/>
    <w:rsid w:val="005C2EF5"/>
    <w:rsid w:val="005C3D99"/>
    <w:rsid w:val="005C458C"/>
    <w:rsid w:val="005C48A0"/>
    <w:rsid w:val="005C4CD9"/>
    <w:rsid w:val="005C4EBD"/>
    <w:rsid w:val="005C511E"/>
    <w:rsid w:val="005C575E"/>
    <w:rsid w:val="005C596D"/>
    <w:rsid w:val="005C5AE1"/>
    <w:rsid w:val="005C5D71"/>
    <w:rsid w:val="005C615A"/>
    <w:rsid w:val="005C7402"/>
    <w:rsid w:val="005D1063"/>
    <w:rsid w:val="005D221E"/>
    <w:rsid w:val="005D2252"/>
    <w:rsid w:val="005D2A65"/>
    <w:rsid w:val="005D30D0"/>
    <w:rsid w:val="005D323C"/>
    <w:rsid w:val="005D3D16"/>
    <w:rsid w:val="005D3ED7"/>
    <w:rsid w:val="005D5680"/>
    <w:rsid w:val="005D5ABF"/>
    <w:rsid w:val="005D61A9"/>
    <w:rsid w:val="005D6930"/>
    <w:rsid w:val="005D6F69"/>
    <w:rsid w:val="005D7244"/>
    <w:rsid w:val="005E06A4"/>
    <w:rsid w:val="005E142D"/>
    <w:rsid w:val="005E22E0"/>
    <w:rsid w:val="005E2752"/>
    <w:rsid w:val="005E2BF8"/>
    <w:rsid w:val="005E4C0E"/>
    <w:rsid w:val="005E6B4F"/>
    <w:rsid w:val="005E7000"/>
    <w:rsid w:val="005E7E9B"/>
    <w:rsid w:val="005E7F01"/>
    <w:rsid w:val="005F0007"/>
    <w:rsid w:val="005F01BC"/>
    <w:rsid w:val="005F02A1"/>
    <w:rsid w:val="005F06AA"/>
    <w:rsid w:val="005F146A"/>
    <w:rsid w:val="005F1607"/>
    <w:rsid w:val="005F1664"/>
    <w:rsid w:val="005F2C6E"/>
    <w:rsid w:val="005F426E"/>
    <w:rsid w:val="005F5183"/>
    <w:rsid w:val="005F53F8"/>
    <w:rsid w:val="005F6F75"/>
    <w:rsid w:val="005F7EC5"/>
    <w:rsid w:val="0060046C"/>
    <w:rsid w:val="00600DB6"/>
    <w:rsid w:val="00601648"/>
    <w:rsid w:val="00602F81"/>
    <w:rsid w:val="00603059"/>
    <w:rsid w:val="00603B1E"/>
    <w:rsid w:val="00607D19"/>
    <w:rsid w:val="006105F5"/>
    <w:rsid w:val="00610774"/>
    <w:rsid w:val="00610D39"/>
    <w:rsid w:val="00612D63"/>
    <w:rsid w:val="00613E46"/>
    <w:rsid w:val="00615117"/>
    <w:rsid w:val="006162F7"/>
    <w:rsid w:val="006168C7"/>
    <w:rsid w:val="00617B2A"/>
    <w:rsid w:val="00617E50"/>
    <w:rsid w:val="00620E4B"/>
    <w:rsid w:val="00621727"/>
    <w:rsid w:val="00621B9B"/>
    <w:rsid w:val="00621EB8"/>
    <w:rsid w:val="00621FC6"/>
    <w:rsid w:val="00622379"/>
    <w:rsid w:val="00622C03"/>
    <w:rsid w:val="00623A96"/>
    <w:rsid w:val="00623B7D"/>
    <w:rsid w:val="00624328"/>
    <w:rsid w:val="00624FAA"/>
    <w:rsid w:val="00626BB8"/>
    <w:rsid w:val="00626BDC"/>
    <w:rsid w:val="00627061"/>
    <w:rsid w:val="00627DA9"/>
    <w:rsid w:val="00631388"/>
    <w:rsid w:val="00632492"/>
    <w:rsid w:val="006325B0"/>
    <w:rsid w:val="006326F7"/>
    <w:rsid w:val="006327E1"/>
    <w:rsid w:val="00632D96"/>
    <w:rsid w:val="00632FB0"/>
    <w:rsid w:val="006330AD"/>
    <w:rsid w:val="00633668"/>
    <w:rsid w:val="00633DDF"/>
    <w:rsid w:val="00636693"/>
    <w:rsid w:val="006376F7"/>
    <w:rsid w:val="00640B7D"/>
    <w:rsid w:val="00640EE8"/>
    <w:rsid w:val="00641D7F"/>
    <w:rsid w:val="006423DC"/>
    <w:rsid w:val="006428C9"/>
    <w:rsid w:val="00642C6A"/>
    <w:rsid w:val="006439D5"/>
    <w:rsid w:val="00644053"/>
    <w:rsid w:val="0064530A"/>
    <w:rsid w:val="0064619E"/>
    <w:rsid w:val="0064739F"/>
    <w:rsid w:val="00650311"/>
    <w:rsid w:val="006503FC"/>
    <w:rsid w:val="00651642"/>
    <w:rsid w:val="00651953"/>
    <w:rsid w:val="00653430"/>
    <w:rsid w:val="00653AD1"/>
    <w:rsid w:val="00653AF4"/>
    <w:rsid w:val="0065424A"/>
    <w:rsid w:val="006552A8"/>
    <w:rsid w:val="00655C8B"/>
    <w:rsid w:val="00655D6A"/>
    <w:rsid w:val="0065603B"/>
    <w:rsid w:val="006577F5"/>
    <w:rsid w:val="00660900"/>
    <w:rsid w:val="00660F5C"/>
    <w:rsid w:val="006611EE"/>
    <w:rsid w:val="00661229"/>
    <w:rsid w:val="006615D6"/>
    <w:rsid w:val="00663ECD"/>
    <w:rsid w:val="00664372"/>
    <w:rsid w:val="00665072"/>
    <w:rsid w:val="0066674B"/>
    <w:rsid w:val="00666F02"/>
    <w:rsid w:val="00670603"/>
    <w:rsid w:val="00671A4E"/>
    <w:rsid w:val="00671C84"/>
    <w:rsid w:val="00671D03"/>
    <w:rsid w:val="006721BF"/>
    <w:rsid w:val="006734BE"/>
    <w:rsid w:val="00673A91"/>
    <w:rsid w:val="00674040"/>
    <w:rsid w:val="00674096"/>
    <w:rsid w:val="00674E91"/>
    <w:rsid w:val="00675849"/>
    <w:rsid w:val="006761E4"/>
    <w:rsid w:val="0067751C"/>
    <w:rsid w:val="00677AC7"/>
    <w:rsid w:val="00680526"/>
    <w:rsid w:val="006805E7"/>
    <w:rsid w:val="00680744"/>
    <w:rsid w:val="0068190A"/>
    <w:rsid w:val="00681C27"/>
    <w:rsid w:val="00681C39"/>
    <w:rsid w:val="00682BF8"/>
    <w:rsid w:val="00683BC2"/>
    <w:rsid w:val="00684246"/>
    <w:rsid w:val="00684AF0"/>
    <w:rsid w:val="00684B02"/>
    <w:rsid w:val="00685599"/>
    <w:rsid w:val="00685C7B"/>
    <w:rsid w:val="00687BE7"/>
    <w:rsid w:val="0069001A"/>
    <w:rsid w:val="00692263"/>
    <w:rsid w:val="00692C35"/>
    <w:rsid w:val="00692FF9"/>
    <w:rsid w:val="00693153"/>
    <w:rsid w:val="00693B03"/>
    <w:rsid w:val="00694259"/>
    <w:rsid w:val="00695011"/>
    <w:rsid w:val="00695780"/>
    <w:rsid w:val="0069658B"/>
    <w:rsid w:val="00696609"/>
    <w:rsid w:val="006973C2"/>
    <w:rsid w:val="00697750"/>
    <w:rsid w:val="006A010B"/>
    <w:rsid w:val="006A0475"/>
    <w:rsid w:val="006A08D9"/>
    <w:rsid w:val="006A1069"/>
    <w:rsid w:val="006A30B6"/>
    <w:rsid w:val="006A33EB"/>
    <w:rsid w:val="006A34C0"/>
    <w:rsid w:val="006A3CBB"/>
    <w:rsid w:val="006A4180"/>
    <w:rsid w:val="006A4B93"/>
    <w:rsid w:val="006A56F1"/>
    <w:rsid w:val="006A58D4"/>
    <w:rsid w:val="006A6094"/>
    <w:rsid w:val="006A7AD2"/>
    <w:rsid w:val="006B314E"/>
    <w:rsid w:val="006B39E0"/>
    <w:rsid w:val="006B4438"/>
    <w:rsid w:val="006B4A45"/>
    <w:rsid w:val="006B4B89"/>
    <w:rsid w:val="006B4FBE"/>
    <w:rsid w:val="006B5994"/>
    <w:rsid w:val="006B6EA9"/>
    <w:rsid w:val="006B7833"/>
    <w:rsid w:val="006C0079"/>
    <w:rsid w:val="006C029B"/>
    <w:rsid w:val="006C05ED"/>
    <w:rsid w:val="006C0774"/>
    <w:rsid w:val="006C0ABB"/>
    <w:rsid w:val="006C0E1D"/>
    <w:rsid w:val="006C1085"/>
    <w:rsid w:val="006C271F"/>
    <w:rsid w:val="006C4488"/>
    <w:rsid w:val="006C4D64"/>
    <w:rsid w:val="006C67D1"/>
    <w:rsid w:val="006D0B85"/>
    <w:rsid w:val="006D10B7"/>
    <w:rsid w:val="006D1201"/>
    <w:rsid w:val="006D17D3"/>
    <w:rsid w:val="006D29AA"/>
    <w:rsid w:val="006D2C98"/>
    <w:rsid w:val="006D4477"/>
    <w:rsid w:val="006D476D"/>
    <w:rsid w:val="006D56D0"/>
    <w:rsid w:val="006D583D"/>
    <w:rsid w:val="006D598A"/>
    <w:rsid w:val="006D5B58"/>
    <w:rsid w:val="006D5BAC"/>
    <w:rsid w:val="006D6644"/>
    <w:rsid w:val="006D7BF9"/>
    <w:rsid w:val="006E09FA"/>
    <w:rsid w:val="006E1644"/>
    <w:rsid w:val="006E1A31"/>
    <w:rsid w:val="006E29EA"/>
    <w:rsid w:val="006E2BD7"/>
    <w:rsid w:val="006E4F6A"/>
    <w:rsid w:val="006E509C"/>
    <w:rsid w:val="006E52A8"/>
    <w:rsid w:val="006E5719"/>
    <w:rsid w:val="006E5D3F"/>
    <w:rsid w:val="006E6C23"/>
    <w:rsid w:val="006E6C65"/>
    <w:rsid w:val="006F0026"/>
    <w:rsid w:val="006F051B"/>
    <w:rsid w:val="006F0BC8"/>
    <w:rsid w:val="006F0C28"/>
    <w:rsid w:val="006F1837"/>
    <w:rsid w:val="006F20E7"/>
    <w:rsid w:val="006F2155"/>
    <w:rsid w:val="006F2372"/>
    <w:rsid w:val="006F24A2"/>
    <w:rsid w:val="006F35ED"/>
    <w:rsid w:val="006F4CB6"/>
    <w:rsid w:val="006F4DA0"/>
    <w:rsid w:val="006F55C4"/>
    <w:rsid w:val="006F60B5"/>
    <w:rsid w:val="006F6571"/>
    <w:rsid w:val="006F6A58"/>
    <w:rsid w:val="006F72A5"/>
    <w:rsid w:val="00700653"/>
    <w:rsid w:val="0070108B"/>
    <w:rsid w:val="00702810"/>
    <w:rsid w:val="00702AA1"/>
    <w:rsid w:val="00702CE2"/>
    <w:rsid w:val="00703738"/>
    <w:rsid w:val="00703AB3"/>
    <w:rsid w:val="00703EE5"/>
    <w:rsid w:val="00703F5C"/>
    <w:rsid w:val="00705013"/>
    <w:rsid w:val="00705164"/>
    <w:rsid w:val="0070581C"/>
    <w:rsid w:val="00705CEA"/>
    <w:rsid w:val="00707849"/>
    <w:rsid w:val="0070793B"/>
    <w:rsid w:val="007102F9"/>
    <w:rsid w:val="007120AB"/>
    <w:rsid w:val="00713F1E"/>
    <w:rsid w:val="0071445E"/>
    <w:rsid w:val="007148CC"/>
    <w:rsid w:val="00714A56"/>
    <w:rsid w:val="00715C9F"/>
    <w:rsid w:val="007163B2"/>
    <w:rsid w:val="00716A60"/>
    <w:rsid w:val="00716CE5"/>
    <w:rsid w:val="00716FB7"/>
    <w:rsid w:val="00716FD7"/>
    <w:rsid w:val="00717503"/>
    <w:rsid w:val="00720498"/>
    <w:rsid w:val="00720B33"/>
    <w:rsid w:val="007216EC"/>
    <w:rsid w:val="00721BED"/>
    <w:rsid w:val="00721E93"/>
    <w:rsid w:val="00722E4B"/>
    <w:rsid w:val="00723A63"/>
    <w:rsid w:val="00723C6C"/>
    <w:rsid w:val="0072463D"/>
    <w:rsid w:val="007246B5"/>
    <w:rsid w:val="00726A31"/>
    <w:rsid w:val="007270C6"/>
    <w:rsid w:val="00727C8F"/>
    <w:rsid w:val="0073024C"/>
    <w:rsid w:val="00730B97"/>
    <w:rsid w:val="007320AC"/>
    <w:rsid w:val="0073268A"/>
    <w:rsid w:val="00732F9A"/>
    <w:rsid w:val="00733E43"/>
    <w:rsid w:val="007379A5"/>
    <w:rsid w:val="00741F26"/>
    <w:rsid w:val="00742040"/>
    <w:rsid w:val="007431BF"/>
    <w:rsid w:val="00743C3D"/>
    <w:rsid w:val="0074404C"/>
    <w:rsid w:val="00745D6D"/>
    <w:rsid w:val="00746965"/>
    <w:rsid w:val="00747299"/>
    <w:rsid w:val="00750CE6"/>
    <w:rsid w:val="00752E8A"/>
    <w:rsid w:val="00752F2D"/>
    <w:rsid w:val="00753406"/>
    <w:rsid w:val="00753C96"/>
    <w:rsid w:val="00754AA0"/>
    <w:rsid w:val="00754CA8"/>
    <w:rsid w:val="00756647"/>
    <w:rsid w:val="00757BB8"/>
    <w:rsid w:val="00757F31"/>
    <w:rsid w:val="0076020F"/>
    <w:rsid w:val="00760FC5"/>
    <w:rsid w:val="007611F7"/>
    <w:rsid w:val="0076128C"/>
    <w:rsid w:val="007617ED"/>
    <w:rsid w:val="007624CF"/>
    <w:rsid w:val="007638CB"/>
    <w:rsid w:val="0076463C"/>
    <w:rsid w:val="00764BDD"/>
    <w:rsid w:val="00764CA6"/>
    <w:rsid w:val="007654A1"/>
    <w:rsid w:val="0076629F"/>
    <w:rsid w:val="00766B0B"/>
    <w:rsid w:val="0076758A"/>
    <w:rsid w:val="00767D40"/>
    <w:rsid w:val="00770FF8"/>
    <w:rsid w:val="00771667"/>
    <w:rsid w:val="00771981"/>
    <w:rsid w:val="00771BFE"/>
    <w:rsid w:val="00771E83"/>
    <w:rsid w:val="007720F6"/>
    <w:rsid w:val="00772495"/>
    <w:rsid w:val="007767DB"/>
    <w:rsid w:val="00777568"/>
    <w:rsid w:val="00777712"/>
    <w:rsid w:val="00780D25"/>
    <w:rsid w:val="00780E5E"/>
    <w:rsid w:val="00781151"/>
    <w:rsid w:val="007811A7"/>
    <w:rsid w:val="00781546"/>
    <w:rsid w:val="007819E7"/>
    <w:rsid w:val="00781CA1"/>
    <w:rsid w:val="007834A0"/>
    <w:rsid w:val="0078480D"/>
    <w:rsid w:val="00785D25"/>
    <w:rsid w:val="00785E71"/>
    <w:rsid w:val="00786853"/>
    <w:rsid w:val="007878BE"/>
    <w:rsid w:val="00790A1F"/>
    <w:rsid w:val="00791B44"/>
    <w:rsid w:val="0079248D"/>
    <w:rsid w:val="00792A83"/>
    <w:rsid w:val="007933A0"/>
    <w:rsid w:val="0079406C"/>
    <w:rsid w:val="0079410D"/>
    <w:rsid w:val="0079453C"/>
    <w:rsid w:val="007945A7"/>
    <w:rsid w:val="0079538A"/>
    <w:rsid w:val="00795C8A"/>
    <w:rsid w:val="00797989"/>
    <w:rsid w:val="007A059E"/>
    <w:rsid w:val="007A0B25"/>
    <w:rsid w:val="007A0EA3"/>
    <w:rsid w:val="007A12E7"/>
    <w:rsid w:val="007A1756"/>
    <w:rsid w:val="007A1D3C"/>
    <w:rsid w:val="007A2352"/>
    <w:rsid w:val="007A2757"/>
    <w:rsid w:val="007A2EC2"/>
    <w:rsid w:val="007A37FC"/>
    <w:rsid w:val="007A3911"/>
    <w:rsid w:val="007A3D53"/>
    <w:rsid w:val="007A4969"/>
    <w:rsid w:val="007A4D34"/>
    <w:rsid w:val="007A531B"/>
    <w:rsid w:val="007A5332"/>
    <w:rsid w:val="007A5F17"/>
    <w:rsid w:val="007A62AD"/>
    <w:rsid w:val="007A63A5"/>
    <w:rsid w:val="007A667D"/>
    <w:rsid w:val="007A6DF3"/>
    <w:rsid w:val="007A6F39"/>
    <w:rsid w:val="007A705B"/>
    <w:rsid w:val="007B0102"/>
    <w:rsid w:val="007B0411"/>
    <w:rsid w:val="007B0490"/>
    <w:rsid w:val="007B0A83"/>
    <w:rsid w:val="007B0EC4"/>
    <w:rsid w:val="007B19A3"/>
    <w:rsid w:val="007B1E35"/>
    <w:rsid w:val="007B22A0"/>
    <w:rsid w:val="007B2DAC"/>
    <w:rsid w:val="007B3A6D"/>
    <w:rsid w:val="007B4676"/>
    <w:rsid w:val="007B46B7"/>
    <w:rsid w:val="007B4A3B"/>
    <w:rsid w:val="007B4A8F"/>
    <w:rsid w:val="007B4BF1"/>
    <w:rsid w:val="007B5295"/>
    <w:rsid w:val="007B6166"/>
    <w:rsid w:val="007B6811"/>
    <w:rsid w:val="007C0E1D"/>
    <w:rsid w:val="007C1A9D"/>
    <w:rsid w:val="007C28F2"/>
    <w:rsid w:val="007C316D"/>
    <w:rsid w:val="007C368E"/>
    <w:rsid w:val="007C3816"/>
    <w:rsid w:val="007C61F6"/>
    <w:rsid w:val="007C62ED"/>
    <w:rsid w:val="007C6429"/>
    <w:rsid w:val="007C6AAA"/>
    <w:rsid w:val="007C6C94"/>
    <w:rsid w:val="007C7DEE"/>
    <w:rsid w:val="007C7F04"/>
    <w:rsid w:val="007D0563"/>
    <w:rsid w:val="007D0A26"/>
    <w:rsid w:val="007D1145"/>
    <w:rsid w:val="007D216B"/>
    <w:rsid w:val="007D2B18"/>
    <w:rsid w:val="007D3DAD"/>
    <w:rsid w:val="007D450F"/>
    <w:rsid w:val="007D4AC5"/>
    <w:rsid w:val="007D55D8"/>
    <w:rsid w:val="007D5DAB"/>
    <w:rsid w:val="007D5EDB"/>
    <w:rsid w:val="007D605A"/>
    <w:rsid w:val="007E0C61"/>
    <w:rsid w:val="007E0E0C"/>
    <w:rsid w:val="007E1CEE"/>
    <w:rsid w:val="007E1DA2"/>
    <w:rsid w:val="007E1F6F"/>
    <w:rsid w:val="007E2264"/>
    <w:rsid w:val="007E2274"/>
    <w:rsid w:val="007E23B8"/>
    <w:rsid w:val="007E2C00"/>
    <w:rsid w:val="007E3C7C"/>
    <w:rsid w:val="007E4DDD"/>
    <w:rsid w:val="007E4DE3"/>
    <w:rsid w:val="007E6906"/>
    <w:rsid w:val="007E6D76"/>
    <w:rsid w:val="007E6F94"/>
    <w:rsid w:val="007E7142"/>
    <w:rsid w:val="007E736D"/>
    <w:rsid w:val="007F1782"/>
    <w:rsid w:val="007F26F6"/>
    <w:rsid w:val="007F2FC1"/>
    <w:rsid w:val="007F3F4E"/>
    <w:rsid w:val="007F410A"/>
    <w:rsid w:val="007F4335"/>
    <w:rsid w:val="007F477B"/>
    <w:rsid w:val="007F4C33"/>
    <w:rsid w:val="007F4ED0"/>
    <w:rsid w:val="007F509C"/>
    <w:rsid w:val="007F7828"/>
    <w:rsid w:val="008002DE"/>
    <w:rsid w:val="00801867"/>
    <w:rsid w:val="00801DC9"/>
    <w:rsid w:val="00803AB9"/>
    <w:rsid w:val="00803BBD"/>
    <w:rsid w:val="0080480F"/>
    <w:rsid w:val="00804DAA"/>
    <w:rsid w:val="00804EFA"/>
    <w:rsid w:val="0080575F"/>
    <w:rsid w:val="00806797"/>
    <w:rsid w:val="00807552"/>
    <w:rsid w:val="008100D1"/>
    <w:rsid w:val="00810AB9"/>
    <w:rsid w:val="00810FAE"/>
    <w:rsid w:val="008143C8"/>
    <w:rsid w:val="008143E2"/>
    <w:rsid w:val="00814710"/>
    <w:rsid w:val="00816840"/>
    <w:rsid w:val="0081697A"/>
    <w:rsid w:val="00820DA5"/>
    <w:rsid w:val="008215C6"/>
    <w:rsid w:val="00821855"/>
    <w:rsid w:val="008227C5"/>
    <w:rsid w:val="008229D4"/>
    <w:rsid w:val="00822FF4"/>
    <w:rsid w:val="008234F9"/>
    <w:rsid w:val="008240B7"/>
    <w:rsid w:val="008241A8"/>
    <w:rsid w:val="00824589"/>
    <w:rsid w:val="0082458F"/>
    <w:rsid w:val="00824867"/>
    <w:rsid w:val="00824BFD"/>
    <w:rsid w:val="00826168"/>
    <w:rsid w:val="0082670B"/>
    <w:rsid w:val="00826A28"/>
    <w:rsid w:val="00827DD4"/>
    <w:rsid w:val="00827EA9"/>
    <w:rsid w:val="00830DC8"/>
    <w:rsid w:val="00830F6A"/>
    <w:rsid w:val="0083274F"/>
    <w:rsid w:val="008333BB"/>
    <w:rsid w:val="00833EEE"/>
    <w:rsid w:val="00834FDC"/>
    <w:rsid w:val="008356CB"/>
    <w:rsid w:val="00835B88"/>
    <w:rsid w:val="0083665F"/>
    <w:rsid w:val="00836827"/>
    <w:rsid w:val="0083684B"/>
    <w:rsid w:val="00836A92"/>
    <w:rsid w:val="00837A11"/>
    <w:rsid w:val="00840239"/>
    <w:rsid w:val="00841177"/>
    <w:rsid w:val="00843328"/>
    <w:rsid w:val="008442C5"/>
    <w:rsid w:val="00844539"/>
    <w:rsid w:val="00844DC3"/>
    <w:rsid w:val="0084540D"/>
    <w:rsid w:val="008454FE"/>
    <w:rsid w:val="00845EAC"/>
    <w:rsid w:val="00846525"/>
    <w:rsid w:val="0084797B"/>
    <w:rsid w:val="00850C1A"/>
    <w:rsid w:val="00851CC4"/>
    <w:rsid w:val="008521EF"/>
    <w:rsid w:val="008521FE"/>
    <w:rsid w:val="00852D73"/>
    <w:rsid w:val="008541F0"/>
    <w:rsid w:val="00854CD3"/>
    <w:rsid w:val="00855E8D"/>
    <w:rsid w:val="008568CD"/>
    <w:rsid w:val="0085718D"/>
    <w:rsid w:val="008573FA"/>
    <w:rsid w:val="00857F93"/>
    <w:rsid w:val="0086064E"/>
    <w:rsid w:val="00860B19"/>
    <w:rsid w:val="00861089"/>
    <w:rsid w:val="00862A62"/>
    <w:rsid w:val="00862C1C"/>
    <w:rsid w:val="0086369D"/>
    <w:rsid w:val="008653EF"/>
    <w:rsid w:val="00865827"/>
    <w:rsid w:val="00865CAD"/>
    <w:rsid w:val="00866B14"/>
    <w:rsid w:val="00866D52"/>
    <w:rsid w:val="00870D17"/>
    <w:rsid w:val="00871874"/>
    <w:rsid w:val="00871A87"/>
    <w:rsid w:val="00871EC1"/>
    <w:rsid w:val="00871FD1"/>
    <w:rsid w:val="00872ED3"/>
    <w:rsid w:val="008732FE"/>
    <w:rsid w:val="0087395B"/>
    <w:rsid w:val="0087464D"/>
    <w:rsid w:val="00875E2B"/>
    <w:rsid w:val="00875F4F"/>
    <w:rsid w:val="00877228"/>
    <w:rsid w:val="008805D0"/>
    <w:rsid w:val="00880FC4"/>
    <w:rsid w:val="0088105A"/>
    <w:rsid w:val="00881C76"/>
    <w:rsid w:val="00882317"/>
    <w:rsid w:val="00882C8E"/>
    <w:rsid w:val="00884C80"/>
    <w:rsid w:val="0088520A"/>
    <w:rsid w:val="00885257"/>
    <w:rsid w:val="00885C5A"/>
    <w:rsid w:val="00885E43"/>
    <w:rsid w:val="00886311"/>
    <w:rsid w:val="008870E2"/>
    <w:rsid w:val="00887E70"/>
    <w:rsid w:val="00890FA7"/>
    <w:rsid w:val="0089109B"/>
    <w:rsid w:val="008928A1"/>
    <w:rsid w:val="008942FE"/>
    <w:rsid w:val="008945A4"/>
    <w:rsid w:val="00894DC1"/>
    <w:rsid w:val="00895514"/>
    <w:rsid w:val="00895A84"/>
    <w:rsid w:val="0089637F"/>
    <w:rsid w:val="0089751A"/>
    <w:rsid w:val="00897AB7"/>
    <w:rsid w:val="00897B8D"/>
    <w:rsid w:val="008A0B3D"/>
    <w:rsid w:val="008A203C"/>
    <w:rsid w:val="008A2218"/>
    <w:rsid w:val="008A294E"/>
    <w:rsid w:val="008A379A"/>
    <w:rsid w:val="008A4397"/>
    <w:rsid w:val="008A4842"/>
    <w:rsid w:val="008A4B08"/>
    <w:rsid w:val="008A4B5F"/>
    <w:rsid w:val="008A4BFE"/>
    <w:rsid w:val="008A4D36"/>
    <w:rsid w:val="008A503C"/>
    <w:rsid w:val="008A509E"/>
    <w:rsid w:val="008A5B52"/>
    <w:rsid w:val="008A6FC6"/>
    <w:rsid w:val="008A791E"/>
    <w:rsid w:val="008B0488"/>
    <w:rsid w:val="008B15C6"/>
    <w:rsid w:val="008B24E2"/>
    <w:rsid w:val="008B32DC"/>
    <w:rsid w:val="008B3344"/>
    <w:rsid w:val="008B3E18"/>
    <w:rsid w:val="008B48C4"/>
    <w:rsid w:val="008B4A04"/>
    <w:rsid w:val="008B4B03"/>
    <w:rsid w:val="008B5152"/>
    <w:rsid w:val="008B583E"/>
    <w:rsid w:val="008B5DA6"/>
    <w:rsid w:val="008B5F80"/>
    <w:rsid w:val="008B6265"/>
    <w:rsid w:val="008B6DD9"/>
    <w:rsid w:val="008C0E3D"/>
    <w:rsid w:val="008C0E4C"/>
    <w:rsid w:val="008C12EA"/>
    <w:rsid w:val="008C1462"/>
    <w:rsid w:val="008C1D05"/>
    <w:rsid w:val="008C223A"/>
    <w:rsid w:val="008C23CB"/>
    <w:rsid w:val="008C2483"/>
    <w:rsid w:val="008C2B96"/>
    <w:rsid w:val="008C2CAD"/>
    <w:rsid w:val="008C2D78"/>
    <w:rsid w:val="008C3E01"/>
    <w:rsid w:val="008C47A2"/>
    <w:rsid w:val="008C5622"/>
    <w:rsid w:val="008C58B0"/>
    <w:rsid w:val="008C681D"/>
    <w:rsid w:val="008C6B43"/>
    <w:rsid w:val="008C7054"/>
    <w:rsid w:val="008C7116"/>
    <w:rsid w:val="008C7AA6"/>
    <w:rsid w:val="008D0C4E"/>
    <w:rsid w:val="008D1BC3"/>
    <w:rsid w:val="008D207A"/>
    <w:rsid w:val="008D2442"/>
    <w:rsid w:val="008D3095"/>
    <w:rsid w:val="008D3CE1"/>
    <w:rsid w:val="008D45B8"/>
    <w:rsid w:val="008D463F"/>
    <w:rsid w:val="008D493D"/>
    <w:rsid w:val="008D4B8D"/>
    <w:rsid w:val="008D5100"/>
    <w:rsid w:val="008D54D2"/>
    <w:rsid w:val="008D57A2"/>
    <w:rsid w:val="008D7761"/>
    <w:rsid w:val="008D7DF4"/>
    <w:rsid w:val="008E0DB0"/>
    <w:rsid w:val="008E0E8B"/>
    <w:rsid w:val="008E112D"/>
    <w:rsid w:val="008E1464"/>
    <w:rsid w:val="008E16D1"/>
    <w:rsid w:val="008E1C5D"/>
    <w:rsid w:val="008E31B8"/>
    <w:rsid w:val="008E3319"/>
    <w:rsid w:val="008E4419"/>
    <w:rsid w:val="008E48F7"/>
    <w:rsid w:val="008E4BE7"/>
    <w:rsid w:val="008E6C07"/>
    <w:rsid w:val="008E6DD9"/>
    <w:rsid w:val="008E7524"/>
    <w:rsid w:val="008E7607"/>
    <w:rsid w:val="008F007A"/>
    <w:rsid w:val="008F04EF"/>
    <w:rsid w:val="008F1176"/>
    <w:rsid w:val="008F228B"/>
    <w:rsid w:val="008F291A"/>
    <w:rsid w:val="008F364C"/>
    <w:rsid w:val="008F41DF"/>
    <w:rsid w:val="008F46BC"/>
    <w:rsid w:val="008F4F86"/>
    <w:rsid w:val="008F5A79"/>
    <w:rsid w:val="008F60BE"/>
    <w:rsid w:val="008F68F8"/>
    <w:rsid w:val="008F6DBA"/>
    <w:rsid w:val="008F7857"/>
    <w:rsid w:val="008F7C81"/>
    <w:rsid w:val="008F7D17"/>
    <w:rsid w:val="009002FA"/>
    <w:rsid w:val="00900BEE"/>
    <w:rsid w:val="00901A32"/>
    <w:rsid w:val="00902598"/>
    <w:rsid w:val="00904001"/>
    <w:rsid w:val="009043FB"/>
    <w:rsid w:val="00905010"/>
    <w:rsid w:val="00905943"/>
    <w:rsid w:val="00906D3E"/>
    <w:rsid w:val="0090732C"/>
    <w:rsid w:val="009074EB"/>
    <w:rsid w:val="009115B9"/>
    <w:rsid w:val="00912149"/>
    <w:rsid w:val="00913399"/>
    <w:rsid w:val="00913774"/>
    <w:rsid w:val="00913DB5"/>
    <w:rsid w:val="00914E63"/>
    <w:rsid w:val="0091549C"/>
    <w:rsid w:val="0091618D"/>
    <w:rsid w:val="00916429"/>
    <w:rsid w:val="00916A5D"/>
    <w:rsid w:val="00917348"/>
    <w:rsid w:val="009174FE"/>
    <w:rsid w:val="00917963"/>
    <w:rsid w:val="00920E0C"/>
    <w:rsid w:val="00921169"/>
    <w:rsid w:val="00921A8D"/>
    <w:rsid w:val="00921E5B"/>
    <w:rsid w:val="00925394"/>
    <w:rsid w:val="00925516"/>
    <w:rsid w:val="009255B0"/>
    <w:rsid w:val="00925DB3"/>
    <w:rsid w:val="00926868"/>
    <w:rsid w:val="00926CA3"/>
    <w:rsid w:val="00927CBD"/>
    <w:rsid w:val="0093088A"/>
    <w:rsid w:val="00931066"/>
    <w:rsid w:val="009326AD"/>
    <w:rsid w:val="00932BA0"/>
    <w:rsid w:val="009338F5"/>
    <w:rsid w:val="009359D9"/>
    <w:rsid w:val="00935A5E"/>
    <w:rsid w:val="00936601"/>
    <w:rsid w:val="0093677E"/>
    <w:rsid w:val="00937D89"/>
    <w:rsid w:val="0094064F"/>
    <w:rsid w:val="00940DD9"/>
    <w:rsid w:val="0094314B"/>
    <w:rsid w:val="0094368E"/>
    <w:rsid w:val="009443F9"/>
    <w:rsid w:val="00944C09"/>
    <w:rsid w:val="00944DB2"/>
    <w:rsid w:val="00945C0C"/>
    <w:rsid w:val="00945EA6"/>
    <w:rsid w:val="00946217"/>
    <w:rsid w:val="00950EB9"/>
    <w:rsid w:val="00950F8D"/>
    <w:rsid w:val="0095128C"/>
    <w:rsid w:val="009518FA"/>
    <w:rsid w:val="00951D2A"/>
    <w:rsid w:val="009535D5"/>
    <w:rsid w:val="00956920"/>
    <w:rsid w:val="00957049"/>
    <w:rsid w:val="00957473"/>
    <w:rsid w:val="00960F30"/>
    <w:rsid w:val="009612D2"/>
    <w:rsid w:val="0096155A"/>
    <w:rsid w:val="009618A4"/>
    <w:rsid w:val="00962084"/>
    <w:rsid w:val="00962BE8"/>
    <w:rsid w:val="00964211"/>
    <w:rsid w:val="009646ED"/>
    <w:rsid w:val="00964A50"/>
    <w:rsid w:val="009660C1"/>
    <w:rsid w:val="00966652"/>
    <w:rsid w:val="009703D8"/>
    <w:rsid w:val="00972266"/>
    <w:rsid w:val="00973196"/>
    <w:rsid w:val="00973499"/>
    <w:rsid w:val="009736BE"/>
    <w:rsid w:val="00973E18"/>
    <w:rsid w:val="00973E8C"/>
    <w:rsid w:val="0097440B"/>
    <w:rsid w:val="00975978"/>
    <w:rsid w:val="00975CC9"/>
    <w:rsid w:val="00976067"/>
    <w:rsid w:val="00976513"/>
    <w:rsid w:val="00976AD3"/>
    <w:rsid w:val="00980B03"/>
    <w:rsid w:val="00981995"/>
    <w:rsid w:val="00981F9F"/>
    <w:rsid w:val="009827DE"/>
    <w:rsid w:val="00982883"/>
    <w:rsid w:val="00982DF8"/>
    <w:rsid w:val="00983611"/>
    <w:rsid w:val="00983706"/>
    <w:rsid w:val="009839DA"/>
    <w:rsid w:val="0098482E"/>
    <w:rsid w:val="0098493C"/>
    <w:rsid w:val="00984AEC"/>
    <w:rsid w:val="0098504E"/>
    <w:rsid w:val="009854B1"/>
    <w:rsid w:val="009859A1"/>
    <w:rsid w:val="00985D26"/>
    <w:rsid w:val="00985DBC"/>
    <w:rsid w:val="00985EF6"/>
    <w:rsid w:val="00986FB6"/>
    <w:rsid w:val="009906A2"/>
    <w:rsid w:val="009909D8"/>
    <w:rsid w:val="00990C60"/>
    <w:rsid w:val="00990D9A"/>
    <w:rsid w:val="00990FD1"/>
    <w:rsid w:val="009911A4"/>
    <w:rsid w:val="0099183E"/>
    <w:rsid w:val="00992243"/>
    <w:rsid w:val="00993809"/>
    <w:rsid w:val="00996D79"/>
    <w:rsid w:val="00996FC0"/>
    <w:rsid w:val="009971CC"/>
    <w:rsid w:val="009974E2"/>
    <w:rsid w:val="009975F7"/>
    <w:rsid w:val="009A0234"/>
    <w:rsid w:val="009A0515"/>
    <w:rsid w:val="009A0E6B"/>
    <w:rsid w:val="009A1126"/>
    <w:rsid w:val="009A17B8"/>
    <w:rsid w:val="009A1A14"/>
    <w:rsid w:val="009A27F2"/>
    <w:rsid w:val="009A2E75"/>
    <w:rsid w:val="009A3188"/>
    <w:rsid w:val="009A3385"/>
    <w:rsid w:val="009A3F83"/>
    <w:rsid w:val="009A42E8"/>
    <w:rsid w:val="009A43C2"/>
    <w:rsid w:val="009A4768"/>
    <w:rsid w:val="009A622F"/>
    <w:rsid w:val="009A6691"/>
    <w:rsid w:val="009A6822"/>
    <w:rsid w:val="009A6A80"/>
    <w:rsid w:val="009A6AF0"/>
    <w:rsid w:val="009A6BBA"/>
    <w:rsid w:val="009A7BBA"/>
    <w:rsid w:val="009B329F"/>
    <w:rsid w:val="009B3FE6"/>
    <w:rsid w:val="009B4CBB"/>
    <w:rsid w:val="009B4F0E"/>
    <w:rsid w:val="009B60B2"/>
    <w:rsid w:val="009B62A9"/>
    <w:rsid w:val="009B64DE"/>
    <w:rsid w:val="009B6B1F"/>
    <w:rsid w:val="009B6C89"/>
    <w:rsid w:val="009C139E"/>
    <w:rsid w:val="009C3692"/>
    <w:rsid w:val="009C3DB3"/>
    <w:rsid w:val="009C4057"/>
    <w:rsid w:val="009C5190"/>
    <w:rsid w:val="009C64F0"/>
    <w:rsid w:val="009C7008"/>
    <w:rsid w:val="009C77BF"/>
    <w:rsid w:val="009D02AD"/>
    <w:rsid w:val="009D0561"/>
    <w:rsid w:val="009D1C62"/>
    <w:rsid w:val="009D1CCA"/>
    <w:rsid w:val="009D1EE0"/>
    <w:rsid w:val="009D2B93"/>
    <w:rsid w:val="009D2E17"/>
    <w:rsid w:val="009D3AE1"/>
    <w:rsid w:val="009D3ECE"/>
    <w:rsid w:val="009D3FE6"/>
    <w:rsid w:val="009D4871"/>
    <w:rsid w:val="009D4ABB"/>
    <w:rsid w:val="009D5737"/>
    <w:rsid w:val="009D5766"/>
    <w:rsid w:val="009D586A"/>
    <w:rsid w:val="009D5ED7"/>
    <w:rsid w:val="009D7BAB"/>
    <w:rsid w:val="009E1437"/>
    <w:rsid w:val="009E16B7"/>
    <w:rsid w:val="009E21E0"/>
    <w:rsid w:val="009E2788"/>
    <w:rsid w:val="009E36EC"/>
    <w:rsid w:val="009E434E"/>
    <w:rsid w:val="009E4A37"/>
    <w:rsid w:val="009E6C2C"/>
    <w:rsid w:val="009F00DF"/>
    <w:rsid w:val="009F13A0"/>
    <w:rsid w:val="009F1AC4"/>
    <w:rsid w:val="009F1EA4"/>
    <w:rsid w:val="009F219C"/>
    <w:rsid w:val="009F292E"/>
    <w:rsid w:val="009F2B2A"/>
    <w:rsid w:val="009F3619"/>
    <w:rsid w:val="009F3829"/>
    <w:rsid w:val="009F46F6"/>
    <w:rsid w:val="009F4AC1"/>
    <w:rsid w:val="009F5439"/>
    <w:rsid w:val="009F590E"/>
    <w:rsid w:val="009F5C2F"/>
    <w:rsid w:val="009F6171"/>
    <w:rsid w:val="009F66E1"/>
    <w:rsid w:val="009F6B37"/>
    <w:rsid w:val="009F7AF1"/>
    <w:rsid w:val="00A0078E"/>
    <w:rsid w:val="00A013DD"/>
    <w:rsid w:val="00A017A4"/>
    <w:rsid w:val="00A020AE"/>
    <w:rsid w:val="00A03239"/>
    <w:rsid w:val="00A039DB"/>
    <w:rsid w:val="00A03AA4"/>
    <w:rsid w:val="00A0432C"/>
    <w:rsid w:val="00A049EE"/>
    <w:rsid w:val="00A04CD8"/>
    <w:rsid w:val="00A050B8"/>
    <w:rsid w:val="00A0607D"/>
    <w:rsid w:val="00A07F02"/>
    <w:rsid w:val="00A11E39"/>
    <w:rsid w:val="00A1289D"/>
    <w:rsid w:val="00A12CE4"/>
    <w:rsid w:val="00A13721"/>
    <w:rsid w:val="00A13A57"/>
    <w:rsid w:val="00A13D16"/>
    <w:rsid w:val="00A14EAE"/>
    <w:rsid w:val="00A158E3"/>
    <w:rsid w:val="00A16C7E"/>
    <w:rsid w:val="00A17A38"/>
    <w:rsid w:val="00A20883"/>
    <w:rsid w:val="00A210B2"/>
    <w:rsid w:val="00A213EC"/>
    <w:rsid w:val="00A226D0"/>
    <w:rsid w:val="00A23245"/>
    <w:rsid w:val="00A23B24"/>
    <w:rsid w:val="00A23B29"/>
    <w:rsid w:val="00A25539"/>
    <w:rsid w:val="00A25AC4"/>
    <w:rsid w:val="00A25E51"/>
    <w:rsid w:val="00A26888"/>
    <w:rsid w:val="00A2697B"/>
    <w:rsid w:val="00A26C80"/>
    <w:rsid w:val="00A275EE"/>
    <w:rsid w:val="00A27619"/>
    <w:rsid w:val="00A30452"/>
    <w:rsid w:val="00A33A0F"/>
    <w:rsid w:val="00A33E5A"/>
    <w:rsid w:val="00A34FBA"/>
    <w:rsid w:val="00A3618A"/>
    <w:rsid w:val="00A36CA4"/>
    <w:rsid w:val="00A37B35"/>
    <w:rsid w:val="00A37CBD"/>
    <w:rsid w:val="00A4090A"/>
    <w:rsid w:val="00A40D44"/>
    <w:rsid w:val="00A412F1"/>
    <w:rsid w:val="00A415A3"/>
    <w:rsid w:val="00A41845"/>
    <w:rsid w:val="00A422C4"/>
    <w:rsid w:val="00A4384D"/>
    <w:rsid w:val="00A43902"/>
    <w:rsid w:val="00A439A2"/>
    <w:rsid w:val="00A440A6"/>
    <w:rsid w:val="00A440CB"/>
    <w:rsid w:val="00A445DE"/>
    <w:rsid w:val="00A472C6"/>
    <w:rsid w:val="00A50D38"/>
    <w:rsid w:val="00A51D04"/>
    <w:rsid w:val="00A52477"/>
    <w:rsid w:val="00A52528"/>
    <w:rsid w:val="00A52A59"/>
    <w:rsid w:val="00A53C99"/>
    <w:rsid w:val="00A5412E"/>
    <w:rsid w:val="00A541A4"/>
    <w:rsid w:val="00A54B38"/>
    <w:rsid w:val="00A54B8A"/>
    <w:rsid w:val="00A5511D"/>
    <w:rsid w:val="00A562BF"/>
    <w:rsid w:val="00A56F69"/>
    <w:rsid w:val="00A574FD"/>
    <w:rsid w:val="00A60EE8"/>
    <w:rsid w:val="00A6224D"/>
    <w:rsid w:val="00A62A5F"/>
    <w:rsid w:val="00A62DD8"/>
    <w:rsid w:val="00A64020"/>
    <w:rsid w:val="00A64A6F"/>
    <w:rsid w:val="00A65B8B"/>
    <w:rsid w:val="00A65C9E"/>
    <w:rsid w:val="00A663B1"/>
    <w:rsid w:val="00A6761D"/>
    <w:rsid w:val="00A67737"/>
    <w:rsid w:val="00A705AA"/>
    <w:rsid w:val="00A7078D"/>
    <w:rsid w:val="00A70F8B"/>
    <w:rsid w:val="00A712C0"/>
    <w:rsid w:val="00A7222E"/>
    <w:rsid w:val="00A72698"/>
    <w:rsid w:val="00A72F35"/>
    <w:rsid w:val="00A7376B"/>
    <w:rsid w:val="00A7468E"/>
    <w:rsid w:val="00A75387"/>
    <w:rsid w:val="00A7556F"/>
    <w:rsid w:val="00A75DE6"/>
    <w:rsid w:val="00A7668C"/>
    <w:rsid w:val="00A76757"/>
    <w:rsid w:val="00A76A6F"/>
    <w:rsid w:val="00A76F13"/>
    <w:rsid w:val="00A77256"/>
    <w:rsid w:val="00A7795E"/>
    <w:rsid w:val="00A81265"/>
    <w:rsid w:val="00A8159F"/>
    <w:rsid w:val="00A819B5"/>
    <w:rsid w:val="00A81A80"/>
    <w:rsid w:val="00A81E70"/>
    <w:rsid w:val="00A822FA"/>
    <w:rsid w:val="00A82FA8"/>
    <w:rsid w:val="00A84C07"/>
    <w:rsid w:val="00A85108"/>
    <w:rsid w:val="00A85822"/>
    <w:rsid w:val="00A859CA"/>
    <w:rsid w:val="00A862A8"/>
    <w:rsid w:val="00A87370"/>
    <w:rsid w:val="00A901B8"/>
    <w:rsid w:val="00A9190C"/>
    <w:rsid w:val="00A91968"/>
    <w:rsid w:val="00A92984"/>
    <w:rsid w:val="00A93C48"/>
    <w:rsid w:val="00A9464F"/>
    <w:rsid w:val="00A96191"/>
    <w:rsid w:val="00A96564"/>
    <w:rsid w:val="00A9681C"/>
    <w:rsid w:val="00A96B55"/>
    <w:rsid w:val="00A96C89"/>
    <w:rsid w:val="00A96F20"/>
    <w:rsid w:val="00A976A2"/>
    <w:rsid w:val="00AA26D5"/>
    <w:rsid w:val="00AA2B67"/>
    <w:rsid w:val="00AA2B73"/>
    <w:rsid w:val="00AA3730"/>
    <w:rsid w:val="00AA3EFD"/>
    <w:rsid w:val="00AA4067"/>
    <w:rsid w:val="00AA500A"/>
    <w:rsid w:val="00AA523A"/>
    <w:rsid w:val="00AA61D2"/>
    <w:rsid w:val="00AA7142"/>
    <w:rsid w:val="00AA7492"/>
    <w:rsid w:val="00AA768D"/>
    <w:rsid w:val="00AB034C"/>
    <w:rsid w:val="00AB153B"/>
    <w:rsid w:val="00AB2C8D"/>
    <w:rsid w:val="00AB3137"/>
    <w:rsid w:val="00AB3200"/>
    <w:rsid w:val="00AB43B8"/>
    <w:rsid w:val="00AB4428"/>
    <w:rsid w:val="00AB461C"/>
    <w:rsid w:val="00AB4836"/>
    <w:rsid w:val="00AB71CE"/>
    <w:rsid w:val="00AB7553"/>
    <w:rsid w:val="00AC16A4"/>
    <w:rsid w:val="00AC2672"/>
    <w:rsid w:val="00AC27F4"/>
    <w:rsid w:val="00AC2A89"/>
    <w:rsid w:val="00AC34C7"/>
    <w:rsid w:val="00AC513F"/>
    <w:rsid w:val="00AC657D"/>
    <w:rsid w:val="00AC6770"/>
    <w:rsid w:val="00AC7273"/>
    <w:rsid w:val="00AC7700"/>
    <w:rsid w:val="00AC7A5C"/>
    <w:rsid w:val="00AD0068"/>
    <w:rsid w:val="00AD0DD1"/>
    <w:rsid w:val="00AD13FA"/>
    <w:rsid w:val="00AD1A2E"/>
    <w:rsid w:val="00AD267E"/>
    <w:rsid w:val="00AD29B5"/>
    <w:rsid w:val="00AD30AB"/>
    <w:rsid w:val="00AD45C2"/>
    <w:rsid w:val="00AD509E"/>
    <w:rsid w:val="00AD51F5"/>
    <w:rsid w:val="00AD5528"/>
    <w:rsid w:val="00AD5BC8"/>
    <w:rsid w:val="00AD62F6"/>
    <w:rsid w:val="00AD6503"/>
    <w:rsid w:val="00AD68F3"/>
    <w:rsid w:val="00AD6CCD"/>
    <w:rsid w:val="00AE0B6A"/>
    <w:rsid w:val="00AE38F2"/>
    <w:rsid w:val="00AE4D0B"/>
    <w:rsid w:val="00AE58F8"/>
    <w:rsid w:val="00AE5974"/>
    <w:rsid w:val="00AE5F12"/>
    <w:rsid w:val="00AE6B78"/>
    <w:rsid w:val="00AE759A"/>
    <w:rsid w:val="00AF0478"/>
    <w:rsid w:val="00AF0925"/>
    <w:rsid w:val="00AF10C8"/>
    <w:rsid w:val="00AF11C0"/>
    <w:rsid w:val="00AF1DC7"/>
    <w:rsid w:val="00AF2A3F"/>
    <w:rsid w:val="00AF2DF6"/>
    <w:rsid w:val="00AF35AA"/>
    <w:rsid w:val="00AF3A22"/>
    <w:rsid w:val="00AF3ECB"/>
    <w:rsid w:val="00AF5843"/>
    <w:rsid w:val="00AF5D0A"/>
    <w:rsid w:val="00AF6184"/>
    <w:rsid w:val="00AF6546"/>
    <w:rsid w:val="00AF6DD2"/>
    <w:rsid w:val="00AF7B4E"/>
    <w:rsid w:val="00AF7E6B"/>
    <w:rsid w:val="00B01741"/>
    <w:rsid w:val="00B01D9E"/>
    <w:rsid w:val="00B027B5"/>
    <w:rsid w:val="00B03368"/>
    <w:rsid w:val="00B0342B"/>
    <w:rsid w:val="00B043BD"/>
    <w:rsid w:val="00B05153"/>
    <w:rsid w:val="00B05FE2"/>
    <w:rsid w:val="00B06A9F"/>
    <w:rsid w:val="00B076A8"/>
    <w:rsid w:val="00B10537"/>
    <w:rsid w:val="00B11511"/>
    <w:rsid w:val="00B12252"/>
    <w:rsid w:val="00B12572"/>
    <w:rsid w:val="00B125CA"/>
    <w:rsid w:val="00B12EBA"/>
    <w:rsid w:val="00B130BF"/>
    <w:rsid w:val="00B13B91"/>
    <w:rsid w:val="00B13E94"/>
    <w:rsid w:val="00B14087"/>
    <w:rsid w:val="00B142E2"/>
    <w:rsid w:val="00B16529"/>
    <w:rsid w:val="00B165AC"/>
    <w:rsid w:val="00B16B60"/>
    <w:rsid w:val="00B17CA3"/>
    <w:rsid w:val="00B201AA"/>
    <w:rsid w:val="00B20C0A"/>
    <w:rsid w:val="00B21632"/>
    <w:rsid w:val="00B22B1F"/>
    <w:rsid w:val="00B22EF8"/>
    <w:rsid w:val="00B24A04"/>
    <w:rsid w:val="00B25211"/>
    <w:rsid w:val="00B26210"/>
    <w:rsid w:val="00B27D76"/>
    <w:rsid w:val="00B27E22"/>
    <w:rsid w:val="00B302B4"/>
    <w:rsid w:val="00B30F0B"/>
    <w:rsid w:val="00B318F7"/>
    <w:rsid w:val="00B32615"/>
    <w:rsid w:val="00B32AB9"/>
    <w:rsid w:val="00B32ED0"/>
    <w:rsid w:val="00B34378"/>
    <w:rsid w:val="00B349D0"/>
    <w:rsid w:val="00B35F79"/>
    <w:rsid w:val="00B371D0"/>
    <w:rsid w:val="00B374EF"/>
    <w:rsid w:val="00B3795F"/>
    <w:rsid w:val="00B37ED3"/>
    <w:rsid w:val="00B40682"/>
    <w:rsid w:val="00B40773"/>
    <w:rsid w:val="00B40900"/>
    <w:rsid w:val="00B425A3"/>
    <w:rsid w:val="00B442B2"/>
    <w:rsid w:val="00B46286"/>
    <w:rsid w:val="00B464D3"/>
    <w:rsid w:val="00B46A09"/>
    <w:rsid w:val="00B47903"/>
    <w:rsid w:val="00B501CE"/>
    <w:rsid w:val="00B50486"/>
    <w:rsid w:val="00B50926"/>
    <w:rsid w:val="00B52126"/>
    <w:rsid w:val="00B53548"/>
    <w:rsid w:val="00B537B2"/>
    <w:rsid w:val="00B53901"/>
    <w:rsid w:val="00B54E72"/>
    <w:rsid w:val="00B55A97"/>
    <w:rsid w:val="00B5676F"/>
    <w:rsid w:val="00B579B4"/>
    <w:rsid w:val="00B60B32"/>
    <w:rsid w:val="00B620D5"/>
    <w:rsid w:val="00B62C41"/>
    <w:rsid w:val="00B6332D"/>
    <w:rsid w:val="00B63EF1"/>
    <w:rsid w:val="00B64739"/>
    <w:rsid w:val="00B648FB"/>
    <w:rsid w:val="00B64D43"/>
    <w:rsid w:val="00B64E66"/>
    <w:rsid w:val="00B65322"/>
    <w:rsid w:val="00B65992"/>
    <w:rsid w:val="00B67DAA"/>
    <w:rsid w:val="00B7320C"/>
    <w:rsid w:val="00B7540B"/>
    <w:rsid w:val="00B75B6A"/>
    <w:rsid w:val="00B75F29"/>
    <w:rsid w:val="00B76A22"/>
    <w:rsid w:val="00B77EF8"/>
    <w:rsid w:val="00B811FC"/>
    <w:rsid w:val="00B8129A"/>
    <w:rsid w:val="00B82B95"/>
    <w:rsid w:val="00B83ACA"/>
    <w:rsid w:val="00B83CAC"/>
    <w:rsid w:val="00B848EB"/>
    <w:rsid w:val="00B84EF3"/>
    <w:rsid w:val="00B8532D"/>
    <w:rsid w:val="00B85B4D"/>
    <w:rsid w:val="00B86306"/>
    <w:rsid w:val="00B8646C"/>
    <w:rsid w:val="00B86A1A"/>
    <w:rsid w:val="00B871B8"/>
    <w:rsid w:val="00B8741D"/>
    <w:rsid w:val="00B87B31"/>
    <w:rsid w:val="00B87C3F"/>
    <w:rsid w:val="00B90326"/>
    <w:rsid w:val="00B909E1"/>
    <w:rsid w:val="00B90F0D"/>
    <w:rsid w:val="00B913FD"/>
    <w:rsid w:val="00B919E5"/>
    <w:rsid w:val="00B9279E"/>
    <w:rsid w:val="00B9365F"/>
    <w:rsid w:val="00B93B49"/>
    <w:rsid w:val="00B94E45"/>
    <w:rsid w:val="00B953EF"/>
    <w:rsid w:val="00B9566B"/>
    <w:rsid w:val="00B95E13"/>
    <w:rsid w:val="00B95FF7"/>
    <w:rsid w:val="00B9604A"/>
    <w:rsid w:val="00B970DF"/>
    <w:rsid w:val="00B974AA"/>
    <w:rsid w:val="00B97745"/>
    <w:rsid w:val="00B97F1D"/>
    <w:rsid w:val="00BA0C5F"/>
    <w:rsid w:val="00BA19F6"/>
    <w:rsid w:val="00BA2415"/>
    <w:rsid w:val="00BA29A9"/>
    <w:rsid w:val="00BA2A8E"/>
    <w:rsid w:val="00BA3D2F"/>
    <w:rsid w:val="00BA40F9"/>
    <w:rsid w:val="00BA5101"/>
    <w:rsid w:val="00BA637E"/>
    <w:rsid w:val="00BA74C7"/>
    <w:rsid w:val="00BB1D91"/>
    <w:rsid w:val="00BB4176"/>
    <w:rsid w:val="00BB4892"/>
    <w:rsid w:val="00BB4FA8"/>
    <w:rsid w:val="00BB55FF"/>
    <w:rsid w:val="00BB5BEF"/>
    <w:rsid w:val="00BB5E9C"/>
    <w:rsid w:val="00BB5EB6"/>
    <w:rsid w:val="00BB67E0"/>
    <w:rsid w:val="00BB6FF0"/>
    <w:rsid w:val="00BC0506"/>
    <w:rsid w:val="00BC167A"/>
    <w:rsid w:val="00BC1ABE"/>
    <w:rsid w:val="00BC295D"/>
    <w:rsid w:val="00BC39EF"/>
    <w:rsid w:val="00BC4778"/>
    <w:rsid w:val="00BC498F"/>
    <w:rsid w:val="00BC502F"/>
    <w:rsid w:val="00BC6EB4"/>
    <w:rsid w:val="00BC737D"/>
    <w:rsid w:val="00BC7B33"/>
    <w:rsid w:val="00BD06BD"/>
    <w:rsid w:val="00BD0781"/>
    <w:rsid w:val="00BD23B7"/>
    <w:rsid w:val="00BD2BD6"/>
    <w:rsid w:val="00BD3123"/>
    <w:rsid w:val="00BD33C6"/>
    <w:rsid w:val="00BD47C0"/>
    <w:rsid w:val="00BD4D74"/>
    <w:rsid w:val="00BD6E7C"/>
    <w:rsid w:val="00BD753F"/>
    <w:rsid w:val="00BE0860"/>
    <w:rsid w:val="00BE1383"/>
    <w:rsid w:val="00BE355E"/>
    <w:rsid w:val="00BE4BBA"/>
    <w:rsid w:val="00BE559D"/>
    <w:rsid w:val="00BE58F6"/>
    <w:rsid w:val="00BE64C0"/>
    <w:rsid w:val="00BE6530"/>
    <w:rsid w:val="00BE6538"/>
    <w:rsid w:val="00BE6AAD"/>
    <w:rsid w:val="00BE6D01"/>
    <w:rsid w:val="00BF02BF"/>
    <w:rsid w:val="00BF1DE6"/>
    <w:rsid w:val="00BF2084"/>
    <w:rsid w:val="00BF2768"/>
    <w:rsid w:val="00BF2E61"/>
    <w:rsid w:val="00BF3104"/>
    <w:rsid w:val="00BF31A6"/>
    <w:rsid w:val="00BF4AA6"/>
    <w:rsid w:val="00BF4B4F"/>
    <w:rsid w:val="00BF5055"/>
    <w:rsid w:val="00BF52DB"/>
    <w:rsid w:val="00BF7FD7"/>
    <w:rsid w:val="00C01FFB"/>
    <w:rsid w:val="00C04C44"/>
    <w:rsid w:val="00C056F1"/>
    <w:rsid w:val="00C058E4"/>
    <w:rsid w:val="00C06183"/>
    <w:rsid w:val="00C062B9"/>
    <w:rsid w:val="00C06B4B"/>
    <w:rsid w:val="00C10431"/>
    <w:rsid w:val="00C10B6E"/>
    <w:rsid w:val="00C111FD"/>
    <w:rsid w:val="00C13014"/>
    <w:rsid w:val="00C141C4"/>
    <w:rsid w:val="00C149AA"/>
    <w:rsid w:val="00C15872"/>
    <w:rsid w:val="00C15C78"/>
    <w:rsid w:val="00C15FBB"/>
    <w:rsid w:val="00C165E9"/>
    <w:rsid w:val="00C16656"/>
    <w:rsid w:val="00C168C5"/>
    <w:rsid w:val="00C16E86"/>
    <w:rsid w:val="00C203A1"/>
    <w:rsid w:val="00C20711"/>
    <w:rsid w:val="00C20BEE"/>
    <w:rsid w:val="00C20C5B"/>
    <w:rsid w:val="00C20CEE"/>
    <w:rsid w:val="00C20D4B"/>
    <w:rsid w:val="00C211E4"/>
    <w:rsid w:val="00C219F5"/>
    <w:rsid w:val="00C222B9"/>
    <w:rsid w:val="00C23343"/>
    <w:rsid w:val="00C23A8D"/>
    <w:rsid w:val="00C247A3"/>
    <w:rsid w:val="00C252B8"/>
    <w:rsid w:val="00C26228"/>
    <w:rsid w:val="00C2646E"/>
    <w:rsid w:val="00C26F92"/>
    <w:rsid w:val="00C27DFD"/>
    <w:rsid w:val="00C27F2F"/>
    <w:rsid w:val="00C3016B"/>
    <w:rsid w:val="00C302AE"/>
    <w:rsid w:val="00C30456"/>
    <w:rsid w:val="00C3077C"/>
    <w:rsid w:val="00C30DA5"/>
    <w:rsid w:val="00C30DDA"/>
    <w:rsid w:val="00C31264"/>
    <w:rsid w:val="00C31BCA"/>
    <w:rsid w:val="00C31EB5"/>
    <w:rsid w:val="00C35F17"/>
    <w:rsid w:val="00C3797B"/>
    <w:rsid w:val="00C40398"/>
    <w:rsid w:val="00C4068B"/>
    <w:rsid w:val="00C413A8"/>
    <w:rsid w:val="00C42187"/>
    <w:rsid w:val="00C4220D"/>
    <w:rsid w:val="00C422A4"/>
    <w:rsid w:val="00C434BE"/>
    <w:rsid w:val="00C44867"/>
    <w:rsid w:val="00C46665"/>
    <w:rsid w:val="00C46DF7"/>
    <w:rsid w:val="00C47471"/>
    <w:rsid w:val="00C47DE5"/>
    <w:rsid w:val="00C50503"/>
    <w:rsid w:val="00C510C2"/>
    <w:rsid w:val="00C51168"/>
    <w:rsid w:val="00C51820"/>
    <w:rsid w:val="00C518D2"/>
    <w:rsid w:val="00C521F3"/>
    <w:rsid w:val="00C52F16"/>
    <w:rsid w:val="00C52F7B"/>
    <w:rsid w:val="00C5311D"/>
    <w:rsid w:val="00C54BD4"/>
    <w:rsid w:val="00C55668"/>
    <w:rsid w:val="00C55D3A"/>
    <w:rsid w:val="00C567DE"/>
    <w:rsid w:val="00C567F0"/>
    <w:rsid w:val="00C57895"/>
    <w:rsid w:val="00C6025F"/>
    <w:rsid w:val="00C608CE"/>
    <w:rsid w:val="00C60BE9"/>
    <w:rsid w:val="00C60F04"/>
    <w:rsid w:val="00C60F62"/>
    <w:rsid w:val="00C60FB3"/>
    <w:rsid w:val="00C61717"/>
    <w:rsid w:val="00C65160"/>
    <w:rsid w:val="00C65335"/>
    <w:rsid w:val="00C656F8"/>
    <w:rsid w:val="00C66916"/>
    <w:rsid w:val="00C67525"/>
    <w:rsid w:val="00C7003A"/>
    <w:rsid w:val="00C70304"/>
    <w:rsid w:val="00C70AB7"/>
    <w:rsid w:val="00C70B08"/>
    <w:rsid w:val="00C70F77"/>
    <w:rsid w:val="00C711C1"/>
    <w:rsid w:val="00C711D2"/>
    <w:rsid w:val="00C7166C"/>
    <w:rsid w:val="00C72BBD"/>
    <w:rsid w:val="00C73557"/>
    <w:rsid w:val="00C73F3A"/>
    <w:rsid w:val="00C7492B"/>
    <w:rsid w:val="00C74B09"/>
    <w:rsid w:val="00C74BE4"/>
    <w:rsid w:val="00C755BC"/>
    <w:rsid w:val="00C76746"/>
    <w:rsid w:val="00C7738C"/>
    <w:rsid w:val="00C77AFF"/>
    <w:rsid w:val="00C810DE"/>
    <w:rsid w:val="00C815C7"/>
    <w:rsid w:val="00C81BAD"/>
    <w:rsid w:val="00C825D3"/>
    <w:rsid w:val="00C82E73"/>
    <w:rsid w:val="00C82EE6"/>
    <w:rsid w:val="00C84D31"/>
    <w:rsid w:val="00C84EEC"/>
    <w:rsid w:val="00C86AF2"/>
    <w:rsid w:val="00C86E87"/>
    <w:rsid w:val="00C87138"/>
    <w:rsid w:val="00C8773B"/>
    <w:rsid w:val="00C87B13"/>
    <w:rsid w:val="00C87B95"/>
    <w:rsid w:val="00C909DF"/>
    <w:rsid w:val="00C9292A"/>
    <w:rsid w:val="00C93653"/>
    <w:rsid w:val="00C936E0"/>
    <w:rsid w:val="00C93C9E"/>
    <w:rsid w:val="00C951F5"/>
    <w:rsid w:val="00C9776E"/>
    <w:rsid w:val="00CA03A4"/>
    <w:rsid w:val="00CA050B"/>
    <w:rsid w:val="00CA061E"/>
    <w:rsid w:val="00CA1200"/>
    <w:rsid w:val="00CA13CF"/>
    <w:rsid w:val="00CA223C"/>
    <w:rsid w:val="00CA264A"/>
    <w:rsid w:val="00CA3FC9"/>
    <w:rsid w:val="00CA432B"/>
    <w:rsid w:val="00CA4B01"/>
    <w:rsid w:val="00CA513E"/>
    <w:rsid w:val="00CA5427"/>
    <w:rsid w:val="00CA5B4F"/>
    <w:rsid w:val="00CA5F20"/>
    <w:rsid w:val="00CA7908"/>
    <w:rsid w:val="00CB07BE"/>
    <w:rsid w:val="00CB1494"/>
    <w:rsid w:val="00CB20C3"/>
    <w:rsid w:val="00CB25A0"/>
    <w:rsid w:val="00CB2EB1"/>
    <w:rsid w:val="00CB3429"/>
    <w:rsid w:val="00CB361E"/>
    <w:rsid w:val="00CB41B1"/>
    <w:rsid w:val="00CB4D3E"/>
    <w:rsid w:val="00CB5DF8"/>
    <w:rsid w:val="00CB62DC"/>
    <w:rsid w:val="00CB6C7E"/>
    <w:rsid w:val="00CC14CF"/>
    <w:rsid w:val="00CC382B"/>
    <w:rsid w:val="00CC3BDF"/>
    <w:rsid w:val="00CC3D9D"/>
    <w:rsid w:val="00CC4008"/>
    <w:rsid w:val="00CC4287"/>
    <w:rsid w:val="00CC60E0"/>
    <w:rsid w:val="00CC67B2"/>
    <w:rsid w:val="00CC7573"/>
    <w:rsid w:val="00CC764B"/>
    <w:rsid w:val="00CD03E0"/>
    <w:rsid w:val="00CD1CCF"/>
    <w:rsid w:val="00CD2CAC"/>
    <w:rsid w:val="00CD2DAF"/>
    <w:rsid w:val="00CD3241"/>
    <w:rsid w:val="00CD3404"/>
    <w:rsid w:val="00CD3934"/>
    <w:rsid w:val="00CD48E3"/>
    <w:rsid w:val="00CD54A3"/>
    <w:rsid w:val="00CD654D"/>
    <w:rsid w:val="00CD6600"/>
    <w:rsid w:val="00CD6C28"/>
    <w:rsid w:val="00CD7EFD"/>
    <w:rsid w:val="00CE043F"/>
    <w:rsid w:val="00CE1A63"/>
    <w:rsid w:val="00CE2515"/>
    <w:rsid w:val="00CE29BB"/>
    <w:rsid w:val="00CE5FDC"/>
    <w:rsid w:val="00CE62D1"/>
    <w:rsid w:val="00CE6D0D"/>
    <w:rsid w:val="00CE7479"/>
    <w:rsid w:val="00CE77B2"/>
    <w:rsid w:val="00CF104A"/>
    <w:rsid w:val="00CF1083"/>
    <w:rsid w:val="00CF1D87"/>
    <w:rsid w:val="00CF1ED2"/>
    <w:rsid w:val="00CF26E4"/>
    <w:rsid w:val="00CF30E5"/>
    <w:rsid w:val="00CF3BEF"/>
    <w:rsid w:val="00CF3F9C"/>
    <w:rsid w:val="00CF5385"/>
    <w:rsid w:val="00CF57CB"/>
    <w:rsid w:val="00CF7239"/>
    <w:rsid w:val="00CF7A37"/>
    <w:rsid w:val="00D02325"/>
    <w:rsid w:val="00D05725"/>
    <w:rsid w:val="00D05957"/>
    <w:rsid w:val="00D05964"/>
    <w:rsid w:val="00D05F2C"/>
    <w:rsid w:val="00D075DC"/>
    <w:rsid w:val="00D07B96"/>
    <w:rsid w:val="00D10197"/>
    <w:rsid w:val="00D10E01"/>
    <w:rsid w:val="00D11E5F"/>
    <w:rsid w:val="00D138D3"/>
    <w:rsid w:val="00D15AEE"/>
    <w:rsid w:val="00D16331"/>
    <w:rsid w:val="00D16FF3"/>
    <w:rsid w:val="00D17D19"/>
    <w:rsid w:val="00D2014A"/>
    <w:rsid w:val="00D215EC"/>
    <w:rsid w:val="00D21887"/>
    <w:rsid w:val="00D21F0A"/>
    <w:rsid w:val="00D22ADA"/>
    <w:rsid w:val="00D233A5"/>
    <w:rsid w:val="00D23EA6"/>
    <w:rsid w:val="00D2412B"/>
    <w:rsid w:val="00D242C7"/>
    <w:rsid w:val="00D24676"/>
    <w:rsid w:val="00D246DA"/>
    <w:rsid w:val="00D24E9E"/>
    <w:rsid w:val="00D255AF"/>
    <w:rsid w:val="00D2682C"/>
    <w:rsid w:val="00D26ABF"/>
    <w:rsid w:val="00D30D57"/>
    <w:rsid w:val="00D30F2F"/>
    <w:rsid w:val="00D325D4"/>
    <w:rsid w:val="00D32F46"/>
    <w:rsid w:val="00D33293"/>
    <w:rsid w:val="00D33FCB"/>
    <w:rsid w:val="00D34268"/>
    <w:rsid w:val="00D35480"/>
    <w:rsid w:val="00D35B95"/>
    <w:rsid w:val="00D35BF6"/>
    <w:rsid w:val="00D35E54"/>
    <w:rsid w:val="00D37B8B"/>
    <w:rsid w:val="00D37C4D"/>
    <w:rsid w:val="00D40043"/>
    <w:rsid w:val="00D40B6C"/>
    <w:rsid w:val="00D418BD"/>
    <w:rsid w:val="00D42B7F"/>
    <w:rsid w:val="00D4317B"/>
    <w:rsid w:val="00D43707"/>
    <w:rsid w:val="00D439CF"/>
    <w:rsid w:val="00D44FCB"/>
    <w:rsid w:val="00D4533A"/>
    <w:rsid w:val="00D45429"/>
    <w:rsid w:val="00D46003"/>
    <w:rsid w:val="00D4695C"/>
    <w:rsid w:val="00D46DC8"/>
    <w:rsid w:val="00D471E1"/>
    <w:rsid w:val="00D4722C"/>
    <w:rsid w:val="00D47617"/>
    <w:rsid w:val="00D5041C"/>
    <w:rsid w:val="00D507A0"/>
    <w:rsid w:val="00D5126D"/>
    <w:rsid w:val="00D512FB"/>
    <w:rsid w:val="00D5140F"/>
    <w:rsid w:val="00D515EB"/>
    <w:rsid w:val="00D51CFE"/>
    <w:rsid w:val="00D527A9"/>
    <w:rsid w:val="00D53027"/>
    <w:rsid w:val="00D5331A"/>
    <w:rsid w:val="00D53337"/>
    <w:rsid w:val="00D54BED"/>
    <w:rsid w:val="00D556D7"/>
    <w:rsid w:val="00D56393"/>
    <w:rsid w:val="00D57262"/>
    <w:rsid w:val="00D57824"/>
    <w:rsid w:val="00D57D95"/>
    <w:rsid w:val="00D60F26"/>
    <w:rsid w:val="00D61F0D"/>
    <w:rsid w:val="00D62862"/>
    <w:rsid w:val="00D6288A"/>
    <w:rsid w:val="00D62C5E"/>
    <w:rsid w:val="00D6351D"/>
    <w:rsid w:val="00D6358A"/>
    <w:rsid w:val="00D637BE"/>
    <w:rsid w:val="00D63A14"/>
    <w:rsid w:val="00D6431A"/>
    <w:rsid w:val="00D6474D"/>
    <w:rsid w:val="00D65225"/>
    <w:rsid w:val="00D6571D"/>
    <w:rsid w:val="00D6696C"/>
    <w:rsid w:val="00D67AC8"/>
    <w:rsid w:val="00D67EC3"/>
    <w:rsid w:val="00D7009E"/>
    <w:rsid w:val="00D70354"/>
    <w:rsid w:val="00D70A94"/>
    <w:rsid w:val="00D70C94"/>
    <w:rsid w:val="00D712FB"/>
    <w:rsid w:val="00D71A25"/>
    <w:rsid w:val="00D71F48"/>
    <w:rsid w:val="00D71FD1"/>
    <w:rsid w:val="00D728D8"/>
    <w:rsid w:val="00D72C69"/>
    <w:rsid w:val="00D73613"/>
    <w:rsid w:val="00D7406B"/>
    <w:rsid w:val="00D751D5"/>
    <w:rsid w:val="00D75FCC"/>
    <w:rsid w:val="00D772BF"/>
    <w:rsid w:val="00D80BA4"/>
    <w:rsid w:val="00D818FD"/>
    <w:rsid w:val="00D81A09"/>
    <w:rsid w:val="00D81C84"/>
    <w:rsid w:val="00D81E14"/>
    <w:rsid w:val="00D81F6F"/>
    <w:rsid w:val="00D820A7"/>
    <w:rsid w:val="00D82E26"/>
    <w:rsid w:val="00D8305D"/>
    <w:rsid w:val="00D836E6"/>
    <w:rsid w:val="00D8384D"/>
    <w:rsid w:val="00D84D71"/>
    <w:rsid w:val="00D8582F"/>
    <w:rsid w:val="00D865CF"/>
    <w:rsid w:val="00D86DB8"/>
    <w:rsid w:val="00D8723D"/>
    <w:rsid w:val="00D87916"/>
    <w:rsid w:val="00D902D8"/>
    <w:rsid w:val="00D90E69"/>
    <w:rsid w:val="00D9112E"/>
    <w:rsid w:val="00D93134"/>
    <w:rsid w:val="00D9329F"/>
    <w:rsid w:val="00D933CE"/>
    <w:rsid w:val="00D93CE6"/>
    <w:rsid w:val="00D96615"/>
    <w:rsid w:val="00D979BD"/>
    <w:rsid w:val="00D97D7E"/>
    <w:rsid w:val="00DA06A9"/>
    <w:rsid w:val="00DA2242"/>
    <w:rsid w:val="00DA2731"/>
    <w:rsid w:val="00DA31C2"/>
    <w:rsid w:val="00DA377E"/>
    <w:rsid w:val="00DA3923"/>
    <w:rsid w:val="00DA3A47"/>
    <w:rsid w:val="00DA435F"/>
    <w:rsid w:val="00DA4ADF"/>
    <w:rsid w:val="00DA4CE6"/>
    <w:rsid w:val="00DA4E9A"/>
    <w:rsid w:val="00DA5160"/>
    <w:rsid w:val="00DA6009"/>
    <w:rsid w:val="00DA605D"/>
    <w:rsid w:val="00DA6BFD"/>
    <w:rsid w:val="00DA6DF9"/>
    <w:rsid w:val="00DA73D6"/>
    <w:rsid w:val="00DA7621"/>
    <w:rsid w:val="00DA7A86"/>
    <w:rsid w:val="00DA7B3C"/>
    <w:rsid w:val="00DB0DBB"/>
    <w:rsid w:val="00DB0DCF"/>
    <w:rsid w:val="00DB15FB"/>
    <w:rsid w:val="00DB17E8"/>
    <w:rsid w:val="00DB1DA4"/>
    <w:rsid w:val="00DB206E"/>
    <w:rsid w:val="00DB23C4"/>
    <w:rsid w:val="00DB3A2E"/>
    <w:rsid w:val="00DB41DE"/>
    <w:rsid w:val="00DB4CBA"/>
    <w:rsid w:val="00DB4FDA"/>
    <w:rsid w:val="00DB57B4"/>
    <w:rsid w:val="00DB59B1"/>
    <w:rsid w:val="00DB5D36"/>
    <w:rsid w:val="00DB61C3"/>
    <w:rsid w:val="00DB61D4"/>
    <w:rsid w:val="00DB7EB5"/>
    <w:rsid w:val="00DC1D20"/>
    <w:rsid w:val="00DC2651"/>
    <w:rsid w:val="00DC2689"/>
    <w:rsid w:val="00DC2B40"/>
    <w:rsid w:val="00DC42DA"/>
    <w:rsid w:val="00DC4ED5"/>
    <w:rsid w:val="00DC548A"/>
    <w:rsid w:val="00DC5585"/>
    <w:rsid w:val="00DC635D"/>
    <w:rsid w:val="00DC6773"/>
    <w:rsid w:val="00DC6C3A"/>
    <w:rsid w:val="00DC6EB5"/>
    <w:rsid w:val="00DC7166"/>
    <w:rsid w:val="00DC767E"/>
    <w:rsid w:val="00DC76BA"/>
    <w:rsid w:val="00DC7E23"/>
    <w:rsid w:val="00DD05AF"/>
    <w:rsid w:val="00DD0847"/>
    <w:rsid w:val="00DD1AFE"/>
    <w:rsid w:val="00DD1D04"/>
    <w:rsid w:val="00DD351B"/>
    <w:rsid w:val="00DD351C"/>
    <w:rsid w:val="00DD3E16"/>
    <w:rsid w:val="00DD4D07"/>
    <w:rsid w:val="00DD57AF"/>
    <w:rsid w:val="00DD59A9"/>
    <w:rsid w:val="00DD6B9E"/>
    <w:rsid w:val="00DD70CC"/>
    <w:rsid w:val="00DD71A5"/>
    <w:rsid w:val="00DE0829"/>
    <w:rsid w:val="00DE12E8"/>
    <w:rsid w:val="00DE1623"/>
    <w:rsid w:val="00DE1AF6"/>
    <w:rsid w:val="00DE1C48"/>
    <w:rsid w:val="00DE1EDA"/>
    <w:rsid w:val="00DE2215"/>
    <w:rsid w:val="00DE284E"/>
    <w:rsid w:val="00DE29C9"/>
    <w:rsid w:val="00DE3DCC"/>
    <w:rsid w:val="00DE4666"/>
    <w:rsid w:val="00DE560D"/>
    <w:rsid w:val="00DE6CD7"/>
    <w:rsid w:val="00DE7C04"/>
    <w:rsid w:val="00DF0912"/>
    <w:rsid w:val="00DF0F6E"/>
    <w:rsid w:val="00DF2D7C"/>
    <w:rsid w:val="00DF2D89"/>
    <w:rsid w:val="00DF2F6C"/>
    <w:rsid w:val="00DF3FE9"/>
    <w:rsid w:val="00DF4B2F"/>
    <w:rsid w:val="00DF62C4"/>
    <w:rsid w:val="00DF64F9"/>
    <w:rsid w:val="00DF7476"/>
    <w:rsid w:val="00DF7C41"/>
    <w:rsid w:val="00DF7CD2"/>
    <w:rsid w:val="00DF7F64"/>
    <w:rsid w:val="00E00084"/>
    <w:rsid w:val="00E01A0A"/>
    <w:rsid w:val="00E01BF6"/>
    <w:rsid w:val="00E01EC2"/>
    <w:rsid w:val="00E022D7"/>
    <w:rsid w:val="00E024C7"/>
    <w:rsid w:val="00E02BC9"/>
    <w:rsid w:val="00E02C22"/>
    <w:rsid w:val="00E066C5"/>
    <w:rsid w:val="00E066E6"/>
    <w:rsid w:val="00E06E47"/>
    <w:rsid w:val="00E07697"/>
    <w:rsid w:val="00E076FF"/>
    <w:rsid w:val="00E1046C"/>
    <w:rsid w:val="00E10658"/>
    <w:rsid w:val="00E10670"/>
    <w:rsid w:val="00E11366"/>
    <w:rsid w:val="00E1176A"/>
    <w:rsid w:val="00E11F34"/>
    <w:rsid w:val="00E125ED"/>
    <w:rsid w:val="00E12BF0"/>
    <w:rsid w:val="00E12C91"/>
    <w:rsid w:val="00E135EE"/>
    <w:rsid w:val="00E13FF7"/>
    <w:rsid w:val="00E14D93"/>
    <w:rsid w:val="00E15C36"/>
    <w:rsid w:val="00E160A3"/>
    <w:rsid w:val="00E17AB3"/>
    <w:rsid w:val="00E17B1C"/>
    <w:rsid w:val="00E17E01"/>
    <w:rsid w:val="00E20AD1"/>
    <w:rsid w:val="00E21F50"/>
    <w:rsid w:val="00E22A1C"/>
    <w:rsid w:val="00E22B38"/>
    <w:rsid w:val="00E23CD5"/>
    <w:rsid w:val="00E251CF"/>
    <w:rsid w:val="00E25511"/>
    <w:rsid w:val="00E26104"/>
    <w:rsid w:val="00E267C3"/>
    <w:rsid w:val="00E26B12"/>
    <w:rsid w:val="00E30238"/>
    <w:rsid w:val="00E30C27"/>
    <w:rsid w:val="00E30EE3"/>
    <w:rsid w:val="00E32208"/>
    <w:rsid w:val="00E32DDC"/>
    <w:rsid w:val="00E34DCB"/>
    <w:rsid w:val="00E360EC"/>
    <w:rsid w:val="00E3672B"/>
    <w:rsid w:val="00E369F5"/>
    <w:rsid w:val="00E36D77"/>
    <w:rsid w:val="00E36E02"/>
    <w:rsid w:val="00E439AE"/>
    <w:rsid w:val="00E43B70"/>
    <w:rsid w:val="00E43D3D"/>
    <w:rsid w:val="00E43D4C"/>
    <w:rsid w:val="00E44733"/>
    <w:rsid w:val="00E448C8"/>
    <w:rsid w:val="00E44C50"/>
    <w:rsid w:val="00E45910"/>
    <w:rsid w:val="00E45F0C"/>
    <w:rsid w:val="00E469F8"/>
    <w:rsid w:val="00E4716B"/>
    <w:rsid w:val="00E471E3"/>
    <w:rsid w:val="00E47CBA"/>
    <w:rsid w:val="00E501FE"/>
    <w:rsid w:val="00E50280"/>
    <w:rsid w:val="00E51032"/>
    <w:rsid w:val="00E517DC"/>
    <w:rsid w:val="00E51F8D"/>
    <w:rsid w:val="00E525F8"/>
    <w:rsid w:val="00E52AEA"/>
    <w:rsid w:val="00E53D3E"/>
    <w:rsid w:val="00E54F24"/>
    <w:rsid w:val="00E55302"/>
    <w:rsid w:val="00E55ADF"/>
    <w:rsid w:val="00E560DD"/>
    <w:rsid w:val="00E565EA"/>
    <w:rsid w:val="00E56A7B"/>
    <w:rsid w:val="00E56CB7"/>
    <w:rsid w:val="00E57386"/>
    <w:rsid w:val="00E57862"/>
    <w:rsid w:val="00E57A5D"/>
    <w:rsid w:val="00E60085"/>
    <w:rsid w:val="00E601B5"/>
    <w:rsid w:val="00E608A7"/>
    <w:rsid w:val="00E614A3"/>
    <w:rsid w:val="00E628E5"/>
    <w:rsid w:val="00E62AFD"/>
    <w:rsid w:val="00E63055"/>
    <w:rsid w:val="00E63475"/>
    <w:rsid w:val="00E6400A"/>
    <w:rsid w:val="00E659D8"/>
    <w:rsid w:val="00E659EB"/>
    <w:rsid w:val="00E65F87"/>
    <w:rsid w:val="00E67EAC"/>
    <w:rsid w:val="00E71F12"/>
    <w:rsid w:val="00E72DE4"/>
    <w:rsid w:val="00E73BB8"/>
    <w:rsid w:val="00E745F0"/>
    <w:rsid w:val="00E74994"/>
    <w:rsid w:val="00E74B36"/>
    <w:rsid w:val="00E74D51"/>
    <w:rsid w:val="00E75B84"/>
    <w:rsid w:val="00E76684"/>
    <w:rsid w:val="00E768DA"/>
    <w:rsid w:val="00E800F2"/>
    <w:rsid w:val="00E8011A"/>
    <w:rsid w:val="00E81B49"/>
    <w:rsid w:val="00E81D8F"/>
    <w:rsid w:val="00E821CC"/>
    <w:rsid w:val="00E8516D"/>
    <w:rsid w:val="00E86367"/>
    <w:rsid w:val="00E8654B"/>
    <w:rsid w:val="00E87375"/>
    <w:rsid w:val="00E879DE"/>
    <w:rsid w:val="00E90409"/>
    <w:rsid w:val="00E90FD0"/>
    <w:rsid w:val="00E9101B"/>
    <w:rsid w:val="00E91682"/>
    <w:rsid w:val="00E92138"/>
    <w:rsid w:val="00E92142"/>
    <w:rsid w:val="00E925FA"/>
    <w:rsid w:val="00E92722"/>
    <w:rsid w:val="00E952DF"/>
    <w:rsid w:val="00E958BA"/>
    <w:rsid w:val="00E96211"/>
    <w:rsid w:val="00E96546"/>
    <w:rsid w:val="00E96F32"/>
    <w:rsid w:val="00E978BE"/>
    <w:rsid w:val="00E97C82"/>
    <w:rsid w:val="00EA028F"/>
    <w:rsid w:val="00EA02D0"/>
    <w:rsid w:val="00EA034C"/>
    <w:rsid w:val="00EA1483"/>
    <w:rsid w:val="00EA17F2"/>
    <w:rsid w:val="00EA2393"/>
    <w:rsid w:val="00EA23D2"/>
    <w:rsid w:val="00EA2ABA"/>
    <w:rsid w:val="00EA2DCE"/>
    <w:rsid w:val="00EA31EA"/>
    <w:rsid w:val="00EA455C"/>
    <w:rsid w:val="00EA667C"/>
    <w:rsid w:val="00EA6F82"/>
    <w:rsid w:val="00EA75E4"/>
    <w:rsid w:val="00EA7956"/>
    <w:rsid w:val="00EA7DA2"/>
    <w:rsid w:val="00EA7FF0"/>
    <w:rsid w:val="00EB1B1A"/>
    <w:rsid w:val="00EB1F0E"/>
    <w:rsid w:val="00EB1F6D"/>
    <w:rsid w:val="00EB25A4"/>
    <w:rsid w:val="00EB3DA9"/>
    <w:rsid w:val="00EB6119"/>
    <w:rsid w:val="00EB792F"/>
    <w:rsid w:val="00EB7A3E"/>
    <w:rsid w:val="00EC01BF"/>
    <w:rsid w:val="00EC10B8"/>
    <w:rsid w:val="00EC1AC9"/>
    <w:rsid w:val="00EC2440"/>
    <w:rsid w:val="00EC283E"/>
    <w:rsid w:val="00EC3DDB"/>
    <w:rsid w:val="00EC3E82"/>
    <w:rsid w:val="00EC3FDF"/>
    <w:rsid w:val="00EC4649"/>
    <w:rsid w:val="00EC4D70"/>
    <w:rsid w:val="00EC4F0D"/>
    <w:rsid w:val="00EC5108"/>
    <w:rsid w:val="00EC56B7"/>
    <w:rsid w:val="00EC5AD2"/>
    <w:rsid w:val="00EC5CE7"/>
    <w:rsid w:val="00EC6901"/>
    <w:rsid w:val="00EC7C97"/>
    <w:rsid w:val="00ED034E"/>
    <w:rsid w:val="00ED063F"/>
    <w:rsid w:val="00ED0687"/>
    <w:rsid w:val="00ED0AE9"/>
    <w:rsid w:val="00ED168E"/>
    <w:rsid w:val="00ED1BFF"/>
    <w:rsid w:val="00ED2E1A"/>
    <w:rsid w:val="00ED4EEB"/>
    <w:rsid w:val="00ED5322"/>
    <w:rsid w:val="00ED65FE"/>
    <w:rsid w:val="00ED665B"/>
    <w:rsid w:val="00ED743A"/>
    <w:rsid w:val="00EE00C6"/>
    <w:rsid w:val="00EE0BE7"/>
    <w:rsid w:val="00EE0E31"/>
    <w:rsid w:val="00EE1916"/>
    <w:rsid w:val="00EE35FD"/>
    <w:rsid w:val="00EE4521"/>
    <w:rsid w:val="00EE5590"/>
    <w:rsid w:val="00EE59E7"/>
    <w:rsid w:val="00EE697C"/>
    <w:rsid w:val="00EE6CA7"/>
    <w:rsid w:val="00EE777F"/>
    <w:rsid w:val="00EE7D02"/>
    <w:rsid w:val="00EF0DC2"/>
    <w:rsid w:val="00EF16DB"/>
    <w:rsid w:val="00EF1946"/>
    <w:rsid w:val="00EF3105"/>
    <w:rsid w:val="00EF38CE"/>
    <w:rsid w:val="00EF399D"/>
    <w:rsid w:val="00EF4614"/>
    <w:rsid w:val="00EF4922"/>
    <w:rsid w:val="00EF4FCA"/>
    <w:rsid w:val="00EF5AD8"/>
    <w:rsid w:val="00EF6849"/>
    <w:rsid w:val="00EF72B8"/>
    <w:rsid w:val="00EF7B43"/>
    <w:rsid w:val="00EF7D0B"/>
    <w:rsid w:val="00F01417"/>
    <w:rsid w:val="00F01E50"/>
    <w:rsid w:val="00F0249F"/>
    <w:rsid w:val="00F024B6"/>
    <w:rsid w:val="00F02BC4"/>
    <w:rsid w:val="00F02D80"/>
    <w:rsid w:val="00F03E39"/>
    <w:rsid w:val="00F04013"/>
    <w:rsid w:val="00F04378"/>
    <w:rsid w:val="00F04388"/>
    <w:rsid w:val="00F04424"/>
    <w:rsid w:val="00F04B64"/>
    <w:rsid w:val="00F108F3"/>
    <w:rsid w:val="00F112C0"/>
    <w:rsid w:val="00F13D14"/>
    <w:rsid w:val="00F14A84"/>
    <w:rsid w:val="00F14AB8"/>
    <w:rsid w:val="00F15233"/>
    <w:rsid w:val="00F17772"/>
    <w:rsid w:val="00F17B5E"/>
    <w:rsid w:val="00F17BA7"/>
    <w:rsid w:val="00F20083"/>
    <w:rsid w:val="00F21118"/>
    <w:rsid w:val="00F212E1"/>
    <w:rsid w:val="00F22394"/>
    <w:rsid w:val="00F227B8"/>
    <w:rsid w:val="00F22E59"/>
    <w:rsid w:val="00F25B8F"/>
    <w:rsid w:val="00F267FF"/>
    <w:rsid w:val="00F27211"/>
    <w:rsid w:val="00F27616"/>
    <w:rsid w:val="00F2771D"/>
    <w:rsid w:val="00F278A5"/>
    <w:rsid w:val="00F27977"/>
    <w:rsid w:val="00F27B06"/>
    <w:rsid w:val="00F32734"/>
    <w:rsid w:val="00F32957"/>
    <w:rsid w:val="00F32A13"/>
    <w:rsid w:val="00F33EF2"/>
    <w:rsid w:val="00F36A38"/>
    <w:rsid w:val="00F37874"/>
    <w:rsid w:val="00F37CB5"/>
    <w:rsid w:val="00F40F7C"/>
    <w:rsid w:val="00F41C27"/>
    <w:rsid w:val="00F424CC"/>
    <w:rsid w:val="00F42D02"/>
    <w:rsid w:val="00F43BD1"/>
    <w:rsid w:val="00F441BC"/>
    <w:rsid w:val="00F442FF"/>
    <w:rsid w:val="00F4430B"/>
    <w:rsid w:val="00F44F75"/>
    <w:rsid w:val="00F4643B"/>
    <w:rsid w:val="00F46C01"/>
    <w:rsid w:val="00F46D06"/>
    <w:rsid w:val="00F47485"/>
    <w:rsid w:val="00F4779B"/>
    <w:rsid w:val="00F47D15"/>
    <w:rsid w:val="00F50F22"/>
    <w:rsid w:val="00F52407"/>
    <w:rsid w:val="00F524F0"/>
    <w:rsid w:val="00F52F3C"/>
    <w:rsid w:val="00F53B67"/>
    <w:rsid w:val="00F54A57"/>
    <w:rsid w:val="00F55755"/>
    <w:rsid w:val="00F55F90"/>
    <w:rsid w:val="00F56BD2"/>
    <w:rsid w:val="00F5743A"/>
    <w:rsid w:val="00F6080B"/>
    <w:rsid w:val="00F62247"/>
    <w:rsid w:val="00F63CCB"/>
    <w:rsid w:val="00F63D5A"/>
    <w:rsid w:val="00F640C6"/>
    <w:rsid w:val="00F65F2C"/>
    <w:rsid w:val="00F67020"/>
    <w:rsid w:val="00F6789D"/>
    <w:rsid w:val="00F679E1"/>
    <w:rsid w:val="00F70335"/>
    <w:rsid w:val="00F70AFF"/>
    <w:rsid w:val="00F70F7C"/>
    <w:rsid w:val="00F7183A"/>
    <w:rsid w:val="00F724B2"/>
    <w:rsid w:val="00F742ED"/>
    <w:rsid w:val="00F74FE5"/>
    <w:rsid w:val="00F75D2E"/>
    <w:rsid w:val="00F75F3C"/>
    <w:rsid w:val="00F76DF3"/>
    <w:rsid w:val="00F77285"/>
    <w:rsid w:val="00F80217"/>
    <w:rsid w:val="00F80535"/>
    <w:rsid w:val="00F810C8"/>
    <w:rsid w:val="00F818AD"/>
    <w:rsid w:val="00F81DF2"/>
    <w:rsid w:val="00F82AEA"/>
    <w:rsid w:val="00F84F62"/>
    <w:rsid w:val="00F853AD"/>
    <w:rsid w:val="00F857B8"/>
    <w:rsid w:val="00F85ECC"/>
    <w:rsid w:val="00F85F7A"/>
    <w:rsid w:val="00F86468"/>
    <w:rsid w:val="00F86759"/>
    <w:rsid w:val="00F86977"/>
    <w:rsid w:val="00F86B8B"/>
    <w:rsid w:val="00F86CBE"/>
    <w:rsid w:val="00F873A0"/>
    <w:rsid w:val="00F876C4"/>
    <w:rsid w:val="00F9004C"/>
    <w:rsid w:val="00F90B6E"/>
    <w:rsid w:val="00F91EBC"/>
    <w:rsid w:val="00F92419"/>
    <w:rsid w:val="00F925BA"/>
    <w:rsid w:val="00F93C91"/>
    <w:rsid w:val="00F93FDA"/>
    <w:rsid w:val="00F940FE"/>
    <w:rsid w:val="00F95731"/>
    <w:rsid w:val="00F972B0"/>
    <w:rsid w:val="00F9735C"/>
    <w:rsid w:val="00FA0B7D"/>
    <w:rsid w:val="00FA1789"/>
    <w:rsid w:val="00FA18D2"/>
    <w:rsid w:val="00FA20C4"/>
    <w:rsid w:val="00FA2636"/>
    <w:rsid w:val="00FA2787"/>
    <w:rsid w:val="00FA2DB5"/>
    <w:rsid w:val="00FA4170"/>
    <w:rsid w:val="00FA41D0"/>
    <w:rsid w:val="00FA4212"/>
    <w:rsid w:val="00FA5AD6"/>
    <w:rsid w:val="00FA5F37"/>
    <w:rsid w:val="00FA6BCB"/>
    <w:rsid w:val="00FA6BF9"/>
    <w:rsid w:val="00FA79E6"/>
    <w:rsid w:val="00FB0250"/>
    <w:rsid w:val="00FB05A8"/>
    <w:rsid w:val="00FB08AF"/>
    <w:rsid w:val="00FB0CBD"/>
    <w:rsid w:val="00FB129B"/>
    <w:rsid w:val="00FB2BF3"/>
    <w:rsid w:val="00FB32C1"/>
    <w:rsid w:val="00FB32DD"/>
    <w:rsid w:val="00FB3311"/>
    <w:rsid w:val="00FB3F66"/>
    <w:rsid w:val="00FB4758"/>
    <w:rsid w:val="00FB4827"/>
    <w:rsid w:val="00FB5708"/>
    <w:rsid w:val="00FB5C54"/>
    <w:rsid w:val="00FB643A"/>
    <w:rsid w:val="00FB6DC9"/>
    <w:rsid w:val="00FB7BB4"/>
    <w:rsid w:val="00FB7BEE"/>
    <w:rsid w:val="00FC066F"/>
    <w:rsid w:val="00FC0B1F"/>
    <w:rsid w:val="00FC0B50"/>
    <w:rsid w:val="00FC12A6"/>
    <w:rsid w:val="00FC15F8"/>
    <w:rsid w:val="00FC1715"/>
    <w:rsid w:val="00FC2A0E"/>
    <w:rsid w:val="00FC4657"/>
    <w:rsid w:val="00FC54A9"/>
    <w:rsid w:val="00FC5980"/>
    <w:rsid w:val="00FC5AC2"/>
    <w:rsid w:val="00FD10D0"/>
    <w:rsid w:val="00FD1287"/>
    <w:rsid w:val="00FD1383"/>
    <w:rsid w:val="00FD1BC9"/>
    <w:rsid w:val="00FD1DCA"/>
    <w:rsid w:val="00FD21BD"/>
    <w:rsid w:val="00FD3427"/>
    <w:rsid w:val="00FD4B7B"/>
    <w:rsid w:val="00FD5557"/>
    <w:rsid w:val="00FD5E87"/>
    <w:rsid w:val="00FD6122"/>
    <w:rsid w:val="00FD7248"/>
    <w:rsid w:val="00FE02DB"/>
    <w:rsid w:val="00FE05F1"/>
    <w:rsid w:val="00FE06D7"/>
    <w:rsid w:val="00FE2201"/>
    <w:rsid w:val="00FE2332"/>
    <w:rsid w:val="00FE2574"/>
    <w:rsid w:val="00FE26E1"/>
    <w:rsid w:val="00FE2705"/>
    <w:rsid w:val="00FE2BC6"/>
    <w:rsid w:val="00FE3D03"/>
    <w:rsid w:val="00FE406A"/>
    <w:rsid w:val="00FE500A"/>
    <w:rsid w:val="00FE515E"/>
    <w:rsid w:val="00FE5597"/>
    <w:rsid w:val="00FE5F2A"/>
    <w:rsid w:val="00FE685B"/>
    <w:rsid w:val="00FE7B0E"/>
    <w:rsid w:val="00FE7FF8"/>
    <w:rsid w:val="00FF0642"/>
    <w:rsid w:val="00FF09D7"/>
    <w:rsid w:val="00FF0D5E"/>
    <w:rsid w:val="00FF162B"/>
    <w:rsid w:val="00FF1A18"/>
    <w:rsid w:val="00FF1A86"/>
    <w:rsid w:val="00FF1C12"/>
    <w:rsid w:val="00FF21BA"/>
    <w:rsid w:val="00FF32D2"/>
    <w:rsid w:val="00FF4803"/>
    <w:rsid w:val="00FF5E76"/>
    <w:rsid w:val="00FF5FA3"/>
    <w:rsid w:val="00FF661E"/>
    <w:rsid w:val="00FF6786"/>
    <w:rsid w:val="00FF6C18"/>
    <w:rsid w:val="00FF6C6E"/>
    <w:rsid w:val="00FF6F6D"/>
    <w:rsid w:val="00FF71A8"/>
    <w:rsid w:val="00FF76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8E41289"/>
  <w15:chartTrackingRefBased/>
  <w15:docId w15:val="{C9810127-A5E4-4750-B364-4858CA988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宋体"/>
        <w:sz w:val="22"/>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911A4"/>
  </w:style>
  <w:style w:type="paragraph" w:styleId="1">
    <w:name w:val="heading 1"/>
    <w:basedOn w:val="a"/>
    <w:next w:val="a0"/>
    <w:link w:val="10"/>
    <w:qFormat/>
    <w:rsid w:val="00D35B95"/>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DO NOT USE_h2,h2,h21,2,Header 2,Header2,22,heading2,H2,2nd level,UNDERRUBRIK 1-2,H21,H22,H23,H24,H25,R2,E2,†berschrift 2,õberschrift 2,Head2A"/>
    <w:basedOn w:val="a"/>
    <w:next w:val="a0"/>
    <w:link w:val="20"/>
    <w:qFormat/>
    <w:rsid w:val="00D35B95"/>
    <w:pPr>
      <w:keepNext/>
      <w:spacing w:before="240" w:after="60"/>
      <w:outlineLvl w:val="1"/>
    </w:pPr>
    <w:rPr>
      <w:rFonts w:ascii="Helvetica" w:eastAsia="MS Mincho" w:hAnsi="Helvetica" w:cs="Arial"/>
      <w:bCs/>
      <w:iCs/>
      <w:sz w:val="24"/>
      <w:szCs w:val="28"/>
    </w:rPr>
  </w:style>
  <w:style w:type="paragraph" w:styleId="3">
    <w:name w:val="heading 3"/>
    <w:basedOn w:val="a"/>
    <w:next w:val="a"/>
    <w:link w:val="30"/>
    <w:qFormat/>
    <w:rsid w:val="00D35B95"/>
    <w:pPr>
      <w:keepNext/>
      <w:numPr>
        <w:ilvl w:val="2"/>
        <w:numId w:val="1"/>
      </w:numPr>
      <w:spacing w:before="240" w:after="60"/>
      <w:outlineLvl w:val="2"/>
    </w:pPr>
    <w:rPr>
      <w:rFonts w:ascii="Arial" w:eastAsia="MS Mincho" w:hAnsi="Arial" w:cs="Arial"/>
      <w:bCs/>
      <w:szCs w:val="26"/>
    </w:rPr>
  </w:style>
  <w:style w:type="paragraph" w:styleId="4">
    <w:name w:val="heading 4"/>
    <w:basedOn w:val="a"/>
    <w:next w:val="a"/>
    <w:link w:val="40"/>
    <w:qFormat/>
    <w:rsid w:val="00D35B95"/>
    <w:pPr>
      <w:keepNext/>
      <w:numPr>
        <w:ilvl w:val="3"/>
        <w:numId w:val="1"/>
      </w:numPr>
      <w:spacing w:before="240" w:after="60"/>
      <w:outlineLvl w:val="3"/>
    </w:pPr>
    <w:rPr>
      <w:rFonts w:eastAsia="MS Mincho"/>
      <w:bCs/>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qFormat/>
    <w:rsid w:val="00D35B95"/>
    <w:rPr>
      <w:rFonts w:ascii="Helvetica" w:eastAsia="MS Mincho" w:hAnsi="Helvetica" w:cs="Arial"/>
      <w:bCs/>
      <w:kern w:val="32"/>
      <w:sz w:val="28"/>
      <w:szCs w:val="32"/>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1"/>
    <w:link w:val="2"/>
    <w:rsid w:val="00D35B95"/>
    <w:rPr>
      <w:rFonts w:ascii="Helvetica" w:eastAsia="MS Mincho" w:hAnsi="Helvetica" w:cs="Arial"/>
      <w:bCs/>
      <w:iCs/>
      <w:kern w:val="0"/>
      <w:sz w:val="24"/>
      <w:szCs w:val="28"/>
      <w:lang w:eastAsia="en-US"/>
    </w:rPr>
  </w:style>
  <w:style w:type="character" w:customStyle="1" w:styleId="30">
    <w:name w:val="标题 3 字符"/>
    <w:basedOn w:val="a1"/>
    <w:link w:val="3"/>
    <w:rsid w:val="00D35B95"/>
    <w:rPr>
      <w:rFonts w:ascii="Arial" w:eastAsia="MS Mincho" w:hAnsi="Arial" w:cs="Arial"/>
      <w:bCs/>
      <w:szCs w:val="26"/>
    </w:rPr>
  </w:style>
  <w:style w:type="character" w:customStyle="1" w:styleId="40">
    <w:name w:val="标题 4 字符"/>
    <w:basedOn w:val="a1"/>
    <w:link w:val="4"/>
    <w:rsid w:val="00D35B95"/>
    <w:rPr>
      <w:rFonts w:eastAsia="MS Mincho"/>
      <w:bCs/>
      <w:szCs w:val="28"/>
    </w:rPr>
  </w:style>
  <w:style w:type="paragraph" w:styleId="a0">
    <w:name w:val="Body Text"/>
    <w:basedOn w:val="a"/>
    <w:link w:val="a4"/>
    <w:uiPriority w:val="99"/>
    <w:unhideWhenUsed/>
    <w:rsid w:val="00D35B95"/>
    <w:pPr>
      <w:spacing w:after="120"/>
    </w:pPr>
  </w:style>
  <w:style w:type="character" w:customStyle="1" w:styleId="a4">
    <w:name w:val="正文文本 字符"/>
    <w:basedOn w:val="a1"/>
    <w:link w:val="a0"/>
    <w:uiPriority w:val="99"/>
    <w:rsid w:val="00D35B95"/>
    <w:rPr>
      <w:rFonts w:ascii="Times New Roman" w:eastAsia="Times New Roman" w:hAnsi="Times New Roman" w:cs="Times New Roman"/>
      <w:kern w:val="0"/>
      <w:sz w:val="20"/>
      <w:szCs w:val="24"/>
      <w:lang w:eastAsia="en-US"/>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条目"/>
    <w:basedOn w:val="a"/>
    <w:next w:val="a"/>
    <w:link w:val="a6"/>
    <w:unhideWhenUsed/>
    <w:qFormat/>
    <w:rsid w:val="001B7318"/>
    <w:rPr>
      <w:rFonts w:asciiTheme="majorHAnsi" w:eastAsia="黑体" w:hAnsiTheme="majorHAnsi" w:cstheme="majorBidi"/>
      <w:szCs w:val="20"/>
    </w:rPr>
  </w:style>
  <w:style w:type="character" w:customStyle="1" w:styleId="a6">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1"/>
    <w:link w:val="a5"/>
    <w:qFormat/>
    <w:rsid w:val="001B7318"/>
    <w:rPr>
      <w:rFonts w:asciiTheme="majorHAnsi" w:eastAsia="黑体" w:hAnsiTheme="majorHAnsi" w:cstheme="majorBidi"/>
      <w:kern w:val="0"/>
      <w:sz w:val="20"/>
      <w:szCs w:val="20"/>
      <w:lang w:eastAsia="en-US"/>
    </w:rPr>
  </w:style>
  <w:style w:type="paragraph" w:customStyle="1" w:styleId="Style2">
    <w:name w:val="Style2"/>
    <w:basedOn w:val="a5"/>
    <w:qFormat/>
    <w:rsid w:val="001B7318"/>
    <w:pPr>
      <w:numPr>
        <w:numId w:val="2"/>
      </w:numPr>
      <w:tabs>
        <w:tab w:val="num" w:pos="360"/>
      </w:tabs>
      <w:spacing w:before="120" w:after="120"/>
      <w:ind w:left="0" w:firstLine="0"/>
    </w:pPr>
    <w:rPr>
      <w:rFonts w:ascii="Times New Roman" w:hAnsi="Times New Roman" w:cs="Times New Roman"/>
      <w:b/>
      <w:i/>
      <w:szCs w:val="22"/>
    </w:rPr>
  </w:style>
  <w:style w:type="character" w:styleId="a7">
    <w:name w:val="annotation reference"/>
    <w:uiPriority w:val="99"/>
    <w:qFormat/>
    <w:rsid w:val="000C3935"/>
    <w:rPr>
      <w:kern w:val="2"/>
      <w:sz w:val="21"/>
      <w:szCs w:val="21"/>
      <w:lang w:val="en-GB" w:eastAsia="zh-CN" w:bidi="ar-SA"/>
    </w:rPr>
  </w:style>
  <w:style w:type="paragraph" w:styleId="a8">
    <w:name w:val="annotation text"/>
    <w:basedOn w:val="a"/>
    <w:link w:val="a9"/>
    <w:uiPriority w:val="99"/>
    <w:qFormat/>
    <w:rsid w:val="000C3935"/>
    <w:pPr>
      <w:autoSpaceDE w:val="0"/>
      <w:autoSpaceDN w:val="0"/>
      <w:adjustRightInd w:val="0"/>
      <w:snapToGrid w:val="0"/>
      <w:spacing w:after="120"/>
    </w:pPr>
    <w:rPr>
      <w:rFonts w:eastAsiaTheme="minorEastAsia"/>
    </w:rPr>
  </w:style>
  <w:style w:type="character" w:customStyle="1" w:styleId="a9">
    <w:name w:val="批注文字 字符"/>
    <w:basedOn w:val="a1"/>
    <w:link w:val="a8"/>
    <w:uiPriority w:val="99"/>
    <w:qFormat/>
    <w:rsid w:val="000C3935"/>
    <w:rPr>
      <w:rFonts w:ascii="Times New Roman" w:hAnsi="Times New Roman" w:cs="Times New Roman"/>
      <w:kern w:val="0"/>
      <w:sz w:val="22"/>
      <w:lang w:eastAsia="en-US"/>
    </w:rPr>
  </w:style>
  <w:style w:type="paragraph" w:styleId="aa">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Task Body"/>
    <w:basedOn w:val="a"/>
    <w:link w:val="11"/>
    <w:uiPriority w:val="34"/>
    <w:qFormat/>
    <w:rsid w:val="000C3935"/>
    <w:pPr>
      <w:ind w:left="720"/>
    </w:pPr>
    <w:rPr>
      <w:rFonts w:ascii="Calibri" w:eastAsiaTheme="minorEastAsia" w:hAnsi="Calibri" w:cs="Calibri"/>
    </w:rPr>
  </w:style>
  <w:style w:type="character" w:customStyle="1" w:styleId="11">
    <w:name w:val="列表段落 字符1"/>
    <w:aliases w:val="- Bullets 字符1,목록 단락 字符,リスト段落 字符1,?? ?? 字符1,????? 字符1,???? 字符1,Lista1 字符1,中等深浅网格 1 - 着色 21 字符1,列出段落1 字符1,¥¡¡¡¡ì¬º¥¹¥È¶ÎÂä 字符1,ÁÐ³ö¶ÎÂä 字符1,列表段落1 字符1,—ño’i—Ž 字符1,¥ê¥¹¥È¶ÎÂä 字符1,1st level - Bullet List Paragraph 字符1,Lettre d'introduction 字符1,列 字符"/>
    <w:link w:val="aa"/>
    <w:uiPriority w:val="34"/>
    <w:qFormat/>
    <w:rsid w:val="000C3935"/>
    <w:rPr>
      <w:rFonts w:ascii="Calibri" w:hAnsi="Calibri" w:cs="Calibri"/>
      <w:kern w:val="0"/>
      <w:sz w:val="22"/>
    </w:rPr>
  </w:style>
  <w:style w:type="paragraph" w:styleId="ab">
    <w:name w:val="Balloon Text"/>
    <w:basedOn w:val="a"/>
    <w:link w:val="ac"/>
    <w:uiPriority w:val="99"/>
    <w:semiHidden/>
    <w:unhideWhenUsed/>
    <w:rsid w:val="000C3935"/>
    <w:rPr>
      <w:sz w:val="18"/>
      <w:szCs w:val="18"/>
    </w:rPr>
  </w:style>
  <w:style w:type="character" w:customStyle="1" w:styleId="ac">
    <w:name w:val="批注框文本 字符"/>
    <w:basedOn w:val="a1"/>
    <w:link w:val="ab"/>
    <w:uiPriority w:val="99"/>
    <w:semiHidden/>
    <w:rsid w:val="000C3935"/>
    <w:rPr>
      <w:rFonts w:ascii="Times New Roman" w:eastAsia="Times New Roman" w:hAnsi="Times New Roman" w:cs="Times New Roman"/>
      <w:kern w:val="0"/>
      <w:sz w:val="18"/>
      <w:szCs w:val="18"/>
      <w:lang w:eastAsia="en-US"/>
    </w:rPr>
  </w:style>
  <w:style w:type="character" w:customStyle="1" w:styleId="ad">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uiPriority w:val="34"/>
    <w:qFormat/>
    <w:locked/>
    <w:rsid w:val="00DD351C"/>
    <w:rPr>
      <w:rFonts w:ascii="Times New Roman" w:eastAsia="Times New Roman" w:hAnsi="Times New Roman" w:cs="Times New Roman"/>
      <w:sz w:val="20"/>
      <w:szCs w:val="24"/>
      <w:lang w:eastAsia="en-US"/>
    </w:rPr>
  </w:style>
  <w:style w:type="table" w:styleId="ae">
    <w:name w:val="Table Grid"/>
    <w:aliases w:val="TableGrid"/>
    <w:basedOn w:val="a2"/>
    <w:uiPriority w:val="39"/>
    <w:qFormat/>
    <w:rsid w:val="00D26A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header"/>
    <w:basedOn w:val="a"/>
    <w:link w:val="af0"/>
    <w:uiPriority w:val="99"/>
    <w:unhideWhenUsed/>
    <w:rsid w:val="00274D37"/>
    <w:pPr>
      <w:pBdr>
        <w:bottom w:val="single" w:sz="6" w:space="1" w:color="auto"/>
      </w:pBdr>
      <w:tabs>
        <w:tab w:val="center" w:pos="4153"/>
        <w:tab w:val="right" w:pos="8306"/>
      </w:tabs>
      <w:snapToGrid w:val="0"/>
      <w:jc w:val="center"/>
    </w:pPr>
    <w:rPr>
      <w:sz w:val="18"/>
      <w:szCs w:val="18"/>
    </w:rPr>
  </w:style>
  <w:style w:type="character" w:customStyle="1" w:styleId="af0">
    <w:name w:val="页眉 字符"/>
    <w:basedOn w:val="a1"/>
    <w:link w:val="af"/>
    <w:uiPriority w:val="99"/>
    <w:rsid w:val="00274D37"/>
    <w:rPr>
      <w:rFonts w:ascii="Times New Roman" w:eastAsia="Times New Roman" w:hAnsi="Times New Roman" w:cs="Times New Roman"/>
      <w:kern w:val="0"/>
      <w:sz w:val="18"/>
      <w:szCs w:val="18"/>
      <w:lang w:eastAsia="en-US"/>
    </w:rPr>
  </w:style>
  <w:style w:type="paragraph" w:styleId="af1">
    <w:name w:val="footer"/>
    <w:basedOn w:val="a"/>
    <w:link w:val="af2"/>
    <w:unhideWhenUsed/>
    <w:qFormat/>
    <w:rsid w:val="00274D37"/>
    <w:pPr>
      <w:tabs>
        <w:tab w:val="center" w:pos="4153"/>
        <w:tab w:val="right" w:pos="8306"/>
      </w:tabs>
      <w:snapToGrid w:val="0"/>
    </w:pPr>
    <w:rPr>
      <w:sz w:val="18"/>
      <w:szCs w:val="18"/>
    </w:rPr>
  </w:style>
  <w:style w:type="character" w:customStyle="1" w:styleId="af2">
    <w:name w:val="页脚 字符"/>
    <w:basedOn w:val="a1"/>
    <w:link w:val="af1"/>
    <w:qFormat/>
    <w:rsid w:val="00274D37"/>
    <w:rPr>
      <w:rFonts w:ascii="Times New Roman" w:eastAsia="Times New Roman" w:hAnsi="Times New Roman" w:cs="Times New Roman"/>
      <w:kern w:val="0"/>
      <w:sz w:val="18"/>
      <w:szCs w:val="18"/>
      <w:lang w:eastAsia="en-US"/>
    </w:rPr>
  </w:style>
  <w:style w:type="paragraph" w:styleId="af3">
    <w:name w:val="Document Map"/>
    <w:basedOn w:val="a"/>
    <w:link w:val="af4"/>
    <w:uiPriority w:val="99"/>
    <w:semiHidden/>
    <w:unhideWhenUsed/>
    <w:qFormat/>
    <w:rsid w:val="00340293"/>
    <w:rPr>
      <w:rFonts w:ascii="宋体"/>
      <w:sz w:val="18"/>
      <w:szCs w:val="18"/>
    </w:rPr>
  </w:style>
  <w:style w:type="character" w:customStyle="1" w:styleId="af4">
    <w:name w:val="文档结构图 字符"/>
    <w:basedOn w:val="a1"/>
    <w:link w:val="af3"/>
    <w:uiPriority w:val="99"/>
    <w:semiHidden/>
    <w:qFormat/>
    <w:rsid w:val="00340293"/>
    <w:rPr>
      <w:rFonts w:ascii="宋体" w:eastAsia="宋体" w:hAnsi="Times New Roman" w:cs="Times New Roman"/>
      <w:kern w:val="0"/>
      <w:sz w:val="18"/>
      <w:szCs w:val="18"/>
      <w:lang w:eastAsia="en-US"/>
    </w:rPr>
  </w:style>
  <w:style w:type="paragraph" w:customStyle="1" w:styleId="Style1">
    <w:name w:val="Style1"/>
    <w:basedOn w:val="a5"/>
    <w:link w:val="Style1Char"/>
    <w:qFormat/>
    <w:rsid w:val="00370E7D"/>
    <w:pPr>
      <w:spacing w:before="120" w:after="120"/>
      <w:ind w:left="360" w:hanging="360"/>
    </w:pPr>
    <w:rPr>
      <w:rFonts w:ascii="Times New Roman" w:eastAsia="Times New Roman" w:hAnsi="Times New Roman" w:cs="Times New Roman"/>
      <w:b/>
      <w:i/>
      <w:color w:val="000000" w:themeColor="text1"/>
    </w:rPr>
  </w:style>
  <w:style w:type="character" w:customStyle="1" w:styleId="Style1Char">
    <w:name w:val="Style1 Char"/>
    <w:basedOn w:val="a6"/>
    <w:link w:val="Style1"/>
    <w:rsid w:val="00370E7D"/>
    <w:rPr>
      <w:rFonts w:ascii="Times New Roman" w:eastAsia="Times New Roman" w:hAnsi="Times New Roman" w:cs="Times New Roman"/>
      <w:b/>
      <w:i/>
      <w:color w:val="000000" w:themeColor="text1"/>
      <w:kern w:val="0"/>
      <w:sz w:val="22"/>
      <w:szCs w:val="20"/>
      <w:lang w:eastAsia="en-US"/>
    </w:rPr>
  </w:style>
  <w:style w:type="paragraph" w:customStyle="1" w:styleId="References">
    <w:name w:val="References"/>
    <w:basedOn w:val="a"/>
    <w:next w:val="a"/>
    <w:rsid w:val="002A08F3"/>
    <w:pPr>
      <w:autoSpaceDE w:val="0"/>
      <w:autoSpaceDN w:val="0"/>
      <w:snapToGrid w:val="0"/>
      <w:spacing w:after="60"/>
    </w:pPr>
    <w:rPr>
      <w:rFonts w:eastAsiaTheme="minorEastAsia"/>
      <w:szCs w:val="16"/>
    </w:rPr>
  </w:style>
  <w:style w:type="paragraph" w:styleId="af5">
    <w:name w:val="annotation subject"/>
    <w:basedOn w:val="a8"/>
    <w:next w:val="a8"/>
    <w:link w:val="af6"/>
    <w:uiPriority w:val="99"/>
    <w:semiHidden/>
    <w:unhideWhenUsed/>
    <w:rsid w:val="00687BE7"/>
    <w:pPr>
      <w:autoSpaceDE/>
      <w:autoSpaceDN/>
      <w:adjustRightInd/>
      <w:snapToGrid/>
      <w:spacing w:after="0"/>
    </w:pPr>
    <w:rPr>
      <w:rFonts w:eastAsia="宋体"/>
      <w:b/>
      <w:bCs/>
    </w:rPr>
  </w:style>
  <w:style w:type="character" w:customStyle="1" w:styleId="af6">
    <w:name w:val="批注主题 字符"/>
    <w:basedOn w:val="a9"/>
    <w:link w:val="af5"/>
    <w:uiPriority w:val="99"/>
    <w:semiHidden/>
    <w:rsid w:val="00687BE7"/>
    <w:rPr>
      <w:rFonts w:ascii="Times New Roman" w:hAnsi="Times New Roman" w:cs="Times New Roman"/>
      <w:b/>
      <w:bCs/>
      <w:kern w:val="0"/>
      <w:sz w:val="22"/>
      <w:lang w:eastAsia="en-US"/>
    </w:rPr>
  </w:style>
  <w:style w:type="paragraph" w:customStyle="1" w:styleId="observation">
    <w:name w:val="observation"/>
    <w:basedOn w:val="a"/>
    <w:qFormat/>
    <w:rsid w:val="00E55302"/>
    <w:pPr>
      <w:numPr>
        <w:numId w:val="4"/>
      </w:numPr>
      <w:overflowPunct w:val="0"/>
      <w:spacing w:beforeLines="50" w:before="120" w:afterLines="50" w:after="120"/>
      <w:jc w:val="both"/>
    </w:pPr>
    <w:rPr>
      <w:rFonts w:cs="Times New Roman"/>
      <w:b/>
      <w:sz w:val="20"/>
      <w:szCs w:val="20"/>
    </w:rPr>
  </w:style>
  <w:style w:type="table" w:customStyle="1" w:styleId="12">
    <w:name w:val="网格型1"/>
    <w:basedOn w:val="a2"/>
    <w:next w:val="ae"/>
    <w:uiPriority w:val="59"/>
    <w:qFormat/>
    <w:rsid w:val="00E55302"/>
    <w:rPr>
      <w:rFonts w:ascii="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a1"/>
    <w:rsid w:val="00FF162B"/>
    <w:rPr>
      <w:b/>
      <w:bCs/>
      <w:sz w:val="24"/>
      <w:szCs w:val="22"/>
      <w:lang w:eastAsia="en-US"/>
    </w:rPr>
  </w:style>
  <w:style w:type="paragraph" w:customStyle="1" w:styleId="Doc-text2">
    <w:name w:val="Doc-text2"/>
    <w:basedOn w:val="a"/>
    <w:link w:val="Doc-text2Char"/>
    <w:qFormat/>
    <w:rsid w:val="00B13E94"/>
    <w:pPr>
      <w:tabs>
        <w:tab w:val="left" w:pos="1622"/>
      </w:tabs>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B13E94"/>
    <w:rPr>
      <w:rFonts w:ascii="Arial" w:eastAsia="MS Mincho" w:hAnsi="Arial" w:cs="Times New Roman"/>
      <w:sz w:val="20"/>
      <w:szCs w:val="24"/>
      <w:lang w:val="en-GB" w:eastAsia="en-GB"/>
    </w:rPr>
  </w:style>
  <w:style w:type="paragraph" w:styleId="af7">
    <w:name w:val="Revision"/>
    <w:hidden/>
    <w:uiPriority w:val="99"/>
    <w:semiHidden/>
    <w:rsid w:val="00C66916"/>
  </w:style>
  <w:style w:type="character" w:styleId="af8">
    <w:name w:val="Strong"/>
    <w:basedOn w:val="a1"/>
    <w:uiPriority w:val="22"/>
    <w:qFormat/>
    <w:rsid w:val="00E11F34"/>
    <w:rPr>
      <w:b/>
      <w:bCs/>
    </w:rPr>
  </w:style>
  <w:style w:type="character" w:styleId="af9">
    <w:name w:val="Placeholder Text"/>
    <w:basedOn w:val="a1"/>
    <w:uiPriority w:val="99"/>
    <w:semiHidden/>
    <w:rsid w:val="000D5247"/>
    <w:rPr>
      <w:color w:val="808080"/>
    </w:rPr>
  </w:style>
  <w:style w:type="paragraph" w:customStyle="1" w:styleId="TH">
    <w:name w:val="TH"/>
    <w:basedOn w:val="a"/>
    <w:link w:val="THChar"/>
    <w:qFormat/>
    <w:rsid w:val="00CC4287"/>
    <w:pPr>
      <w:keepNext/>
      <w:keepLines/>
      <w:spacing w:before="60" w:after="180"/>
      <w:jc w:val="center"/>
    </w:pPr>
    <w:rPr>
      <w:rFonts w:ascii="Arial" w:hAnsi="Arial" w:cs="Times New Roman"/>
      <w:b/>
      <w:sz w:val="20"/>
      <w:szCs w:val="20"/>
      <w:lang w:val="x-none" w:eastAsia="en-US"/>
    </w:rPr>
  </w:style>
  <w:style w:type="character" w:customStyle="1" w:styleId="THChar">
    <w:name w:val="TH Char"/>
    <w:link w:val="TH"/>
    <w:qFormat/>
    <w:rsid w:val="00CC4287"/>
    <w:rPr>
      <w:rFonts w:ascii="Arial" w:hAnsi="Arial" w:cs="Times New Roman"/>
      <w:b/>
      <w:sz w:val="20"/>
      <w:szCs w:val="20"/>
      <w:lang w:val="x-none" w:eastAsia="en-US"/>
    </w:rPr>
  </w:style>
  <w:style w:type="character" w:styleId="afa">
    <w:name w:val="Hyperlink"/>
    <w:basedOn w:val="a1"/>
    <w:uiPriority w:val="99"/>
    <w:unhideWhenUsed/>
    <w:rsid w:val="00A20883"/>
    <w:rPr>
      <w:color w:val="0563C1" w:themeColor="hyperlink"/>
      <w:u w:val="single"/>
    </w:rPr>
  </w:style>
  <w:style w:type="character" w:styleId="afb">
    <w:name w:val="Unresolved Mention"/>
    <w:basedOn w:val="a1"/>
    <w:uiPriority w:val="99"/>
    <w:semiHidden/>
    <w:unhideWhenUsed/>
    <w:rsid w:val="00A20883"/>
    <w:rPr>
      <w:color w:val="605E5C"/>
      <w:shd w:val="clear" w:color="auto" w:fill="E1DFDD"/>
    </w:rPr>
  </w:style>
  <w:style w:type="character" w:styleId="afc">
    <w:name w:val="FollowedHyperlink"/>
    <w:basedOn w:val="a1"/>
    <w:uiPriority w:val="99"/>
    <w:semiHidden/>
    <w:unhideWhenUsed/>
    <w:rsid w:val="00A20883"/>
    <w:rPr>
      <w:color w:val="954F72" w:themeColor="followedHyperlink"/>
      <w:u w:val="single"/>
    </w:rPr>
  </w:style>
  <w:style w:type="character" w:customStyle="1" w:styleId="katex-mathml">
    <w:name w:val="katex-mathml"/>
    <w:basedOn w:val="a1"/>
    <w:rsid w:val="00982883"/>
  </w:style>
  <w:style w:type="character" w:customStyle="1" w:styleId="mord">
    <w:name w:val="mord"/>
    <w:basedOn w:val="a1"/>
    <w:rsid w:val="00982883"/>
  </w:style>
  <w:style w:type="character" w:customStyle="1" w:styleId="mrel">
    <w:name w:val="mrel"/>
    <w:basedOn w:val="a1"/>
    <w:rsid w:val="00A76F13"/>
  </w:style>
  <w:style w:type="paragraph" w:customStyle="1" w:styleId="B1">
    <w:name w:val="B1"/>
    <w:basedOn w:val="a"/>
    <w:link w:val="B1Zchn"/>
    <w:qFormat/>
    <w:rsid w:val="00F80217"/>
    <w:pPr>
      <w:spacing w:after="180"/>
      <w:ind w:left="568" w:hanging="284"/>
    </w:pPr>
    <w:rPr>
      <w:rFonts w:cs="Times New Roman"/>
      <w:sz w:val="20"/>
      <w:szCs w:val="20"/>
      <w:lang w:val="x-none" w:eastAsia="en-US"/>
    </w:rPr>
  </w:style>
  <w:style w:type="paragraph" w:customStyle="1" w:styleId="B2">
    <w:name w:val="B2"/>
    <w:basedOn w:val="a"/>
    <w:link w:val="B2Char"/>
    <w:qFormat/>
    <w:rsid w:val="00F80217"/>
    <w:pPr>
      <w:spacing w:after="180"/>
      <w:ind w:left="851" w:hanging="284"/>
    </w:pPr>
    <w:rPr>
      <w:rFonts w:cs="Times New Roman"/>
      <w:sz w:val="20"/>
      <w:szCs w:val="20"/>
      <w:lang w:val="x-none" w:eastAsia="en-US"/>
    </w:rPr>
  </w:style>
  <w:style w:type="character" w:customStyle="1" w:styleId="B1Zchn">
    <w:name w:val="B1 Zchn"/>
    <w:link w:val="B1"/>
    <w:qFormat/>
    <w:rsid w:val="00F80217"/>
    <w:rPr>
      <w:rFonts w:cs="Times New Roman"/>
      <w:sz w:val="20"/>
      <w:szCs w:val="20"/>
      <w:lang w:val="x-none" w:eastAsia="en-US"/>
    </w:rPr>
  </w:style>
  <w:style w:type="character" w:customStyle="1" w:styleId="B2Char">
    <w:name w:val="B2 Char"/>
    <w:link w:val="B2"/>
    <w:qFormat/>
    <w:rsid w:val="00F80217"/>
    <w:rPr>
      <w:rFonts w:cs="Times New Roman"/>
      <w:sz w:val="20"/>
      <w:szCs w:val="20"/>
      <w:lang w:val="x-none" w:eastAsia="en-US"/>
    </w:rPr>
  </w:style>
  <w:style w:type="character" w:customStyle="1" w:styleId="mopen">
    <w:name w:val="mopen"/>
    <w:basedOn w:val="a1"/>
    <w:rsid w:val="00AD1A2E"/>
  </w:style>
  <w:style w:type="character" w:customStyle="1" w:styleId="mpunct">
    <w:name w:val="mpunct"/>
    <w:basedOn w:val="a1"/>
    <w:rsid w:val="00AD1A2E"/>
  </w:style>
  <w:style w:type="character" w:customStyle="1" w:styleId="mclose">
    <w:name w:val="mclose"/>
    <w:basedOn w:val="a1"/>
    <w:rsid w:val="00AD1A2E"/>
  </w:style>
  <w:style w:type="character" w:customStyle="1" w:styleId="vlist-s">
    <w:name w:val="vlist-s"/>
    <w:basedOn w:val="a1"/>
    <w:rsid w:val="00AD1A2E"/>
  </w:style>
  <w:style w:type="character" w:customStyle="1" w:styleId="B1Char1">
    <w:name w:val="B1 Char1"/>
    <w:qFormat/>
    <w:rsid w:val="00577F7B"/>
    <w:rPr>
      <w:rFonts w:ascii="Times New Roman" w:eastAsiaTheme="minorHAnsi" w:hAnsi="Times New Roman" w:cstheme="minorBidi"/>
      <w:szCs w:val="22"/>
      <w:lang w:val="en-US" w:eastAsia="zh-CN"/>
    </w:rPr>
  </w:style>
  <w:style w:type="paragraph" w:styleId="afd">
    <w:name w:val="Normal (Web)"/>
    <w:basedOn w:val="a"/>
    <w:uiPriority w:val="99"/>
    <w:semiHidden/>
    <w:unhideWhenUsed/>
    <w:rsid w:val="00B64739"/>
    <w:pPr>
      <w:spacing w:before="100" w:beforeAutospacing="1" w:after="100" w:afterAutospacing="1"/>
    </w:pPr>
    <w:rPr>
      <w:rFonts w:ascii="宋体" w:hAnsi="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554">
      <w:bodyDiv w:val="1"/>
      <w:marLeft w:val="0"/>
      <w:marRight w:val="0"/>
      <w:marTop w:val="0"/>
      <w:marBottom w:val="0"/>
      <w:divBdr>
        <w:top w:val="none" w:sz="0" w:space="0" w:color="auto"/>
        <w:left w:val="none" w:sz="0" w:space="0" w:color="auto"/>
        <w:bottom w:val="none" w:sz="0" w:space="0" w:color="auto"/>
        <w:right w:val="none" w:sz="0" w:space="0" w:color="auto"/>
      </w:divBdr>
      <w:divsChild>
        <w:div w:id="1379669474">
          <w:marLeft w:val="0"/>
          <w:marRight w:val="0"/>
          <w:marTop w:val="0"/>
          <w:marBottom w:val="0"/>
          <w:divBdr>
            <w:top w:val="none" w:sz="0" w:space="0" w:color="auto"/>
            <w:left w:val="none" w:sz="0" w:space="0" w:color="auto"/>
            <w:bottom w:val="none" w:sz="0" w:space="0" w:color="auto"/>
            <w:right w:val="none" w:sz="0" w:space="0" w:color="auto"/>
          </w:divBdr>
          <w:divsChild>
            <w:div w:id="818496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082505">
      <w:bodyDiv w:val="1"/>
      <w:marLeft w:val="0"/>
      <w:marRight w:val="0"/>
      <w:marTop w:val="0"/>
      <w:marBottom w:val="0"/>
      <w:divBdr>
        <w:top w:val="none" w:sz="0" w:space="0" w:color="auto"/>
        <w:left w:val="none" w:sz="0" w:space="0" w:color="auto"/>
        <w:bottom w:val="none" w:sz="0" w:space="0" w:color="auto"/>
        <w:right w:val="none" w:sz="0" w:space="0" w:color="auto"/>
      </w:divBdr>
    </w:div>
    <w:div w:id="122584020">
      <w:bodyDiv w:val="1"/>
      <w:marLeft w:val="0"/>
      <w:marRight w:val="0"/>
      <w:marTop w:val="0"/>
      <w:marBottom w:val="0"/>
      <w:divBdr>
        <w:top w:val="none" w:sz="0" w:space="0" w:color="auto"/>
        <w:left w:val="none" w:sz="0" w:space="0" w:color="auto"/>
        <w:bottom w:val="none" w:sz="0" w:space="0" w:color="auto"/>
        <w:right w:val="none" w:sz="0" w:space="0" w:color="auto"/>
      </w:divBdr>
      <w:divsChild>
        <w:div w:id="253250492">
          <w:marLeft w:val="0"/>
          <w:marRight w:val="0"/>
          <w:marTop w:val="0"/>
          <w:marBottom w:val="0"/>
          <w:divBdr>
            <w:top w:val="none" w:sz="0" w:space="0" w:color="auto"/>
            <w:left w:val="none" w:sz="0" w:space="0" w:color="auto"/>
            <w:bottom w:val="none" w:sz="0" w:space="0" w:color="auto"/>
            <w:right w:val="none" w:sz="0" w:space="0" w:color="auto"/>
          </w:divBdr>
        </w:div>
      </w:divsChild>
    </w:div>
    <w:div w:id="340132031">
      <w:bodyDiv w:val="1"/>
      <w:marLeft w:val="0"/>
      <w:marRight w:val="0"/>
      <w:marTop w:val="0"/>
      <w:marBottom w:val="0"/>
      <w:divBdr>
        <w:top w:val="none" w:sz="0" w:space="0" w:color="auto"/>
        <w:left w:val="none" w:sz="0" w:space="0" w:color="auto"/>
        <w:bottom w:val="none" w:sz="0" w:space="0" w:color="auto"/>
        <w:right w:val="none" w:sz="0" w:space="0" w:color="auto"/>
      </w:divBdr>
    </w:div>
    <w:div w:id="380908905">
      <w:bodyDiv w:val="1"/>
      <w:marLeft w:val="0"/>
      <w:marRight w:val="0"/>
      <w:marTop w:val="0"/>
      <w:marBottom w:val="0"/>
      <w:divBdr>
        <w:top w:val="none" w:sz="0" w:space="0" w:color="auto"/>
        <w:left w:val="none" w:sz="0" w:space="0" w:color="auto"/>
        <w:bottom w:val="none" w:sz="0" w:space="0" w:color="auto"/>
        <w:right w:val="none" w:sz="0" w:space="0" w:color="auto"/>
      </w:divBdr>
    </w:div>
    <w:div w:id="501162931">
      <w:bodyDiv w:val="1"/>
      <w:marLeft w:val="0"/>
      <w:marRight w:val="0"/>
      <w:marTop w:val="0"/>
      <w:marBottom w:val="0"/>
      <w:divBdr>
        <w:top w:val="none" w:sz="0" w:space="0" w:color="auto"/>
        <w:left w:val="none" w:sz="0" w:space="0" w:color="auto"/>
        <w:bottom w:val="none" w:sz="0" w:space="0" w:color="auto"/>
        <w:right w:val="none" w:sz="0" w:space="0" w:color="auto"/>
      </w:divBdr>
    </w:div>
    <w:div w:id="506873420">
      <w:bodyDiv w:val="1"/>
      <w:marLeft w:val="0"/>
      <w:marRight w:val="0"/>
      <w:marTop w:val="0"/>
      <w:marBottom w:val="0"/>
      <w:divBdr>
        <w:top w:val="none" w:sz="0" w:space="0" w:color="auto"/>
        <w:left w:val="none" w:sz="0" w:space="0" w:color="auto"/>
        <w:bottom w:val="none" w:sz="0" w:space="0" w:color="auto"/>
        <w:right w:val="none" w:sz="0" w:space="0" w:color="auto"/>
      </w:divBdr>
      <w:divsChild>
        <w:div w:id="1169517092">
          <w:marLeft w:val="0"/>
          <w:marRight w:val="0"/>
          <w:marTop w:val="0"/>
          <w:marBottom w:val="0"/>
          <w:divBdr>
            <w:top w:val="none" w:sz="0" w:space="0" w:color="auto"/>
            <w:left w:val="none" w:sz="0" w:space="0" w:color="auto"/>
            <w:bottom w:val="none" w:sz="0" w:space="0" w:color="auto"/>
            <w:right w:val="none" w:sz="0" w:space="0" w:color="auto"/>
          </w:divBdr>
          <w:divsChild>
            <w:div w:id="140312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640333">
      <w:bodyDiv w:val="1"/>
      <w:marLeft w:val="0"/>
      <w:marRight w:val="0"/>
      <w:marTop w:val="0"/>
      <w:marBottom w:val="0"/>
      <w:divBdr>
        <w:top w:val="none" w:sz="0" w:space="0" w:color="auto"/>
        <w:left w:val="none" w:sz="0" w:space="0" w:color="auto"/>
        <w:bottom w:val="none" w:sz="0" w:space="0" w:color="auto"/>
        <w:right w:val="none" w:sz="0" w:space="0" w:color="auto"/>
      </w:divBdr>
    </w:div>
    <w:div w:id="623191201">
      <w:bodyDiv w:val="1"/>
      <w:marLeft w:val="0"/>
      <w:marRight w:val="0"/>
      <w:marTop w:val="0"/>
      <w:marBottom w:val="0"/>
      <w:divBdr>
        <w:top w:val="none" w:sz="0" w:space="0" w:color="auto"/>
        <w:left w:val="none" w:sz="0" w:space="0" w:color="auto"/>
        <w:bottom w:val="none" w:sz="0" w:space="0" w:color="auto"/>
        <w:right w:val="none" w:sz="0" w:space="0" w:color="auto"/>
      </w:divBdr>
    </w:div>
    <w:div w:id="681467254">
      <w:bodyDiv w:val="1"/>
      <w:marLeft w:val="0"/>
      <w:marRight w:val="0"/>
      <w:marTop w:val="0"/>
      <w:marBottom w:val="0"/>
      <w:divBdr>
        <w:top w:val="none" w:sz="0" w:space="0" w:color="auto"/>
        <w:left w:val="none" w:sz="0" w:space="0" w:color="auto"/>
        <w:bottom w:val="none" w:sz="0" w:space="0" w:color="auto"/>
        <w:right w:val="none" w:sz="0" w:space="0" w:color="auto"/>
      </w:divBdr>
    </w:div>
    <w:div w:id="737820447">
      <w:bodyDiv w:val="1"/>
      <w:marLeft w:val="0"/>
      <w:marRight w:val="0"/>
      <w:marTop w:val="0"/>
      <w:marBottom w:val="0"/>
      <w:divBdr>
        <w:top w:val="none" w:sz="0" w:space="0" w:color="auto"/>
        <w:left w:val="none" w:sz="0" w:space="0" w:color="auto"/>
        <w:bottom w:val="none" w:sz="0" w:space="0" w:color="auto"/>
        <w:right w:val="none" w:sz="0" w:space="0" w:color="auto"/>
      </w:divBdr>
    </w:div>
    <w:div w:id="756559769">
      <w:bodyDiv w:val="1"/>
      <w:marLeft w:val="0"/>
      <w:marRight w:val="0"/>
      <w:marTop w:val="0"/>
      <w:marBottom w:val="0"/>
      <w:divBdr>
        <w:top w:val="none" w:sz="0" w:space="0" w:color="auto"/>
        <w:left w:val="none" w:sz="0" w:space="0" w:color="auto"/>
        <w:bottom w:val="none" w:sz="0" w:space="0" w:color="auto"/>
        <w:right w:val="none" w:sz="0" w:space="0" w:color="auto"/>
      </w:divBdr>
    </w:div>
    <w:div w:id="778839097">
      <w:bodyDiv w:val="1"/>
      <w:marLeft w:val="0"/>
      <w:marRight w:val="0"/>
      <w:marTop w:val="0"/>
      <w:marBottom w:val="0"/>
      <w:divBdr>
        <w:top w:val="none" w:sz="0" w:space="0" w:color="auto"/>
        <w:left w:val="none" w:sz="0" w:space="0" w:color="auto"/>
        <w:bottom w:val="none" w:sz="0" w:space="0" w:color="auto"/>
        <w:right w:val="none" w:sz="0" w:space="0" w:color="auto"/>
      </w:divBdr>
    </w:div>
    <w:div w:id="897403799">
      <w:bodyDiv w:val="1"/>
      <w:marLeft w:val="0"/>
      <w:marRight w:val="0"/>
      <w:marTop w:val="0"/>
      <w:marBottom w:val="0"/>
      <w:divBdr>
        <w:top w:val="none" w:sz="0" w:space="0" w:color="auto"/>
        <w:left w:val="none" w:sz="0" w:space="0" w:color="auto"/>
        <w:bottom w:val="none" w:sz="0" w:space="0" w:color="auto"/>
        <w:right w:val="none" w:sz="0" w:space="0" w:color="auto"/>
      </w:divBdr>
    </w:div>
    <w:div w:id="904293199">
      <w:bodyDiv w:val="1"/>
      <w:marLeft w:val="0"/>
      <w:marRight w:val="0"/>
      <w:marTop w:val="0"/>
      <w:marBottom w:val="0"/>
      <w:divBdr>
        <w:top w:val="none" w:sz="0" w:space="0" w:color="auto"/>
        <w:left w:val="none" w:sz="0" w:space="0" w:color="auto"/>
        <w:bottom w:val="none" w:sz="0" w:space="0" w:color="auto"/>
        <w:right w:val="none" w:sz="0" w:space="0" w:color="auto"/>
      </w:divBdr>
    </w:div>
    <w:div w:id="938876536">
      <w:bodyDiv w:val="1"/>
      <w:marLeft w:val="0"/>
      <w:marRight w:val="0"/>
      <w:marTop w:val="0"/>
      <w:marBottom w:val="0"/>
      <w:divBdr>
        <w:top w:val="none" w:sz="0" w:space="0" w:color="auto"/>
        <w:left w:val="none" w:sz="0" w:space="0" w:color="auto"/>
        <w:bottom w:val="none" w:sz="0" w:space="0" w:color="auto"/>
        <w:right w:val="none" w:sz="0" w:space="0" w:color="auto"/>
      </w:divBdr>
    </w:div>
    <w:div w:id="943459122">
      <w:bodyDiv w:val="1"/>
      <w:marLeft w:val="0"/>
      <w:marRight w:val="0"/>
      <w:marTop w:val="0"/>
      <w:marBottom w:val="0"/>
      <w:divBdr>
        <w:top w:val="none" w:sz="0" w:space="0" w:color="auto"/>
        <w:left w:val="none" w:sz="0" w:space="0" w:color="auto"/>
        <w:bottom w:val="none" w:sz="0" w:space="0" w:color="auto"/>
        <w:right w:val="none" w:sz="0" w:space="0" w:color="auto"/>
      </w:divBdr>
    </w:div>
    <w:div w:id="956449163">
      <w:bodyDiv w:val="1"/>
      <w:marLeft w:val="0"/>
      <w:marRight w:val="0"/>
      <w:marTop w:val="0"/>
      <w:marBottom w:val="0"/>
      <w:divBdr>
        <w:top w:val="none" w:sz="0" w:space="0" w:color="auto"/>
        <w:left w:val="none" w:sz="0" w:space="0" w:color="auto"/>
        <w:bottom w:val="none" w:sz="0" w:space="0" w:color="auto"/>
        <w:right w:val="none" w:sz="0" w:space="0" w:color="auto"/>
      </w:divBdr>
      <w:divsChild>
        <w:div w:id="675694105">
          <w:marLeft w:val="0"/>
          <w:marRight w:val="0"/>
          <w:marTop w:val="0"/>
          <w:marBottom w:val="0"/>
          <w:divBdr>
            <w:top w:val="none" w:sz="0" w:space="0" w:color="auto"/>
            <w:left w:val="none" w:sz="0" w:space="0" w:color="auto"/>
            <w:bottom w:val="none" w:sz="0" w:space="0" w:color="auto"/>
            <w:right w:val="none" w:sz="0" w:space="0" w:color="auto"/>
          </w:divBdr>
        </w:div>
      </w:divsChild>
    </w:div>
    <w:div w:id="1013606015">
      <w:bodyDiv w:val="1"/>
      <w:marLeft w:val="0"/>
      <w:marRight w:val="0"/>
      <w:marTop w:val="0"/>
      <w:marBottom w:val="0"/>
      <w:divBdr>
        <w:top w:val="none" w:sz="0" w:space="0" w:color="auto"/>
        <w:left w:val="none" w:sz="0" w:space="0" w:color="auto"/>
        <w:bottom w:val="none" w:sz="0" w:space="0" w:color="auto"/>
        <w:right w:val="none" w:sz="0" w:space="0" w:color="auto"/>
      </w:divBdr>
    </w:div>
    <w:div w:id="1081610019">
      <w:bodyDiv w:val="1"/>
      <w:marLeft w:val="0"/>
      <w:marRight w:val="0"/>
      <w:marTop w:val="0"/>
      <w:marBottom w:val="0"/>
      <w:divBdr>
        <w:top w:val="none" w:sz="0" w:space="0" w:color="auto"/>
        <w:left w:val="none" w:sz="0" w:space="0" w:color="auto"/>
        <w:bottom w:val="none" w:sz="0" w:space="0" w:color="auto"/>
        <w:right w:val="none" w:sz="0" w:space="0" w:color="auto"/>
      </w:divBdr>
      <w:divsChild>
        <w:div w:id="594095269">
          <w:marLeft w:val="0"/>
          <w:marRight w:val="0"/>
          <w:marTop w:val="0"/>
          <w:marBottom w:val="0"/>
          <w:divBdr>
            <w:top w:val="none" w:sz="0" w:space="0" w:color="auto"/>
            <w:left w:val="none" w:sz="0" w:space="0" w:color="auto"/>
            <w:bottom w:val="none" w:sz="0" w:space="0" w:color="auto"/>
            <w:right w:val="none" w:sz="0" w:space="0" w:color="auto"/>
          </w:divBdr>
        </w:div>
      </w:divsChild>
    </w:div>
    <w:div w:id="1105034479">
      <w:bodyDiv w:val="1"/>
      <w:marLeft w:val="0"/>
      <w:marRight w:val="0"/>
      <w:marTop w:val="0"/>
      <w:marBottom w:val="0"/>
      <w:divBdr>
        <w:top w:val="none" w:sz="0" w:space="0" w:color="auto"/>
        <w:left w:val="none" w:sz="0" w:space="0" w:color="auto"/>
        <w:bottom w:val="none" w:sz="0" w:space="0" w:color="auto"/>
        <w:right w:val="none" w:sz="0" w:space="0" w:color="auto"/>
      </w:divBdr>
      <w:divsChild>
        <w:div w:id="398527190">
          <w:marLeft w:val="2606"/>
          <w:marRight w:val="0"/>
          <w:marTop w:val="0"/>
          <w:marBottom w:val="0"/>
          <w:divBdr>
            <w:top w:val="none" w:sz="0" w:space="0" w:color="auto"/>
            <w:left w:val="none" w:sz="0" w:space="0" w:color="auto"/>
            <w:bottom w:val="none" w:sz="0" w:space="0" w:color="auto"/>
            <w:right w:val="none" w:sz="0" w:space="0" w:color="auto"/>
          </w:divBdr>
        </w:div>
      </w:divsChild>
    </w:div>
    <w:div w:id="1107844517">
      <w:bodyDiv w:val="1"/>
      <w:marLeft w:val="0"/>
      <w:marRight w:val="0"/>
      <w:marTop w:val="0"/>
      <w:marBottom w:val="0"/>
      <w:divBdr>
        <w:top w:val="none" w:sz="0" w:space="0" w:color="auto"/>
        <w:left w:val="none" w:sz="0" w:space="0" w:color="auto"/>
        <w:bottom w:val="none" w:sz="0" w:space="0" w:color="auto"/>
        <w:right w:val="none" w:sz="0" w:space="0" w:color="auto"/>
      </w:divBdr>
      <w:divsChild>
        <w:div w:id="715398918">
          <w:marLeft w:val="0"/>
          <w:marRight w:val="0"/>
          <w:marTop w:val="0"/>
          <w:marBottom w:val="0"/>
          <w:divBdr>
            <w:top w:val="none" w:sz="0" w:space="0" w:color="auto"/>
            <w:left w:val="none" w:sz="0" w:space="0" w:color="auto"/>
            <w:bottom w:val="none" w:sz="0" w:space="0" w:color="auto"/>
            <w:right w:val="none" w:sz="0" w:space="0" w:color="auto"/>
          </w:divBdr>
          <w:divsChild>
            <w:div w:id="1349790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066669">
      <w:bodyDiv w:val="1"/>
      <w:marLeft w:val="0"/>
      <w:marRight w:val="0"/>
      <w:marTop w:val="0"/>
      <w:marBottom w:val="0"/>
      <w:divBdr>
        <w:top w:val="none" w:sz="0" w:space="0" w:color="auto"/>
        <w:left w:val="none" w:sz="0" w:space="0" w:color="auto"/>
        <w:bottom w:val="none" w:sz="0" w:space="0" w:color="auto"/>
        <w:right w:val="none" w:sz="0" w:space="0" w:color="auto"/>
      </w:divBdr>
    </w:div>
    <w:div w:id="1188182283">
      <w:bodyDiv w:val="1"/>
      <w:marLeft w:val="0"/>
      <w:marRight w:val="0"/>
      <w:marTop w:val="0"/>
      <w:marBottom w:val="0"/>
      <w:divBdr>
        <w:top w:val="none" w:sz="0" w:space="0" w:color="auto"/>
        <w:left w:val="none" w:sz="0" w:space="0" w:color="auto"/>
        <w:bottom w:val="none" w:sz="0" w:space="0" w:color="auto"/>
        <w:right w:val="none" w:sz="0" w:space="0" w:color="auto"/>
      </w:divBdr>
    </w:div>
    <w:div w:id="1267884840">
      <w:bodyDiv w:val="1"/>
      <w:marLeft w:val="0"/>
      <w:marRight w:val="0"/>
      <w:marTop w:val="0"/>
      <w:marBottom w:val="0"/>
      <w:divBdr>
        <w:top w:val="none" w:sz="0" w:space="0" w:color="auto"/>
        <w:left w:val="none" w:sz="0" w:space="0" w:color="auto"/>
        <w:bottom w:val="none" w:sz="0" w:space="0" w:color="auto"/>
        <w:right w:val="none" w:sz="0" w:space="0" w:color="auto"/>
      </w:divBdr>
      <w:divsChild>
        <w:div w:id="386419426">
          <w:marLeft w:val="0"/>
          <w:marRight w:val="0"/>
          <w:marTop w:val="0"/>
          <w:marBottom w:val="0"/>
          <w:divBdr>
            <w:top w:val="none" w:sz="0" w:space="0" w:color="auto"/>
            <w:left w:val="none" w:sz="0" w:space="0" w:color="auto"/>
            <w:bottom w:val="none" w:sz="0" w:space="0" w:color="auto"/>
            <w:right w:val="none" w:sz="0" w:space="0" w:color="auto"/>
          </w:divBdr>
          <w:divsChild>
            <w:div w:id="384722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207576">
      <w:bodyDiv w:val="1"/>
      <w:marLeft w:val="0"/>
      <w:marRight w:val="0"/>
      <w:marTop w:val="0"/>
      <w:marBottom w:val="0"/>
      <w:divBdr>
        <w:top w:val="none" w:sz="0" w:space="0" w:color="auto"/>
        <w:left w:val="none" w:sz="0" w:space="0" w:color="auto"/>
        <w:bottom w:val="none" w:sz="0" w:space="0" w:color="auto"/>
        <w:right w:val="none" w:sz="0" w:space="0" w:color="auto"/>
      </w:divBdr>
    </w:div>
    <w:div w:id="1294752511">
      <w:bodyDiv w:val="1"/>
      <w:marLeft w:val="0"/>
      <w:marRight w:val="0"/>
      <w:marTop w:val="0"/>
      <w:marBottom w:val="0"/>
      <w:divBdr>
        <w:top w:val="none" w:sz="0" w:space="0" w:color="auto"/>
        <w:left w:val="none" w:sz="0" w:space="0" w:color="auto"/>
        <w:bottom w:val="none" w:sz="0" w:space="0" w:color="auto"/>
        <w:right w:val="none" w:sz="0" w:space="0" w:color="auto"/>
      </w:divBdr>
      <w:divsChild>
        <w:div w:id="305399302">
          <w:marLeft w:val="0"/>
          <w:marRight w:val="0"/>
          <w:marTop w:val="0"/>
          <w:marBottom w:val="0"/>
          <w:divBdr>
            <w:top w:val="none" w:sz="0" w:space="0" w:color="auto"/>
            <w:left w:val="none" w:sz="0" w:space="0" w:color="auto"/>
            <w:bottom w:val="none" w:sz="0" w:space="0" w:color="auto"/>
            <w:right w:val="none" w:sz="0" w:space="0" w:color="auto"/>
          </w:divBdr>
          <w:divsChild>
            <w:div w:id="2037459110">
              <w:marLeft w:val="0"/>
              <w:marRight w:val="0"/>
              <w:marTop w:val="100"/>
              <w:marBottom w:val="0"/>
              <w:divBdr>
                <w:top w:val="none" w:sz="0" w:space="0" w:color="auto"/>
                <w:left w:val="none" w:sz="0" w:space="0" w:color="auto"/>
                <w:bottom w:val="none" w:sz="0" w:space="0" w:color="auto"/>
                <w:right w:val="none" w:sz="0" w:space="0" w:color="auto"/>
              </w:divBdr>
              <w:divsChild>
                <w:div w:id="1830098765">
                  <w:marLeft w:val="0"/>
                  <w:marRight w:val="0"/>
                  <w:marTop w:val="0"/>
                  <w:marBottom w:val="0"/>
                  <w:divBdr>
                    <w:top w:val="none" w:sz="0" w:space="0" w:color="auto"/>
                    <w:left w:val="none" w:sz="0" w:space="0" w:color="auto"/>
                    <w:bottom w:val="none" w:sz="0" w:space="0" w:color="auto"/>
                    <w:right w:val="none" w:sz="0" w:space="0" w:color="auto"/>
                  </w:divBdr>
                </w:div>
              </w:divsChild>
            </w:div>
            <w:div w:id="1153302712">
              <w:marLeft w:val="0"/>
              <w:marRight w:val="0"/>
              <w:marTop w:val="0"/>
              <w:marBottom w:val="0"/>
              <w:divBdr>
                <w:top w:val="none" w:sz="0" w:space="0" w:color="auto"/>
                <w:left w:val="none" w:sz="0" w:space="0" w:color="auto"/>
                <w:bottom w:val="none" w:sz="0" w:space="0" w:color="auto"/>
                <w:right w:val="none" w:sz="0" w:space="0" w:color="auto"/>
              </w:divBdr>
              <w:divsChild>
                <w:div w:id="246615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277265">
          <w:marLeft w:val="0"/>
          <w:marRight w:val="0"/>
          <w:marTop w:val="0"/>
          <w:marBottom w:val="0"/>
          <w:divBdr>
            <w:top w:val="none" w:sz="0" w:space="0" w:color="auto"/>
            <w:left w:val="none" w:sz="0" w:space="0" w:color="auto"/>
            <w:bottom w:val="none" w:sz="0" w:space="0" w:color="auto"/>
            <w:right w:val="none" w:sz="0" w:space="0" w:color="auto"/>
          </w:divBdr>
          <w:divsChild>
            <w:div w:id="2125615854">
              <w:marLeft w:val="0"/>
              <w:marRight w:val="0"/>
              <w:marTop w:val="0"/>
              <w:marBottom w:val="0"/>
              <w:divBdr>
                <w:top w:val="none" w:sz="0" w:space="0" w:color="auto"/>
                <w:left w:val="none" w:sz="0" w:space="0" w:color="auto"/>
                <w:bottom w:val="none" w:sz="0" w:space="0" w:color="auto"/>
                <w:right w:val="none" w:sz="0" w:space="0" w:color="auto"/>
              </w:divBdr>
              <w:divsChild>
                <w:div w:id="1873303061">
                  <w:marLeft w:val="0"/>
                  <w:marRight w:val="0"/>
                  <w:marTop w:val="0"/>
                  <w:marBottom w:val="0"/>
                  <w:divBdr>
                    <w:top w:val="none" w:sz="0" w:space="0" w:color="auto"/>
                    <w:left w:val="none" w:sz="0" w:space="0" w:color="auto"/>
                    <w:bottom w:val="none" w:sz="0" w:space="0" w:color="auto"/>
                    <w:right w:val="none" w:sz="0" w:space="0" w:color="auto"/>
                  </w:divBdr>
                  <w:divsChild>
                    <w:div w:id="599417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7772476">
      <w:bodyDiv w:val="1"/>
      <w:marLeft w:val="0"/>
      <w:marRight w:val="0"/>
      <w:marTop w:val="0"/>
      <w:marBottom w:val="0"/>
      <w:divBdr>
        <w:top w:val="none" w:sz="0" w:space="0" w:color="auto"/>
        <w:left w:val="none" w:sz="0" w:space="0" w:color="auto"/>
        <w:bottom w:val="none" w:sz="0" w:space="0" w:color="auto"/>
        <w:right w:val="none" w:sz="0" w:space="0" w:color="auto"/>
      </w:divBdr>
    </w:div>
    <w:div w:id="1514035044">
      <w:bodyDiv w:val="1"/>
      <w:marLeft w:val="0"/>
      <w:marRight w:val="0"/>
      <w:marTop w:val="0"/>
      <w:marBottom w:val="0"/>
      <w:divBdr>
        <w:top w:val="none" w:sz="0" w:space="0" w:color="auto"/>
        <w:left w:val="none" w:sz="0" w:space="0" w:color="auto"/>
        <w:bottom w:val="none" w:sz="0" w:space="0" w:color="auto"/>
        <w:right w:val="none" w:sz="0" w:space="0" w:color="auto"/>
      </w:divBdr>
    </w:div>
    <w:div w:id="1597321728">
      <w:bodyDiv w:val="1"/>
      <w:marLeft w:val="0"/>
      <w:marRight w:val="0"/>
      <w:marTop w:val="0"/>
      <w:marBottom w:val="0"/>
      <w:divBdr>
        <w:top w:val="none" w:sz="0" w:space="0" w:color="auto"/>
        <w:left w:val="none" w:sz="0" w:space="0" w:color="auto"/>
        <w:bottom w:val="none" w:sz="0" w:space="0" w:color="auto"/>
        <w:right w:val="none" w:sz="0" w:space="0" w:color="auto"/>
      </w:divBdr>
      <w:divsChild>
        <w:div w:id="587274671">
          <w:marLeft w:val="0"/>
          <w:marRight w:val="0"/>
          <w:marTop w:val="0"/>
          <w:marBottom w:val="0"/>
          <w:divBdr>
            <w:top w:val="none" w:sz="0" w:space="0" w:color="auto"/>
            <w:left w:val="none" w:sz="0" w:space="0" w:color="auto"/>
            <w:bottom w:val="none" w:sz="0" w:space="0" w:color="auto"/>
            <w:right w:val="none" w:sz="0" w:space="0" w:color="auto"/>
          </w:divBdr>
          <w:divsChild>
            <w:div w:id="1961106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23548">
      <w:bodyDiv w:val="1"/>
      <w:marLeft w:val="0"/>
      <w:marRight w:val="0"/>
      <w:marTop w:val="0"/>
      <w:marBottom w:val="0"/>
      <w:divBdr>
        <w:top w:val="none" w:sz="0" w:space="0" w:color="auto"/>
        <w:left w:val="none" w:sz="0" w:space="0" w:color="auto"/>
        <w:bottom w:val="none" w:sz="0" w:space="0" w:color="auto"/>
        <w:right w:val="none" w:sz="0" w:space="0" w:color="auto"/>
      </w:divBdr>
    </w:div>
    <w:div w:id="1632131715">
      <w:bodyDiv w:val="1"/>
      <w:marLeft w:val="0"/>
      <w:marRight w:val="0"/>
      <w:marTop w:val="0"/>
      <w:marBottom w:val="0"/>
      <w:divBdr>
        <w:top w:val="none" w:sz="0" w:space="0" w:color="auto"/>
        <w:left w:val="none" w:sz="0" w:space="0" w:color="auto"/>
        <w:bottom w:val="none" w:sz="0" w:space="0" w:color="auto"/>
        <w:right w:val="none" w:sz="0" w:space="0" w:color="auto"/>
      </w:divBdr>
    </w:div>
    <w:div w:id="1633947087">
      <w:bodyDiv w:val="1"/>
      <w:marLeft w:val="0"/>
      <w:marRight w:val="0"/>
      <w:marTop w:val="0"/>
      <w:marBottom w:val="0"/>
      <w:divBdr>
        <w:top w:val="none" w:sz="0" w:space="0" w:color="auto"/>
        <w:left w:val="none" w:sz="0" w:space="0" w:color="auto"/>
        <w:bottom w:val="none" w:sz="0" w:space="0" w:color="auto"/>
        <w:right w:val="none" w:sz="0" w:space="0" w:color="auto"/>
      </w:divBdr>
    </w:div>
    <w:div w:id="1647323427">
      <w:bodyDiv w:val="1"/>
      <w:marLeft w:val="0"/>
      <w:marRight w:val="0"/>
      <w:marTop w:val="0"/>
      <w:marBottom w:val="0"/>
      <w:divBdr>
        <w:top w:val="none" w:sz="0" w:space="0" w:color="auto"/>
        <w:left w:val="none" w:sz="0" w:space="0" w:color="auto"/>
        <w:bottom w:val="none" w:sz="0" w:space="0" w:color="auto"/>
        <w:right w:val="none" w:sz="0" w:space="0" w:color="auto"/>
      </w:divBdr>
    </w:div>
    <w:div w:id="1866357656">
      <w:bodyDiv w:val="1"/>
      <w:marLeft w:val="0"/>
      <w:marRight w:val="0"/>
      <w:marTop w:val="0"/>
      <w:marBottom w:val="0"/>
      <w:divBdr>
        <w:top w:val="none" w:sz="0" w:space="0" w:color="auto"/>
        <w:left w:val="none" w:sz="0" w:space="0" w:color="auto"/>
        <w:bottom w:val="none" w:sz="0" w:space="0" w:color="auto"/>
        <w:right w:val="none" w:sz="0" w:space="0" w:color="auto"/>
      </w:divBdr>
      <w:divsChild>
        <w:div w:id="1467158405">
          <w:marLeft w:val="1267"/>
          <w:marRight w:val="0"/>
          <w:marTop w:val="0"/>
          <w:marBottom w:val="0"/>
          <w:divBdr>
            <w:top w:val="none" w:sz="0" w:space="0" w:color="auto"/>
            <w:left w:val="none" w:sz="0" w:space="0" w:color="auto"/>
            <w:bottom w:val="none" w:sz="0" w:space="0" w:color="auto"/>
            <w:right w:val="none" w:sz="0" w:space="0" w:color="auto"/>
          </w:divBdr>
        </w:div>
      </w:divsChild>
    </w:div>
    <w:div w:id="1880363446">
      <w:bodyDiv w:val="1"/>
      <w:marLeft w:val="0"/>
      <w:marRight w:val="0"/>
      <w:marTop w:val="0"/>
      <w:marBottom w:val="0"/>
      <w:divBdr>
        <w:top w:val="none" w:sz="0" w:space="0" w:color="auto"/>
        <w:left w:val="none" w:sz="0" w:space="0" w:color="auto"/>
        <w:bottom w:val="none" w:sz="0" w:space="0" w:color="auto"/>
        <w:right w:val="none" w:sz="0" w:space="0" w:color="auto"/>
      </w:divBdr>
    </w:div>
    <w:div w:id="1899704249">
      <w:bodyDiv w:val="1"/>
      <w:marLeft w:val="0"/>
      <w:marRight w:val="0"/>
      <w:marTop w:val="0"/>
      <w:marBottom w:val="0"/>
      <w:divBdr>
        <w:top w:val="none" w:sz="0" w:space="0" w:color="auto"/>
        <w:left w:val="none" w:sz="0" w:space="0" w:color="auto"/>
        <w:bottom w:val="none" w:sz="0" w:space="0" w:color="auto"/>
        <w:right w:val="none" w:sz="0" w:space="0" w:color="auto"/>
      </w:divBdr>
    </w:div>
    <w:div w:id="2003043029">
      <w:bodyDiv w:val="1"/>
      <w:marLeft w:val="0"/>
      <w:marRight w:val="0"/>
      <w:marTop w:val="0"/>
      <w:marBottom w:val="0"/>
      <w:divBdr>
        <w:top w:val="none" w:sz="0" w:space="0" w:color="auto"/>
        <w:left w:val="none" w:sz="0" w:space="0" w:color="auto"/>
        <w:bottom w:val="none" w:sz="0" w:space="0" w:color="auto"/>
        <w:right w:val="none" w:sz="0" w:space="0" w:color="auto"/>
      </w:divBdr>
    </w:div>
    <w:div w:id="2075469567">
      <w:bodyDiv w:val="1"/>
      <w:marLeft w:val="0"/>
      <w:marRight w:val="0"/>
      <w:marTop w:val="0"/>
      <w:marBottom w:val="0"/>
      <w:divBdr>
        <w:top w:val="none" w:sz="0" w:space="0" w:color="auto"/>
        <w:left w:val="none" w:sz="0" w:space="0" w:color="auto"/>
        <w:bottom w:val="none" w:sz="0" w:space="0" w:color="auto"/>
        <w:right w:val="none" w:sz="0" w:space="0" w:color="auto"/>
      </w:divBdr>
      <w:divsChild>
        <w:div w:id="179243999">
          <w:marLeft w:val="0"/>
          <w:marRight w:val="0"/>
          <w:marTop w:val="0"/>
          <w:marBottom w:val="0"/>
          <w:divBdr>
            <w:top w:val="none" w:sz="0" w:space="0" w:color="auto"/>
            <w:left w:val="none" w:sz="0" w:space="0" w:color="auto"/>
            <w:bottom w:val="none" w:sz="0" w:space="0" w:color="auto"/>
            <w:right w:val="none" w:sz="0" w:space="0" w:color="auto"/>
          </w:divBdr>
        </w:div>
      </w:divsChild>
    </w:div>
    <w:div w:id="2103529665">
      <w:bodyDiv w:val="1"/>
      <w:marLeft w:val="0"/>
      <w:marRight w:val="0"/>
      <w:marTop w:val="0"/>
      <w:marBottom w:val="0"/>
      <w:divBdr>
        <w:top w:val="none" w:sz="0" w:space="0" w:color="auto"/>
        <w:left w:val="none" w:sz="0" w:space="0" w:color="auto"/>
        <w:bottom w:val="none" w:sz="0" w:space="0" w:color="auto"/>
        <w:right w:val="none" w:sz="0" w:space="0" w:color="auto"/>
      </w:divBdr>
      <w:divsChild>
        <w:div w:id="270433479">
          <w:marLeft w:val="0"/>
          <w:marRight w:val="0"/>
          <w:marTop w:val="0"/>
          <w:marBottom w:val="0"/>
          <w:divBdr>
            <w:top w:val="none" w:sz="0" w:space="0" w:color="auto"/>
            <w:left w:val="none" w:sz="0" w:space="0" w:color="auto"/>
            <w:bottom w:val="none" w:sz="0" w:space="0" w:color="auto"/>
            <w:right w:val="none" w:sz="0" w:space="0" w:color="auto"/>
          </w:divBdr>
        </w:div>
      </w:divsChild>
    </w:div>
    <w:div w:id="2103986024">
      <w:bodyDiv w:val="1"/>
      <w:marLeft w:val="0"/>
      <w:marRight w:val="0"/>
      <w:marTop w:val="0"/>
      <w:marBottom w:val="0"/>
      <w:divBdr>
        <w:top w:val="none" w:sz="0" w:space="0" w:color="auto"/>
        <w:left w:val="none" w:sz="0" w:space="0" w:color="auto"/>
        <w:bottom w:val="none" w:sz="0" w:space="0" w:color="auto"/>
        <w:right w:val="none" w:sz="0" w:space="0" w:color="auto"/>
      </w:divBdr>
      <w:divsChild>
        <w:div w:id="332924378">
          <w:marLeft w:val="0"/>
          <w:marRight w:val="0"/>
          <w:marTop w:val="0"/>
          <w:marBottom w:val="0"/>
          <w:divBdr>
            <w:top w:val="none" w:sz="0" w:space="0" w:color="auto"/>
            <w:left w:val="none" w:sz="0" w:space="0" w:color="auto"/>
            <w:bottom w:val="none" w:sz="0" w:space="0" w:color="auto"/>
            <w:right w:val="none" w:sz="0" w:space="0" w:color="auto"/>
          </w:divBdr>
        </w:div>
      </w:divsChild>
    </w:div>
    <w:div w:id="2112627618">
      <w:bodyDiv w:val="1"/>
      <w:marLeft w:val="0"/>
      <w:marRight w:val="0"/>
      <w:marTop w:val="0"/>
      <w:marBottom w:val="0"/>
      <w:divBdr>
        <w:top w:val="none" w:sz="0" w:space="0" w:color="auto"/>
        <w:left w:val="none" w:sz="0" w:space="0" w:color="auto"/>
        <w:bottom w:val="none" w:sz="0" w:space="0" w:color="auto"/>
        <w:right w:val="none" w:sz="0" w:space="0" w:color="auto"/>
      </w:divBdr>
    </w:div>
    <w:div w:id="2123648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2460</Words>
  <Characters>13377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15806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zhangzhengyu (F)</dc:creator>
  <cp:keywords/>
  <dc:description/>
  <cp:lastModifiedBy>Chilg</cp:lastModifiedBy>
  <cp:revision>3</cp:revision>
  <dcterms:created xsi:type="dcterms:W3CDTF">2025-09-29T08:41:00Z</dcterms:created>
  <dcterms:modified xsi:type="dcterms:W3CDTF">2025-09-30T09:25:00Z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1736751037</vt:lpwstr>
  </property>
</Properties>
</file>