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tblpY="960"/>
        <w:tblW w:w="9639" w:type="dxa"/>
        <w:tblLayout w:type="fixed"/>
        <w:tblCellMar>
          <w:left w:w="57" w:type="dxa"/>
          <w:right w:w="57" w:type="dxa"/>
        </w:tblCellMar>
        <w:tblLook w:val="0000" w:firstRow="0" w:lastRow="0" w:firstColumn="0" w:lastColumn="0" w:noHBand="0" w:noVBand="0"/>
      </w:tblPr>
      <w:tblGrid>
        <w:gridCol w:w="1105"/>
        <w:gridCol w:w="388"/>
        <w:gridCol w:w="54"/>
        <w:gridCol w:w="508"/>
        <w:gridCol w:w="2841"/>
        <w:gridCol w:w="561"/>
        <w:gridCol w:w="3898"/>
        <w:gridCol w:w="284"/>
      </w:tblGrid>
      <w:tr w:rsidR="00BB7AA8" w:rsidRPr="00BB7AA8" w14:paraId="3205A7F0" w14:textId="77777777" w:rsidTr="0028567B">
        <w:trPr>
          <w:cantSplit/>
        </w:trPr>
        <w:tc>
          <w:tcPr>
            <w:tcW w:w="1105" w:type="dxa"/>
            <w:vMerge w:val="restart"/>
            <w:vAlign w:val="center"/>
          </w:tcPr>
          <w:p w14:paraId="19FF354B" w14:textId="77777777" w:rsidR="00BB7AA8" w:rsidRPr="00BB7AA8" w:rsidRDefault="00BB7AA8" w:rsidP="0028567B">
            <w:pPr>
              <w:spacing w:before="0"/>
              <w:jc w:val="center"/>
              <w:rPr>
                <w:sz w:val="20"/>
                <w:szCs w:val="20"/>
              </w:rPr>
            </w:pPr>
            <w:bookmarkStart w:id="0" w:name="dnum" w:colFirst="2" w:colLast="2"/>
            <w:bookmarkStart w:id="1" w:name="dtableau"/>
            <w:r w:rsidRPr="00BB7AA8">
              <w:rPr>
                <w:noProof/>
              </w:rPr>
              <w:drawing>
                <wp:inline distT="0" distB="0" distL="0" distR="0" wp14:anchorId="141077C4" wp14:editId="4C3E4A66">
                  <wp:extent cx="471054" cy="512618"/>
                  <wp:effectExtent l="0" t="0" r="5715" b="1905"/>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1054" cy="512618"/>
                          </a:xfrm>
                          <a:prstGeom prst="rect">
                            <a:avLst/>
                          </a:prstGeom>
                          <a:noFill/>
                          <a:ln>
                            <a:noFill/>
                          </a:ln>
                        </pic:spPr>
                      </pic:pic>
                    </a:graphicData>
                  </a:graphic>
                </wp:inline>
              </w:drawing>
            </w:r>
          </w:p>
        </w:tc>
        <w:tc>
          <w:tcPr>
            <w:tcW w:w="4352" w:type="dxa"/>
            <w:gridSpan w:val="5"/>
            <w:vMerge w:val="restart"/>
          </w:tcPr>
          <w:p w14:paraId="6EAC3EFB" w14:textId="77777777" w:rsidR="00BB7AA8" w:rsidRPr="0028567B" w:rsidRDefault="00BB7AA8" w:rsidP="0028567B">
            <w:pPr>
              <w:rPr>
                <w:i/>
                <w:iCs/>
                <w:sz w:val="20"/>
                <w:szCs w:val="20"/>
              </w:rPr>
            </w:pPr>
            <w:r w:rsidRPr="0028567B">
              <w:rPr>
                <w:i/>
                <w:iCs/>
                <w:sz w:val="20"/>
                <w:szCs w:val="20"/>
              </w:rPr>
              <w:t>INTERNATIONAL TELECOMMUNICATION UNION</w:t>
            </w:r>
          </w:p>
          <w:p w14:paraId="60F920FD" w14:textId="77777777" w:rsidR="00BB7AA8" w:rsidRPr="0028567B" w:rsidRDefault="00BB7AA8" w:rsidP="0028567B">
            <w:pPr>
              <w:rPr>
                <w:i/>
                <w:iCs/>
                <w:sz w:val="20"/>
                <w:szCs w:val="20"/>
              </w:rPr>
            </w:pPr>
            <w:r w:rsidRPr="0028567B">
              <w:rPr>
                <w:i/>
                <w:iCs/>
                <w:sz w:val="20"/>
                <w:szCs w:val="20"/>
              </w:rPr>
              <w:t>TELECOMMUNICATION</w:t>
            </w:r>
            <w:r w:rsidRPr="0028567B">
              <w:rPr>
                <w:i/>
                <w:iCs/>
                <w:sz w:val="20"/>
                <w:szCs w:val="20"/>
              </w:rPr>
              <w:br/>
              <w:t>STANDARDIZATION SECTOR</w:t>
            </w:r>
          </w:p>
          <w:p w14:paraId="507362D9" w14:textId="173A653C" w:rsidR="00BB7AA8" w:rsidRPr="0028567B" w:rsidRDefault="00BB7AA8" w:rsidP="0028567B">
            <w:pPr>
              <w:rPr>
                <w:i/>
                <w:iCs/>
                <w:sz w:val="20"/>
                <w:szCs w:val="20"/>
              </w:rPr>
            </w:pPr>
            <w:r w:rsidRPr="0028567B">
              <w:rPr>
                <w:i/>
                <w:iCs/>
                <w:sz w:val="20"/>
                <w:szCs w:val="20"/>
              </w:rPr>
              <w:t>STUDY PERIOD 2025-2028</w:t>
            </w:r>
          </w:p>
        </w:tc>
        <w:tc>
          <w:tcPr>
            <w:tcW w:w="4182" w:type="dxa"/>
            <w:gridSpan w:val="2"/>
            <w:vAlign w:val="center"/>
          </w:tcPr>
          <w:p w14:paraId="75A40FF9" w14:textId="5DA6E8F3" w:rsidR="00BB7AA8" w:rsidRPr="0028567B" w:rsidRDefault="00BB7AA8" w:rsidP="0028567B">
            <w:pPr>
              <w:pStyle w:val="Docnumber"/>
              <w:rPr>
                <w:b w:val="0"/>
                <w:i/>
                <w:iCs/>
                <w:sz w:val="20"/>
              </w:rPr>
            </w:pPr>
            <w:r w:rsidRPr="0028567B">
              <w:rPr>
                <w:b w:val="0"/>
                <w:i/>
                <w:iCs/>
                <w:sz w:val="20"/>
              </w:rPr>
              <w:t>SG15-LS53</w:t>
            </w:r>
          </w:p>
        </w:tc>
      </w:tr>
      <w:tr w:rsidR="00BB7AA8" w:rsidRPr="00BB7AA8" w14:paraId="59371458" w14:textId="77777777" w:rsidTr="0028567B">
        <w:trPr>
          <w:cantSplit/>
        </w:trPr>
        <w:tc>
          <w:tcPr>
            <w:tcW w:w="1105" w:type="dxa"/>
            <w:vMerge/>
          </w:tcPr>
          <w:p w14:paraId="1E086BFF" w14:textId="77777777" w:rsidR="00BB7AA8" w:rsidRPr="00BB7AA8" w:rsidRDefault="00BB7AA8" w:rsidP="0028567B">
            <w:pPr>
              <w:rPr>
                <w:smallCaps/>
                <w:sz w:val="20"/>
              </w:rPr>
            </w:pPr>
            <w:bookmarkStart w:id="2" w:name="dsg" w:colFirst="2" w:colLast="2"/>
            <w:bookmarkEnd w:id="0"/>
          </w:p>
        </w:tc>
        <w:tc>
          <w:tcPr>
            <w:tcW w:w="4352" w:type="dxa"/>
            <w:gridSpan w:val="5"/>
            <w:vMerge/>
          </w:tcPr>
          <w:p w14:paraId="4423C5E4" w14:textId="77777777" w:rsidR="00BB7AA8" w:rsidRPr="0028567B" w:rsidRDefault="00BB7AA8" w:rsidP="0028567B">
            <w:pPr>
              <w:rPr>
                <w:i/>
                <w:iCs/>
                <w:smallCaps/>
                <w:sz w:val="20"/>
                <w:szCs w:val="20"/>
              </w:rPr>
            </w:pPr>
          </w:p>
        </w:tc>
        <w:tc>
          <w:tcPr>
            <w:tcW w:w="4182" w:type="dxa"/>
            <w:gridSpan w:val="2"/>
          </w:tcPr>
          <w:p w14:paraId="2B6B94C5" w14:textId="10DBDC81" w:rsidR="00BB7AA8" w:rsidRPr="0028567B" w:rsidRDefault="00BB7AA8" w:rsidP="0028567B">
            <w:pPr>
              <w:jc w:val="right"/>
              <w:rPr>
                <w:i/>
                <w:iCs/>
                <w:smallCaps/>
                <w:sz w:val="20"/>
                <w:szCs w:val="20"/>
              </w:rPr>
            </w:pPr>
            <w:r w:rsidRPr="0028567B">
              <w:rPr>
                <w:i/>
                <w:iCs/>
                <w:smallCaps/>
                <w:sz w:val="20"/>
                <w:szCs w:val="20"/>
              </w:rPr>
              <w:t>STUDY GROUP 15</w:t>
            </w:r>
          </w:p>
        </w:tc>
      </w:tr>
      <w:bookmarkEnd w:id="2"/>
      <w:tr w:rsidR="00BB7AA8" w:rsidRPr="00BB7AA8" w14:paraId="524DF583" w14:textId="77777777" w:rsidTr="0028567B">
        <w:trPr>
          <w:cantSplit/>
        </w:trPr>
        <w:tc>
          <w:tcPr>
            <w:tcW w:w="1105" w:type="dxa"/>
            <w:vMerge/>
            <w:tcBorders>
              <w:bottom w:val="single" w:sz="12" w:space="0" w:color="auto"/>
            </w:tcBorders>
          </w:tcPr>
          <w:p w14:paraId="31145873" w14:textId="77777777" w:rsidR="00BB7AA8" w:rsidRPr="00BB7AA8" w:rsidRDefault="00BB7AA8" w:rsidP="0028567B">
            <w:pPr>
              <w:rPr>
                <w:b/>
                <w:bCs/>
                <w:sz w:val="26"/>
              </w:rPr>
            </w:pPr>
          </w:p>
        </w:tc>
        <w:tc>
          <w:tcPr>
            <w:tcW w:w="4352" w:type="dxa"/>
            <w:gridSpan w:val="5"/>
            <w:vMerge/>
            <w:tcBorders>
              <w:bottom w:val="single" w:sz="12" w:space="0" w:color="auto"/>
            </w:tcBorders>
          </w:tcPr>
          <w:p w14:paraId="7491FD81" w14:textId="77777777" w:rsidR="00BB7AA8" w:rsidRPr="0028567B" w:rsidRDefault="00BB7AA8" w:rsidP="0028567B">
            <w:pPr>
              <w:rPr>
                <w:i/>
                <w:iCs/>
                <w:sz w:val="20"/>
                <w:szCs w:val="20"/>
              </w:rPr>
            </w:pPr>
          </w:p>
        </w:tc>
        <w:tc>
          <w:tcPr>
            <w:tcW w:w="4182" w:type="dxa"/>
            <w:gridSpan w:val="2"/>
            <w:tcBorders>
              <w:bottom w:val="single" w:sz="12" w:space="0" w:color="auto"/>
            </w:tcBorders>
            <w:vAlign w:val="center"/>
          </w:tcPr>
          <w:p w14:paraId="1FB733E1" w14:textId="77777777" w:rsidR="00BB7AA8" w:rsidRPr="0028567B" w:rsidRDefault="00BB7AA8" w:rsidP="0028567B">
            <w:pPr>
              <w:jc w:val="right"/>
              <w:rPr>
                <w:i/>
                <w:iCs/>
                <w:sz w:val="20"/>
                <w:szCs w:val="20"/>
              </w:rPr>
            </w:pPr>
            <w:r w:rsidRPr="0028567B">
              <w:rPr>
                <w:i/>
                <w:iCs/>
                <w:sz w:val="20"/>
                <w:szCs w:val="20"/>
              </w:rPr>
              <w:t>Original: English</w:t>
            </w:r>
          </w:p>
        </w:tc>
      </w:tr>
      <w:tr w:rsidR="00BB7AA8" w:rsidRPr="00BB7AA8" w14:paraId="5C7032D6" w14:textId="77777777" w:rsidTr="0028567B">
        <w:trPr>
          <w:cantSplit/>
        </w:trPr>
        <w:tc>
          <w:tcPr>
            <w:tcW w:w="1547" w:type="dxa"/>
            <w:gridSpan w:val="3"/>
          </w:tcPr>
          <w:p w14:paraId="13D073F7" w14:textId="77777777" w:rsidR="00BB7AA8" w:rsidRPr="00BB7AA8" w:rsidRDefault="00BB7AA8" w:rsidP="0028567B">
            <w:pPr>
              <w:rPr>
                <w:b/>
                <w:bCs/>
              </w:rPr>
            </w:pPr>
            <w:bookmarkStart w:id="3" w:name="dbluepink" w:colFirst="1" w:colLast="1"/>
            <w:bookmarkStart w:id="4" w:name="dmeeting" w:colFirst="2" w:colLast="2"/>
            <w:r w:rsidRPr="00BB7AA8">
              <w:rPr>
                <w:b/>
                <w:bCs/>
              </w:rPr>
              <w:t>Question(s):</w:t>
            </w:r>
          </w:p>
        </w:tc>
        <w:tc>
          <w:tcPr>
            <w:tcW w:w="3910" w:type="dxa"/>
            <w:gridSpan w:val="3"/>
          </w:tcPr>
          <w:p w14:paraId="3EFD883F" w14:textId="72C31871" w:rsidR="00BB7AA8" w:rsidRPr="00BB7AA8" w:rsidRDefault="00BB7AA8" w:rsidP="0028567B">
            <w:r w:rsidRPr="00BB7AA8">
              <w:t>12</w:t>
            </w:r>
            <w:r>
              <w:t>/15</w:t>
            </w:r>
          </w:p>
        </w:tc>
        <w:tc>
          <w:tcPr>
            <w:tcW w:w="4182" w:type="dxa"/>
            <w:gridSpan w:val="2"/>
          </w:tcPr>
          <w:p w14:paraId="1F60B799" w14:textId="2668C0CE" w:rsidR="00BB7AA8" w:rsidRPr="00BB7AA8" w:rsidRDefault="00BB7AA8" w:rsidP="0028567B">
            <w:pPr>
              <w:jc w:val="right"/>
            </w:pPr>
            <w:r w:rsidRPr="00BB7AA8">
              <w:t>Geneva, 13-24 October 2025</w:t>
            </w:r>
          </w:p>
        </w:tc>
      </w:tr>
      <w:tr w:rsidR="00BB7AA8" w:rsidRPr="00BB7AA8" w14:paraId="5C606669" w14:textId="77777777" w:rsidTr="0028567B">
        <w:trPr>
          <w:cantSplit/>
        </w:trPr>
        <w:tc>
          <w:tcPr>
            <w:tcW w:w="9639" w:type="dxa"/>
            <w:gridSpan w:val="8"/>
          </w:tcPr>
          <w:p w14:paraId="575B15CE" w14:textId="3835D8AD" w:rsidR="00BB7AA8" w:rsidRPr="00BB7AA8" w:rsidRDefault="00BB7AA8" w:rsidP="0028567B">
            <w:pPr>
              <w:jc w:val="center"/>
              <w:rPr>
                <w:b/>
                <w:bCs/>
              </w:rPr>
            </w:pPr>
            <w:bookmarkStart w:id="5" w:name="ddoctype"/>
            <w:bookmarkEnd w:id="3"/>
            <w:bookmarkEnd w:id="4"/>
            <w:r w:rsidRPr="00BB7AA8">
              <w:rPr>
                <w:b/>
                <w:bCs/>
              </w:rPr>
              <w:t>LS</w:t>
            </w:r>
            <w:r w:rsidR="00A050B3">
              <w:rPr>
                <w:b/>
                <w:bCs/>
              </w:rPr>
              <w:br/>
              <w:t>(Ref.: TD154/Plen-Annex G)</w:t>
            </w:r>
          </w:p>
        </w:tc>
      </w:tr>
      <w:tr w:rsidR="00BB7AA8" w:rsidRPr="00BB7AA8" w14:paraId="20626687" w14:textId="77777777" w:rsidTr="0028567B">
        <w:trPr>
          <w:cantSplit/>
        </w:trPr>
        <w:tc>
          <w:tcPr>
            <w:tcW w:w="1547" w:type="dxa"/>
            <w:gridSpan w:val="3"/>
          </w:tcPr>
          <w:p w14:paraId="7945BD88" w14:textId="77777777" w:rsidR="00BB7AA8" w:rsidRPr="00BB7AA8" w:rsidRDefault="00BB7AA8" w:rsidP="0028567B">
            <w:pPr>
              <w:rPr>
                <w:b/>
                <w:bCs/>
              </w:rPr>
            </w:pPr>
            <w:bookmarkStart w:id="6" w:name="dsource" w:colFirst="1" w:colLast="1"/>
            <w:bookmarkEnd w:id="5"/>
            <w:r w:rsidRPr="00BB7AA8">
              <w:rPr>
                <w:b/>
                <w:bCs/>
              </w:rPr>
              <w:t>Source:</w:t>
            </w:r>
          </w:p>
        </w:tc>
        <w:tc>
          <w:tcPr>
            <w:tcW w:w="8092" w:type="dxa"/>
            <w:gridSpan w:val="5"/>
          </w:tcPr>
          <w:p w14:paraId="0385001F" w14:textId="7ED07368" w:rsidR="00BB7AA8" w:rsidRPr="00BB7AA8" w:rsidRDefault="00BB7AA8" w:rsidP="0028567B">
            <w:r w:rsidRPr="00BB7AA8">
              <w:t>ITU-T S</w:t>
            </w:r>
            <w:r>
              <w:t xml:space="preserve">tudy </w:t>
            </w:r>
            <w:r w:rsidRPr="00BB7AA8">
              <w:t>G</w:t>
            </w:r>
            <w:r>
              <w:t xml:space="preserve">roup </w:t>
            </w:r>
            <w:r w:rsidRPr="00BB7AA8">
              <w:t>15</w:t>
            </w:r>
          </w:p>
        </w:tc>
      </w:tr>
      <w:tr w:rsidR="00BB7AA8" w:rsidRPr="00BB7AA8" w14:paraId="2C0D44AD" w14:textId="77777777" w:rsidTr="0028567B">
        <w:trPr>
          <w:cantSplit/>
        </w:trPr>
        <w:tc>
          <w:tcPr>
            <w:tcW w:w="1547" w:type="dxa"/>
            <w:gridSpan w:val="3"/>
            <w:tcBorders>
              <w:bottom w:val="single" w:sz="8" w:space="0" w:color="auto"/>
            </w:tcBorders>
          </w:tcPr>
          <w:p w14:paraId="7A040488" w14:textId="77777777" w:rsidR="00BB7AA8" w:rsidRPr="00BB7AA8" w:rsidRDefault="00BB7AA8" w:rsidP="0028567B">
            <w:pPr>
              <w:rPr>
                <w:b/>
                <w:bCs/>
              </w:rPr>
            </w:pPr>
            <w:bookmarkStart w:id="7" w:name="dtitle1" w:colFirst="1" w:colLast="1"/>
            <w:bookmarkEnd w:id="6"/>
            <w:r w:rsidRPr="00BB7AA8">
              <w:rPr>
                <w:b/>
                <w:bCs/>
              </w:rPr>
              <w:t>Title:</w:t>
            </w:r>
          </w:p>
        </w:tc>
        <w:tc>
          <w:tcPr>
            <w:tcW w:w="8092" w:type="dxa"/>
            <w:gridSpan w:val="5"/>
            <w:tcBorders>
              <w:bottom w:val="single" w:sz="8" w:space="0" w:color="auto"/>
            </w:tcBorders>
          </w:tcPr>
          <w:p w14:paraId="072EDE27" w14:textId="11A459E8" w:rsidR="00BB7AA8" w:rsidRPr="00BB7AA8" w:rsidRDefault="00BB7AA8" w:rsidP="0028567B">
            <w:r w:rsidRPr="00BB7AA8">
              <w:t>LS</w:t>
            </w:r>
            <w:r>
              <w:t xml:space="preserve"> on a</w:t>
            </w:r>
            <w:r w:rsidRPr="00BB7AA8">
              <w:t>pproval of Technical Report on International Optical Networks towards 2030 and Beyond (ION-2030)</w:t>
            </w:r>
          </w:p>
        </w:tc>
      </w:tr>
      <w:bookmarkEnd w:id="1"/>
      <w:bookmarkEnd w:id="7"/>
      <w:tr w:rsidR="006F7FB5" w:rsidRPr="00A8178E" w14:paraId="182CC670" w14:textId="77777777" w:rsidTr="0028567B">
        <w:tblPrEx>
          <w:tblCellSpacing w:w="0" w:type="dxa"/>
          <w:tblLook w:val="04A0" w:firstRow="1" w:lastRow="0" w:firstColumn="1" w:lastColumn="0" w:noHBand="0" w:noVBand="1"/>
        </w:tblPrEx>
        <w:trPr>
          <w:gridAfter w:val="1"/>
          <w:wAfter w:w="284" w:type="dxa"/>
          <w:trHeight w:val="357"/>
          <w:tblCellSpacing w:w="0" w:type="dxa"/>
        </w:trPr>
        <w:tc>
          <w:tcPr>
            <w:tcW w:w="9355" w:type="dxa"/>
            <w:gridSpan w:val="7"/>
            <w:tcMar>
              <w:top w:w="0" w:type="dxa"/>
              <w:left w:w="108" w:type="dxa"/>
              <w:bottom w:w="0" w:type="dxa"/>
              <w:right w:w="108" w:type="dxa"/>
            </w:tcMar>
            <w:vAlign w:val="center"/>
            <w:hideMark/>
          </w:tcPr>
          <w:p w14:paraId="4029A1B0" w14:textId="77777777" w:rsidR="006F7FB5" w:rsidRPr="00A8178E" w:rsidRDefault="006F7FB5" w:rsidP="0028567B">
            <w:pPr>
              <w:jc w:val="center"/>
              <w:rPr>
                <w:rFonts w:eastAsia="Times New Roman"/>
                <w:lang w:val="en-US" w:eastAsia="en-US"/>
              </w:rPr>
            </w:pPr>
            <w:r w:rsidRPr="00A8178E">
              <w:rPr>
                <w:rFonts w:eastAsia="Times New Roman"/>
                <w:b/>
                <w:bCs/>
                <w:color w:val="000000"/>
                <w:lang w:val="en-US" w:eastAsia="en-US"/>
              </w:rPr>
              <w:t>LIAISON STATEMENT</w:t>
            </w:r>
          </w:p>
        </w:tc>
      </w:tr>
      <w:tr w:rsidR="006F7FB5" w:rsidRPr="00A8178E" w14:paraId="692ABFDD" w14:textId="77777777" w:rsidTr="0028567B">
        <w:tblPrEx>
          <w:tblCellSpacing w:w="0" w:type="dxa"/>
          <w:tblLook w:val="04A0" w:firstRow="1" w:lastRow="0" w:firstColumn="1" w:lastColumn="0" w:noHBand="0" w:noVBand="1"/>
        </w:tblPrEx>
        <w:trPr>
          <w:gridAfter w:val="1"/>
          <w:wAfter w:w="284" w:type="dxa"/>
          <w:trHeight w:val="357"/>
          <w:tblCellSpacing w:w="0" w:type="dxa"/>
        </w:trPr>
        <w:tc>
          <w:tcPr>
            <w:tcW w:w="2055" w:type="dxa"/>
            <w:gridSpan w:val="4"/>
            <w:tcMar>
              <w:top w:w="0" w:type="dxa"/>
              <w:left w:w="108" w:type="dxa"/>
              <w:bottom w:w="0" w:type="dxa"/>
              <w:right w:w="108" w:type="dxa"/>
            </w:tcMar>
            <w:vAlign w:val="center"/>
            <w:hideMark/>
          </w:tcPr>
          <w:p w14:paraId="08C586F0" w14:textId="77777777" w:rsidR="006F7FB5" w:rsidRPr="00A8178E" w:rsidRDefault="006F7FB5" w:rsidP="0028567B">
            <w:pPr>
              <w:rPr>
                <w:rFonts w:eastAsia="Times New Roman"/>
                <w:lang w:val="en-US" w:eastAsia="en-US"/>
              </w:rPr>
            </w:pPr>
            <w:r w:rsidRPr="00A8178E">
              <w:rPr>
                <w:rFonts w:eastAsia="Times New Roman"/>
                <w:b/>
                <w:bCs/>
                <w:color w:val="000000"/>
                <w:lang w:val="en-US" w:eastAsia="en-US"/>
              </w:rPr>
              <w:t>For action to:</w:t>
            </w:r>
          </w:p>
        </w:tc>
        <w:tc>
          <w:tcPr>
            <w:tcW w:w="7300" w:type="dxa"/>
            <w:gridSpan w:val="3"/>
            <w:tcMar>
              <w:top w:w="0" w:type="dxa"/>
              <w:left w:w="108" w:type="dxa"/>
              <w:bottom w:w="0" w:type="dxa"/>
              <w:right w:w="108" w:type="dxa"/>
            </w:tcMar>
            <w:vAlign w:val="center"/>
            <w:hideMark/>
          </w:tcPr>
          <w:p w14:paraId="1CD66D45" w14:textId="77777777" w:rsidR="006F7FB5" w:rsidRPr="00A8178E" w:rsidRDefault="006F7FB5" w:rsidP="0028567B">
            <w:pPr>
              <w:tabs>
                <w:tab w:val="left" w:pos="794"/>
                <w:tab w:val="left" w:pos="1191"/>
                <w:tab w:val="left" w:pos="1588"/>
                <w:tab w:val="left" w:pos="1985"/>
              </w:tabs>
              <w:rPr>
                <w:rFonts w:eastAsia="Times New Roman"/>
                <w:lang w:val="en-US" w:eastAsia="en-US"/>
              </w:rPr>
            </w:pPr>
            <w:r w:rsidRPr="00A8178E">
              <w:rPr>
                <w:rFonts w:eastAsia="Times New Roman"/>
                <w:color w:val="000000"/>
                <w:lang w:val="en-US" w:eastAsia="en-US"/>
              </w:rPr>
              <w:t>ITU-R</w:t>
            </w:r>
            <w:r>
              <w:rPr>
                <w:rFonts w:eastAsia="Times New Roman"/>
                <w:color w:val="000000"/>
                <w:lang w:val="en-US" w:eastAsia="en-US"/>
              </w:rPr>
              <w:t xml:space="preserve"> SG5, ITU-R WP5D</w:t>
            </w:r>
            <w:r w:rsidRPr="00A8178E">
              <w:rPr>
                <w:rFonts w:eastAsia="Times New Roman"/>
                <w:color w:val="000000"/>
                <w:lang w:val="en-US" w:eastAsia="en-US"/>
              </w:rPr>
              <w:t xml:space="preserve">, </w:t>
            </w:r>
            <w:r>
              <w:rPr>
                <w:rFonts w:eastAsia="Times New Roman"/>
                <w:color w:val="000000"/>
                <w:lang w:val="en-US" w:eastAsia="en-US"/>
              </w:rPr>
              <w:t xml:space="preserve">ITU-T SG13, ITU-T </w:t>
            </w:r>
            <w:r w:rsidRPr="00A8178E">
              <w:rPr>
                <w:rFonts w:eastAsia="Times New Roman"/>
                <w:color w:val="000000"/>
                <w:lang w:val="en-US" w:eastAsia="en-US"/>
              </w:rPr>
              <w:t xml:space="preserve">SG20, </w:t>
            </w:r>
            <w:r>
              <w:rPr>
                <w:rFonts w:eastAsia="Times New Roman"/>
                <w:color w:val="000000"/>
                <w:lang w:val="en-US" w:eastAsia="en-US"/>
              </w:rPr>
              <w:t xml:space="preserve">ITU-T </w:t>
            </w:r>
            <w:r w:rsidRPr="00A8178E">
              <w:rPr>
                <w:rFonts w:eastAsia="Times New Roman"/>
                <w:color w:val="000000"/>
                <w:lang w:val="en-US" w:eastAsia="en-US"/>
              </w:rPr>
              <w:t>SG21, 3GPP, OIF, IOWN</w:t>
            </w:r>
            <w:r>
              <w:rPr>
                <w:rFonts w:eastAsia="Times New Roman"/>
                <w:color w:val="000000"/>
                <w:lang w:val="en-US" w:eastAsia="en-US"/>
              </w:rPr>
              <w:t xml:space="preserve"> GF</w:t>
            </w:r>
          </w:p>
        </w:tc>
      </w:tr>
      <w:tr w:rsidR="006F7FB5" w:rsidRPr="00A8178E" w14:paraId="620671F5" w14:textId="77777777" w:rsidTr="0028567B">
        <w:tblPrEx>
          <w:tblCellSpacing w:w="0" w:type="dxa"/>
          <w:tblLook w:val="04A0" w:firstRow="1" w:lastRow="0" w:firstColumn="1" w:lastColumn="0" w:noHBand="0" w:noVBand="1"/>
        </w:tblPrEx>
        <w:trPr>
          <w:gridAfter w:val="1"/>
          <w:wAfter w:w="284" w:type="dxa"/>
          <w:trHeight w:val="357"/>
          <w:tblCellSpacing w:w="0" w:type="dxa"/>
        </w:trPr>
        <w:tc>
          <w:tcPr>
            <w:tcW w:w="2055" w:type="dxa"/>
            <w:gridSpan w:val="4"/>
            <w:tcMar>
              <w:top w:w="0" w:type="dxa"/>
              <w:left w:w="108" w:type="dxa"/>
              <w:bottom w:w="0" w:type="dxa"/>
              <w:right w:w="108" w:type="dxa"/>
            </w:tcMar>
            <w:vAlign w:val="center"/>
            <w:hideMark/>
          </w:tcPr>
          <w:p w14:paraId="280F6C49" w14:textId="77777777" w:rsidR="006F7FB5" w:rsidRPr="00A8178E" w:rsidRDefault="006F7FB5" w:rsidP="0028567B">
            <w:pPr>
              <w:rPr>
                <w:rFonts w:eastAsia="Times New Roman"/>
                <w:lang w:val="en-US" w:eastAsia="en-US"/>
              </w:rPr>
            </w:pPr>
            <w:r w:rsidRPr="00A8178E">
              <w:rPr>
                <w:rFonts w:eastAsia="Times New Roman"/>
                <w:b/>
                <w:bCs/>
                <w:color w:val="000000"/>
                <w:lang w:val="en-US" w:eastAsia="en-US"/>
              </w:rPr>
              <w:t>For information to:</w:t>
            </w:r>
          </w:p>
        </w:tc>
        <w:tc>
          <w:tcPr>
            <w:tcW w:w="7300" w:type="dxa"/>
            <w:gridSpan w:val="3"/>
            <w:tcMar>
              <w:top w:w="0" w:type="dxa"/>
              <w:left w:w="108" w:type="dxa"/>
              <w:bottom w:w="0" w:type="dxa"/>
              <w:right w:w="108" w:type="dxa"/>
            </w:tcMar>
            <w:vAlign w:val="center"/>
          </w:tcPr>
          <w:p w14:paraId="72B9EEAE" w14:textId="77777777" w:rsidR="006F7FB5" w:rsidRPr="00A8178E" w:rsidRDefault="006F7FB5" w:rsidP="0028567B">
            <w:pPr>
              <w:rPr>
                <w:rFonts w:eastAsia="Times New Roman"/>
                <w:lang w:val="en-US" w:eastAsia="en-US"/>
              </w:rPr>
            </w:pPr>
            <w:r>
              <w:rPr>
                <w:rFonts w:eastAsia="Times New Roman"/>
                <w:lang w:val="en-US" w:eastAsia="en-US"/>
              </w:rPr>
              <w:t xml:space="preserve">IEEE 802, </w:t>
            </w:r>
            <w:r>
              <w:rPr>
                <w:rFonts w:eastAsia="Times New Roman"/>
                <w:color w:val="000000"/>
                <w:lang w:val="en-US" w:eastAsia="en-US"/>
              </w:rPr>
              <w:t>Broadband Forum, ETSI ISG F5G, IETF Routing Area</w:t>
            </w:r>
          </w:p>
        </w:tc>
      </w:tr>
      <w:tr w:rsidR="006F7FB5" w:rsidRPr="00A8178E" w14:paraId="6A457EFC" w14:textId="77777777" w:rsidTr="0028567B">
        <w:tblPrEx>
          <w:tblCellSpacing w:w="0" w:type="dxa"/>
          <w:tblLook w:val="04A0" w:firstRow="1" w:lastRow="0" w:firstColumn="1" w:lastColumn="0" w:noHBand="0" w:noVBand="1"/>
        </w:tblPrEx>
        <w:trPr>
          <w:gridAfter w:val="1"/>
          <w:wAfter w:w="284" w:type="dxa"/>
          <w:trHeight w:val="357"/>
          <w:tblCellSpacing w:w="0" w:type="dxa"/>
        </w:trPr>
        <w:tc>
          <w:tcPr>
            <w:tcW w:w="2055" w:type="dxa"/>
            <w:gridSpan w:val="4"/>
            <w:tcMar>
              <w:top w:w="0" w:type="dxa"/>
              <w:left w:w="108" w:type="dxa"/>
              <w:bottom w:w="0" w:type="dxa"/>
              <w:right w:w="108" w:type="dxa"/>
            </w:tcMar>
            <w:vAlign w:val="center"/>
            <w:hideMark/>
          </w:tcPr>
          <w:p w14:paraId="2C4EC1CF" w14:textId="77777777" w:rsidR="006F7FB5" w:rsidRPr="00A8178E" w:rsidRDefault="006F7FB5" w:rsidP="0028567B">
            <w:pPr>
              <w:rPr>
                <w:rFonts w:eastAsia="Times New Roman"/>
                <w:lang w:val="en-US" w:eastAsia="en-US"/>
              </w:rPr>
            </w:pPr>
            <w:r w:rsidRPr="00A8178E">
              <w:rPr>
                <w:rFonts w:eastAsia="Times New Roman"/>
                <w:b/>
                <w:bCs/>
                <w:color w:val="000000"/>
                <w:lang w:val="en-US" w:eastAsia="en-US"/>
              </w:rPr>
              <w:t>Approval:</w:t>
            </w:r>
          </w:p>
        </w:tc>
        <w:tc>
          <w:tcPr>
            <w:tcW w:w="7300" w:type="dxa"/>
            <w:gridSpan w:val="3"/>
            <w:tcMar>
              <w:top w:w="0" w:type="dxa"/>
              <w:left w:w="108" w:type="dxa"/>
              <w:bottom w:w="0" w:type="dxa"/>
              <w:right w:w="108" w:type="dxa"/>
            </w:tcMar>
            <w:vAlign w:val="center"/>
            <w:hideMark/>
          </w:tcPr>
          <w:p w14:paraId="646DFB10" w14:textId="77777777" w:rsidR="006F7FB5" w:rsidRPr="00A8178E" w:rsidRDefault="006F7FB5" w:rsidP="0028567B">
            <w:pPr>
              <w:rPr>
                <w:rFonts w:eastAsia="Times New Roman"/>
                <w:lang w:val="en-US" w:eastAsia="en-US"/>
              </w:rPr>
            </w:pPr>
            <w:r w:rsidRPr="00A8178E">
              <w:rPr>
                <w:rFonts w:eastAsia="Times New Roman"/>
                <w:color w:val="000000"/>
                <w:lang w:val="en-US" w:eastAsia="en-US"/>
              </w:rPr>
              <w:t>ITU-T SG15 meeting (Geneva, 24 October 2025)</w:t>
            </w:r>
          </w:p>
        </w:tc>
      </w:tr>
      <w:tr w:rsidR="006F7FB5" w:rsidRPr="00A8178E" w14:paraId="7E9C2910" w14:textId="77777777" w:rsidTr="0028567B">
        <w:tblPrEx>
          <w:tblCellSpacing w:w="0" w:type="dxa"/>
          <w:tblLook w:val="04A0" w:firstRow="1" w:lastRow="0" w:firstColumn="1" w:lastColumn="0" w:noHBand="0" w:noVBand="1"/>
        </w:tblPrEx>
        <w:trPr>
          <w:gridAfter w:val="1"/>
          <w:wAfter w:w="284" w:type="dxa"/>
          <w:trHeight w:val="357"/>
          <w:tblCellSpacing w:w="0" w:type="dxa"/>
        </w:trPr>
        <w:tc>
          <w:tcPr>
            <w:tcW w:w="2055" w:type="dxa"/>
            <w:gridSpan w:val="4"/>
            <w:tcBorders>
              <w:bottom w:val="single" w:sz="8" w:space="0" w:color="auto"/>
            </w:tcBorders>
            <w:tcMar>
              <w:top w:w="0" w:type="dxa"/>
              <w:left w:w="108" w:type="dxa"/>
              <w:bottom w:w="0" w:type="dxa"/>
              <w:right w:w="108" w:type="dxa"/>
            </w:tcMar>
            <w:vAlign w:val="center"/>
            <w:hideMark/>
          </w:tcPr>
          <w:p w14:paraId="07257227" w14:textId="77777777" w:rsidR="006F7FB5" w:rsidRPr="00A8178E" w:rsidRDefault="006F7FB5" w:rsidP="0028567B">
            <w:pPr>
              <w:rPr>
                <w:rFonts w:eastAsia="Times New Roman"/>
                <w:lang w:val="en-US" w:eastAsia="en-US"/>
              </w:rPr>
            </w:pPr>
            <w:r w:rsidRPr="00A8178E">
              <w:rPr>
                <w:rFonts w:eastAsia="Times New Roman"/>
                <w:b/>
                <w:bCs/>
                <w:color w:val="000000"/>
                <w:lang w:val="en-US" w:eastAsia="en-US"/>
              </w:rPr>
              <w:t>Deadline:</w:t>
            </w:r>
          </w:p>
        </w:tc>
        <w:tc>
          <w:tcPr>
            <w:tcW w:w="7300" w:type="dxa"/>
            <w:gridSpan w:val="3"/>
            <w:tcBorders>
              <w:bottom w:val="single" w:sz="8" w:space="0" w:color="auto"/>
            </w:tcBorders>
            <w:tcMar>
              <w:top w:w="0" w:type="dxa"/>
              <w:left w:w="108" w:type="dxa"/>
              <w:bottom w:w="0" w:type="dxa"/>
              <w:right w:w="108" w:type="dxa"/>
            </w:tcMar>
            <w:vAlign w:val="center"/>
            <w:hideMark/>
          </w:tcPr>
          <w:p w14:paraId="4298E529" w14:textId="77777777" w:rsidR="006F7FB5" w:rsidRPr="00A8178E" w:rsidRDefault="006F7FB5" w:rsidP="0028567B">
            <w:pPr>
              <w:rPr>
                <w:rFonts w:eastAsia="Times New Roman"/>
                <w:lang w:val="en-US" w:eastAsia="en-US"/>
              </w:rPr>
            </w:pPr>
            <w:r>
              <w:rPr>
                <w:rFonts w:eastAsia="Times New Roman"/>
                <w:lang w:val="en-US" w:eastAsia="en-US"/>
              </w:rPr>
              <w:t>1 June 2026</w:t>
            </w:r>
          </w:p>
        </w:tc>
      </w:tr>
      <w:tr w:rsidR="006F7FB5" w:rsidRPr="00A050B3" w14:paraId="6AE7753B" w14:textId="77777777" w:rsidTr="0028567B">
        <w:tblPrEx>
          <w:tblCellSpacing w:w="0" w:type="dxa"/>
          <w:tblLook w:val="04A0" w:firstRow="1" w:lastRow="0" w:firstColumn="1" w:lastColumn="0" w:noHBand="0" w:noVBand="1"/>
        </w:tblPrEx>
        <w:trPr>
          <w:gridAfter w:val="1"/>
          <w:wAfter w:w="284" w:type="dxa"/>
          <w:tblCellSpacing w:w="0" w:type="dxa"/>
        </w:trPr>
        <w:tc>
          <w:tcPr>
            <w:tcW w:w="1493" w:type="dxa"/>
            <w:gridSpan w:val="2"/>
            <w:tcMar>
              <w:top w:w="0" w:type="dxa"/>
              <w:left w:w="108" w:type="dxa"/>
              <w:bottom w:w="0" w:type="dxa"/>
              <w:right w:w="108" w:type="dxa"/>
            </w:tcMar>
            <w:vAlign w:val="center"/>
            <w:hideMark/>
          </w:tcPr>
          <w:p w14:paraId="47E03C7B" w14:textId="77777777" w:rsidR="006F7FB5" w:rsidRPr="00A8178E" w:rsidRDefault="006F7FB5" w:rsidP="0028567B">
            <w:pPr>
              <w:spacing w:line="254" w:lineRule="auto"/>
              <w:rPr>
                <w:rFonts w:eastAsia="Times New Roman"/>
                <w:lang w:val="en-US" w:eastAsia="en-US"/>
              </w:rPr>
            </w:pPr>
            <w:r w:rsidRPr="00A8178E">
              <w:rPr>
                <w:rFonts w:eastAsia="Times New Roman"/>
                <w:b/>
                <w:bCs/>
                <w:color w:val="000000"/>
                <w:lang w:val="en-US" w:eastAsia="en-US"/>
              </w:rPr>
              <w:t>Contact:</w:t>
            </w:r>
          </w:p>
        </w:tc>
        <w:tc>
          <w:tcPr>
            <w:tcW w:w="3403" w:type="dxa"/>
            <w:gridSpan w:val="3"/>
            <w:tcMar>
              <w:top w:w="0" w:type="dxa"/>
              <w:left w:w="108" w:type="dxa"/>
              <w:bottom w:w="0" w:type="dxa"/>
              <w:right w:w="108" w:type="dxa"/>
            </w:tcMar>
            <w:vAlign w:val="center"/>
            <w:hideMark/>
          </w:tcPr>
          <w:p w14:paraId="007D034B" w14:textId="7636B9AA" w:rsidR="006F7FB5" w:rsidRPr="00A8178E" w:rsidRDefault="006F7FB5" w:rsidP="0028567B">
            <w:pPr>
              <w:spacing w:line="254" w:lineRule="auto"/>
              <w:rPr>
                <w:rFonts w:eastAsia="Times New Roman"/>
                <w:lang w:val="en-US" w:eastAsia="en-US"/>
              </w:rPr>
            </w:pPr>
            <w:r w:rsidRPr="00A8178E">
              <w:rPr>
                <w:rFonts w:eastAsia="Times New Roman"/>
                <w:color w:val="000000"/>
                <w:lang w:val="en-US" w:eastAsia="en-US"/>
              </w:rPr>
              <w:t>Stephen Shew</w:t>
            </w:r>
            <w:r w:rsidRPr="00A8178E">
              <w:rPr>
                <w:rFonts w:eastAsia="Times New Roman"/>
                <w:color w:val="000000"/>
                <w:lang w:val="en-US" w:eastAsia="en-US"/>
              </w:rPr>
              <w:br/>
              <w:t>Rapporteur Q12/15</w:t>
            </w:r>
          </w:p>
        </w:tc>
        <w:tc>
          <w:tcPr>
            <w:tcW w:w="4459" w:type="dxa"/>
            <w:gridSpan w:val="2"/>
            <w:tcMar>
              <w:top w:w="0" w:type="dxa"/>
              <w:left w:w="108" w:type="dxa"/>
              <w:bottom w:w="0" w:type="dxa"/>
              <w:right w:w="108" w:type="dxa"/>
            </w:tcMar>
            <w:vAlign w:val="center"/>
            <w:hideMark/>
          </w:tcPr>
          <w:p w14:paraId="56F40818" w14:textId="7B079724" w:rsidR="006F7FB5" w:rsidRPr="00257A56" w:rsidRDefault="006F7FB5" w:rsidP="0028567B">
            <w:pPr>
              <w:tabs>
                <w:tab w:val="left" w:pos="794"/>
              </w:tabs>
              <w:spacing w:line="254" w:lineRule="auto"/>
              <w:rPr>
                <w:rFonts w:eastAsia="Times New Roman"/>
                <w:lang w:val="de-CH" w:eastAsia="en-US"/>
              </w:rPr>
            </w:pPr>
            <w:r w:rsidRPr="00257A56">
              <w:rPr>
                <w:rFonts w:eastAsia="Times New Roman"/>
                <w:color w:val="000000"/>
                <w:lang w:val="de-CH" w:eastAsia="en-US"/>
              </w:rPr>
              <w:t>Tel: +1 613-791-3726</w:t>
            </w:r>
            <w:r w:rsidRPr="00257A56">
              <w:rPr>
                <w:rFonts w:eastAsia="Times New Roman"/>
                <w:color w:val="000000"/>
                <w:lang w:val="de-CH" w:eastAsia="en-US"/>
              </w:rPr>
              <w:br/>
              <w:t xml:space="preserve"> E-mail: </w:t>
            </w:r>
            <w:hyperlink r:id="rId8" w:history="1">
              <w:r w:rsidR="00BB7AA8" w:rsidRPr="00F51D0C">
                <w:rPr>
                  <w:rStyle w:val="Hyperlink"/>
                  <w:rFonts w:eastAsia="Times New Roman"/>
                  <w:lang w:val="de-CH" w:eastAsia="en-US"/>
                </w:rPr>
                <w:t>sshew@ciena.com</w:t>
              </w:r>
            </w:hyperlink>
            <w:r w:rsidR="00BB7AA8">
              <w:rPr>
                <w:rFonts w:eastAsia="Times New Roman"/>
                <w:color w:val="000000"/>
                <w:lang w:val="de-CH" w:eastAsia="en-US"/>
              </w:rPr>
              <w:t xml:space="preserve"> </w:t>
            </w:r>
          </w:p>
        </w:tc>
      </w:tr>
      <w:tr w:rsidR="006F7FB5" w:rsidRPr="00A050B3" w14:paraId="1C929EB9" w14:textId="77777777" w:rsidTr="0028567B">
        <w:tblPrEx>
          <w:tblCellSpacing w:w="0" w:type="dxa"/>
          <w:tblLook w:val="04A0" w:firstRow="1" w:lastRow="0" w:firstColumn="1" w:lastColumn="0" w:noHBand="0" w:noVBand="1"/>
        </w:tblPrEx>
        <w:trPr>
          <w:gridAfter w:val="1"/>
          <w:wAfter w:w="284" w:type="dxa"/>
          <w:tblCellSpacing w:w="0" w:type="dxa"/>
        </w:trPr>
        <w:tc>
          <w:tcPr>
            <w:tcW w:w="1493" w:type="dxa"/>
            <w:gridSpan w:val="2"/>
            <w:tcMar>
              <w:top w:w="0" w:type="dxa"/>
              <w:left w:w="108" w:type="dxa"/>
              <w:bottom w:w="0" w:type="dxa"/>
              <w:right w:w="108" w:type="dxa"/>
            </w:tcMar>
            <w:vAlign w:val="center"/>
            <w:hideMark/>
          </w:tcPr>
          <w:p w14:paraId="4C894F0B" w14:textId="77777777" w:rsidR="006F7FB5" w:rsidRPr="00A8178E" w:rsidRDefault="006F7FB5" w:rsidP="0028567B">
            <w:pPr>
              <w:spacing w:line="254" w:lineRule="auto"/>
              <w:rPr>
                <w:rFonts w:eastAsia="Times New Roman"/>
                <w:lang w:val="en-US" w:eastAsia="en-US"/>
              </w:rPr>
            </w:pPr>
            <w:r w:rsidRPr="00A8178E">
              <w:rPr>
                <w:rFonts w:eastAsia="Times New Roman"/>
                <w:b/>
                <w:bCs/>
                <w:color w:val="000000"/>
                <w:lang w:val="en-US" w:eastAsia="en-US"/>
              </w:rPr>
              <w:t>Contact:</w:t>
            </w:r>
          </w:p>
        </w:tc>
        <w:tc>
          <w:tcPr>
            <w:tcW w:w="3403" w:type="dxa"/>
            <w:gridSpan w:val="3"/>
            <w:tcMar>
              <w:top w:w="0" w:type="dxa"/>
              <w:left w:w="108" w:type="dxa"/>
              <w:bottom w:w="0" w:type="dxa"/>
              <w:right w:w="108" w:type="dxa"/>
            </w:tcMar>
            <w:vAlign w:val="center"/>
            <w:hideMark/>
          </w:tcPr>
          <w:p w14:paraId="4AAA4784" w14:textId="2C7DAD17" w:rsidR="006F7FB5" w:rsidRPr="00257A56" w:rsidRDefault="006F7FB5" w:rsidP="0028567B">
            <w:pPr>
              <w:spacing w:line="254" w:lineRule="auto"/>
              <w:rPr>
                <w:rFonts w:eastAsia="Times New Roman"/>
                <w:lang w:val="fr-CH" w:eastAsia="en-US"/>
              </w:rPr>
            </w:pPr>
            <w:r w:rsidRPr="00257A56">
              <w:rPr>
                <w:rFonts w:eastAsia="Times New Roman"/>
                <w:color w:val="000000"/>
                <w:lang w:val="fr-CH" w:eastAsia="en-US"/>
              </w:rPr>
              <w:t>Haomian Zheng</w:t>
            </w:r>
            <w:r w:rsidRPr="00257A56">
              <w:rPr>
                <w:rFonts w:eastAsia="Times New Roman"/>
                <w:color w:val="000000"/>
                <w:lang w:val="fr-CH" w:eastAsia="en-US"/>
              </w:rPr>
              <w:br/>
              <w:t>Associate Rapporteur Q12/15</w:t>
            </w:r>
          </w:p>
        </w:tc>
        <w:tc>
          <w:tcPr>
            <w:tcW w:w="4459" w:type="dxa"/>
            <w:gridSpan w:val="2"/>
            <w:tcMar>
              <w:top w:w="0" w:type="dxa"/>
              <w:left w:w="108" w:type="dxa"/>
              <w:bottom w:w="0" w:type="dxa"/>
              <w:right w:w="108" w:type="dxa"/>
            </w:tcMar>
            <w:vAlign w:val="center"/>
            <w:hideMark/>
          </w:tcPr>
          <w:p w14:paraId="018669B9" w14:textId="053CE790" w:rsidR="006F7FB5" w:rsidRPr="00257A56" w:rsidRDefault="006F7FB5" w:rsidP="0028567B">
            <w:pPr>
              <w:tabs>
                <w:tab w:val="left" w:pos="794"/>
              </w:tabs>
              <w:spacing w:line="254" w:lineRule="auto"/>
              <w:rPr>
                <w:rFonts w:eastAsia="Times New Roman"/>
                <w:lang w:val="de-CH" w:eastAsia="en-US"/>
              </w:rPr>
            </w:pPr>
            <w:r w:rsidRPr="00257A56">
              <w:rPr>
                <w:rFonts w:eastAsia="Times New Roman"/>
                <w:color w:val="000000"/>
                <w:lang w:val="de-CH" w:eastAsia="en-US"/>
              </w:rPr>
              <w:t>Tel: +86-13066975206</w:t>
            </w:r>
            <w:r w:rsidRPr="00257A56">
              <w:rPr>
                <w:rFonts w:eastAsia="Times New Roman"/>
                <w:color w:val="000000"/>
                <w:lang w:val="de-CH" w:eastAsia="en-US"/>
              </w:rPr>
              <w:br/>
              <w:t xml:space="preserve"> E-mail: </w:t>
            </w:r>
            <w:hyperlink r:id="rId9" w:history="1">
              <w:r w:rsidR="00BB7AA8" w:rsidRPr="00F51D0C">
                <w:rPr>
                  <w:rStyle w:val="Hyperlink"/>
                  <w:rFonts w:eastAsia="Times New Roman"/>
                  <w:lang w:val="de-CH" w:eastAsia="en-US"/>
                </w:rPr>
                <w:t>zhenghaomian@huawei.com</w:t>
              </w:r>
            </w:hyperlink>
            <w:r w:rsidR="00BB7AA8">
              <w:rPr>
                <w:rFonts w:eastAsia="Times New Roman"/>
                <w:color w:val="000000"/>
                <w:lang w:val="de-CH" w:eastAsia="en-US"/>
              </w:rPr>
              <w:t xml:space="preserve"> </w:t>
            </w:r>
          </w:p>
        </w:tc>
      </w:tr>
    </w:tbl>
    <w:p w14:paraId="5D2A5B4A" w14:textId="26936C03" w:rsidR="0028567B" w:rsidRPr="00A079D3" w:rsidRDefault="006F7FB5" w:rsidP="0028567B">
      <w:pPr>
        <w:keepLines/>
        <w:tabs>
          <w:tab w:val="left" w:pos="567"/>
        </w:tabs>
        <w:snapToGrid w:val="0"/>
        <w:rPr>
          <w:rFonts w:ascii="Arial" w:eastAsia="MS Mincho" w:hAnsi="Arial" w:cs="Arial"/>
          <w:b/>
          <w:sz w:val="28"/>
          <w:szCs w:val="28"/>
        </w:rPr>
      </w:pPr>
      <w:r w:rsidRPr="00257A56">
        <w:rPr>
          <w:rFonts w:eastAsia="Times New Roman"/>
          <w:lang w:val="de-CH" w:eastAsia="en-US"/>
        </w:rPr>
        <w:t> </w:t>
      </w:r>
      <w:r w:rsidR="0028567B" w:rsidRPr="00A079D3">
        <w:rPr>
          <w:rFonts w:ascii="Arial" w:hAnsi="Arial" w:cs="Arial"/>
          <w:b/>
          <w:sz w:val="28"/>
          <w:szCs w:val="28"/>
        </w:rPr>
        <w:t xml:space="preserve">3GPP TSG </w:t>
      </w:r>
      <w:r w:rsidR="0028567B">
        <w:rPr>
          <w:rFonts w:ascii="Arial" w:hAnsi="Arial" w:cs="Arial"/>
          <w:b/>
          <w:sz w:val="28"/>
          <w:szCs w:val="28"/>
        </w:rPr>
        <w:t>RAN Meeting #110</w:t>
      </w:r>
      <w:r w:rsidR="0028567B" w:rsidRPr="00A079D3">
        <w:rPr>
          <w:rFonts w:ascii="Arial" w:hAnsi="Arial" w:cs="Arial"/>
          <w:b/>
          <w:sz w:val="28"/>
          <w:szCs w:val="28"/>
        </w:rPr>
        <w:tab/>
      </w:r>
      <w:r w:rsidR="0028567B">
        <w:rPr>
          <w:rFonts w:ascii="Arial" w:hAnsi="Arial" w:cs="Arial"/>
          <w:b/>
          <w:sz w:val="28"/>
          <w:szCs w:val="28"/>
        </w:rPr>
        <w:tab/>
      </w:r>
      <w:r w:rsidR="0028567B" w:rsidRPr="00A079D3">
        <w:rPr>
          <w:rFonts w:ascii="Arial" w:hAnsi="Arial" w:cs="Arial"/>
          <w:b/>
          <w:sz w:val="28"/>
          <w:szCs w:val="28"/>
        </w:rPr>
        <w:tab/>
      </w:r>
      <w:r w:rsidR="0028567B" w:rsidRPr="00A079D3">
        <w:rPr>
          <w:rFonts w:ascii="Arial" w:eastAsia="MS Mincho" w:hAnsi="Arial" w:cs="Arial"/>
          <w:b/>
          <w:sz w:val="28"/>
          <w:szCs w:val="28"/>
        </w:rPr>
        <w:tab/>
      </w:r>
      <w:r w:rsidR="0028567B">
        <w:rPr>
          <w:rFonts w:ascii="Arial" w:eastAsia="MS Mincho" w:hAnsi="Arial" w:cs="Arial"/>
          <w:b/>
          <w:sz w:val="28"/>
          <w:szCs w:val="28"/>
        </w:rPr>
        <w:tab/>
      </w:r>
      <w:r w:rsidR="0028567B" w:rsidRPr="00A079D3">
        <w:rPr>
          <w:rFonts w:ascii="Arial" w:eastAsia="MS Mincho" w:hAnsi="Arial" w:cs="Arial" w:hint="eastAsia"/>
          <w:b/>
          <w:sz w:val="28"/>
          <w:szCs w:val="28"/>
        </w:rPr>
        <w:tab/>
      </w:r>
      <w:r w:rsidR="0028567B" w:rsidRPr="00A079D3">
        <w:rPr>
          <w:rFonts w:ascii="Arial" w:hAnsi="Arial" w:cs="Arial"/>
          <w:b/>
          <w:sz w:val="28"/>
          <w:szCs w:val="28"/>
        </w:rPr>
        <w:t>RP-</w:t>
      </w:r>
      <w:r w:rsidR="0028567B">
        <w:rPr>
          <w:rFonts w:ascii="Arial" w:hAnsi="Arial" w:cs="Arial"/>
          <w:b/>
          <w:sz w:val="28"/>
          <w:szCs w:val="28"/>
        </w:rPr>
        <w:t>25</w:t>
      </w:r>
      <w:r w:rsidR="0028567B">
        <w:rPr>
          <w:rFonts w:ascii="Arial" w:hAnsi="Arial" w:cs="Arial"/>
          <w:b/>
          <w:sz w:val="28"/>
          <w:szCs w:val="28"/>
        </w:rPr>
        <w:t>3421</w:t>
      </w:r>
    </w:p>
    <w:p w14:paraId="3CFCFD40" w14:textId="77777777" w:rsidR="0028567B" w:rsidRPr="00A079D3" w:rsidRDefault="0028567B" w:rsidP="0028567B">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3FDFE1BF" w14:textId="508C5225" w:rsidR="006F7FB5" w:rsidRPr="00257A56" w:rsidRDefault="006F7FB5" w:rsidP="006F7FB5">
      <w:pPr>
        <w:rPr>
          <w:rFonts w:eastAsia="Times New Roman"/>
          <w:lang w:val="de-CH" w:eastAsia="en-US"/>
        </w:rPr>
      </w:pPr>
    </w:p>
    <w:tbl>
      <w:tblPr>
        <w:tblW w:w="0" w:type="auto"/>
        <w:tblCellSpacing w:w="0" w:type="dxa"/>
        <w:tblCellMar>
          <w:left w:w="57" w:type="dxa"/>
          <w:right w:w="57" w:type="dxa"/>
        </w:tblCellMar>
        <w:tblLook w:val="04A0" w:firstRow="1" w:lastRow="0" w:firstColumn="1" w:lastColumn="0" w:noHBand="0" w:noVBand="1"/>
      </w:tblPr>
      <w:tblGrid>
        <w:gridCol w:w="1588"/>
        <w:gridCol w:w="8050"/>
      </w:tblGrid>
      <w:tr w:rsidR="006F7FB5" w:rsidRPr="00A8178E" w14:paraId="0286F7EE" w14:textId="77777777" w:rsidTr="00037215">
        <w:trPr>
          <w:tblCellSpacing w:w="0" w:type="dxa"/>
        </w:trPr>
        <w:tc>
          <w:tcPr>
            <w:tcW w:w="1588" w:type="dxa"/>
            <w:tcBorders>
              <w:top w:val="nil"/>
              <w:left w:val="nil"/>
              <w:bottom w:val="nil"/>
              <w:right w:val="nil"/>
            </w:tcBorders>
            <w:tcMar>
              <w:top w:w="0" w:type="dxa"/>
              <w:left w:w="108" w:type="dxa"/>
              <w:bottom w:w="0" w:type="dxa"/>
              <w:right w:w="108" w:type="dxa"/>
            </w:tcMar>
            <w:vAlign w:val="center"/>
            <w:hideMark/>
          </w:tcPr>
          <w:p w14:paraId="0AE426C2" w14:textId="77777777" w:rsidR="006F7FB5" w:rsidRPr="00A8178E" w:rsidRDefault="006F7FB5" w:rsidP="00037215">
            <w:pPr>
              <w:rPr>
                <w:rFonts w:eastAsia="Times New Roman"/>
                <w:lang w:val="en-US" w:eastAsia="en-US"/>
              </w:rPr>
            </w:pPr>
            <w:r w:rsidRPr="00A8178E">
              <w:rPr>
                <w:rFonts w:eastAsia="Times New Roman"/>
                <w:b/>
                <w:bCs/>
                <w:color w:val="000000"/>
                <w:lang w:val="en-US" w:eastAsia="en-US"/>
              </w:rPr>
              <w:t>Abstract:</w:t>
            </w:r>
          </w:p>
        </w:tc>
        <w:tc>
          <w:tcPr>
            <w:tcW w:w="8051" w:type="dxa"/>
            <w:tcBorders>
              <w:top w:val="nil"/>
              <w:left w:val="nil"/>
              <w:bottom w:val="nil"/>
              <w:right w:val="nil"/>
            </w:tcBorders>
            <w:tcMar>
              <w:top w:w="0" w:type="dxa"/>
              <w:left w:w="108" w:type="dxa"/>
              <w:bottom w:w="0" w:type="dxa"/>
              <w:right w:w="108" w:type="dxa"/>
            </w:tcMar>
            <w:vAlign w:val="center"/>
            <w:hideMark/>
          </w:tcPr>
          <w:p w14:paraId="6DAF8B7C" w14:textId="77777777" w:rsidR="006F7FB5" w:rsidRPr="00A8178E" w:rsidRDefault="006F7FB5" w:rsidP="00037215">
            <w:pPr>
              <w:rPr>
                <w:rFonts w:eastAsia="Times New Roman"/>
                <w:lang w:val="en-US" w:eastAsia="en-US"/>
              </w:rPr>
            </w:pPr>
            <w:r w:rsidRPr="00A8178E">
              <w:rPr>
                <w:rFonts w:eastAsia="Times New Roman"/>
                <w:color w:val="000000"/>
                <w:lang w:val="en-US" w:eastAsia="en-US"/>
              </w:rPr>
              <w:t>This liaison statement announces the</w:t>
            </w:r>
            <w:r>
              <w:rPr>
                <w:rFonts w:eastAsia="Times New Roman"/>
                <w:color w:val="000000"/>
                <w:lang w:val="en-US" w:eastAsia="en-US"/>
              </w:rPr>
              <w:t xml:space="preserve"> agreement</w:t>
            </w:r>
            <w:r w:rsidRPr="00A8178E">
              <w:rPr>
                <w:rFonts w:eastAsia="Times New Roman"/>
                <w:color w:val="000000"/>
                <w:lang w:val="en-US" w:eastAsia="en-US"/>
              </w:rPr>
              <w:t xml:space="preserve"> of ITU-T Technical Report GSTR-ION-2030, introduces the key contents, and invites feedback that can influence future standards development activities.</w:t>
            </w:r>
          </w:p>
        </w:tc>
      </w:tr>
    </w:tbl>
    <w:p w14:paraId="406B4CCE" w14:textId="77777777" w:rsidR="0028567B" w:rsidRDefault="0028567B" w:rsidP="006F7FB5">
      <w:pPr>
        <w:spacing w:before="0" w:after="160"/>
        <w:rPr>
          <w:rFonts w:eastAsia="Times New Roman"/>
          <w:color w:val="000000"/>
          <w:lang w:val="en-US" w:eastAsia="en-US"/>
        </w:rPr>
      </w:pPr>
    </w:p>
    <w:p w14:paraId="13A13854" w14:textId="7F1414B4"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 xml:space="preserve">We are pleased to inform you that at our 13-24 October 2025 plenary meeting, ITU-T SG15 has published a technical report intended to guide the evolution of optical networks. The technical report is </w:t>
      </w:r>
      <w:r w:rsidR="00CD32DB" w:rsidRPr="00A8178E">
        <w:rPr>
          <w:rFonts w:eastAsia="Times New Roman"/>
          <w:color w:val="000000"/>
          <w:lang w:val="en-US" w:eastAsia="en-US"/>
        </w:rPr>
        <w:t>attached,</w:t>
      </w:r>
      <w:r w:rsidRPr="00A8178E">
        <w:rPr>
          <w:rFonts w:eastAsia="Times New Roman"/>
          <w:color w:val="000000"/>
          <w:lang w:val="en-US" w:eastAsia="en-US"/>
        </w:rPr>
        <w:t xml:space="preserve"> and its key contents are summarized below.</w:t>
      </w:r>
    </w:p>
    <w:p w14:paraId="2AFAB51A"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International Optical Networks towards 2030 and Beyond (ION-2030) is a strategic framework developed by ITU-T Study Group 15 to guide the evolution of International Optical Networks. It supports emerging technologies and societal goals including IMT-2030, Artificial Intelligence (AI), Data Centre</w:t>
      </w:r>
      <w:r>
        <w:rPr>
          <w:rFonts w:eastAsia="Times New Roman"/>
          <w:color w:val="000000"/>
          <w:lang w:val="en-US" w:eastAsia="en-US"/>
        </w:rPr>
        <w:t>s</w:t>
      </w:r>
      <w:r w:rsidRPr="00A8178E">
        <w:rPr>
          <w:rFonts w:eastAsia="Times New Roman"/>
          <w:color w:val="000000"/>
          <w:lang w:val="en-US" w:eastAsia="en-US"/>
        </w:rPr>
        <w:t>, and Broadband Access. The report targets analysts, CTOs, and product managers, aiming to define capabilities, usage scenarios, and a standardization roadmap for next-generation optical networks.</w:t>
      </w:r>
    </w:p>
    <w:p w14:paraId="6F025DF7"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Key Trends identified are:</w:t>
      </w:r>
    </w:p>
    <w:p w14:paraId="48DBBD6C"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IMT-2030: Emphasizes ubiquitous intelligence, immersive multimedia, digital twins, smart industries, and sustainability. Optical networks must support high bandwidth, low latency, and precision synchronization.</w:t>
      </w:r>
    </w:p>
    <w:p w14:paraId="30FEB945"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lastRenderedPageBreak/>
        <w:t>AI: AI enhances network operations via multimodal models, digital twins, autonomous agents, and energy-saving mechanisms. Optical networks also enable edge AI and AI-as-a-service.</w:t>
      </w:r>
    </w:p>
    <w:p w14:paraId="37164829"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Data Centres: Requires ultra-high bandwidth (400G/800G+), low-latency, and energy-efficient optical links with synchronization for distributed computing.</w:t>
      </w:r>
    </w:p>
    <w:p w14:paraId="6CDB1A4B" w14:textId="77777777" w:rsidR="006F7FB5" w:rsidRPr="00A8178E" w:rsidRDefault="006F7FB5" w:rsidP="006F7FB5">
      <w:pPr>
        <w:numPr>
          <w:ilvl w:val="0"/>
          <w:numId w:val="1"/>
        </w:numPr>
        <w:spacing w:before="0"/>
        <w:ind w:left="1080"/>
        <w:rPr>
          <w:rFonts w:eastAsia="Times New Roman"/>
          <w:lang w:val="en-US" w:eastAsia="en-US"/>
        </w:rPr>
      </w:pPr>
      <w:r w:rsidRPr="00A8178E">
        <w:rPr>
          <w:rFonts w:eastAsia="Times New Roman"/>
          <w:color w:val="000000"/>
          <w:lang w:val="en-US" w:eastAsia="en-US"/>
        </w:rPr>
        <w:t>Broadband Access: Transition from copper to fiber with advanced PON technologies supporting gigabit and 10G+ services, integrated with in-premises networks and IoT.</w:t>
      </w:r>
    </w:p>
    <w:p w14:paraId="2C8CA170"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2A1A18A3" w14:textId="77777777" w:rsidR="006F7FB5" w:rsidRPr="00A8178E" w:rsidRDefault="006F7FB5" w:rsidP="006F7FB5">
      <w:pPr>
        <w:spacing w:before="0" w:after="160"/>
        <w:jc w:val="both"/>
        <w:rPr>
          <w:rFonts w:eastAsia="Times New Roman"/>
          <w:lang w:val="en-US" w:eastAsia="en-US"/>
        </w:rPr>
      </w:pPr>
      <w:r w:rsidRPr="00A8178E">
        <w:rPr>
          <w:rFonts w:eastAsia="Times New Roman"/>
          <w:color w:val="000000"/>
          <w:lang w:val="en-US" w:eastAsia="en-US"/>
        </w:rPr>
        <w:t>ION-2030 Capabilities are:</w:t>
      </w:r>
    </w:p>
    <w:p w14:paraId="462FDB9D" w14:textId="77777777" w:rsidR="006F7FB5" w:rsidRPr="00A8178E" w:rsidRDefault="006F7FB5" w:rsidP="006F7FB5">
      <w:pPr>
        <w:numPr>
          <w:ilvl w:val="0"/>
          <w:numId w:val="2"/>
        </w:numPr>
        <w:spacing w:before="0"/>
        <w:ind w:left="1080"/>
        <w:rPr>
          <w:rFonts w:eastAsia="Times New Roman"/>
          <w:lang w:val="en-US" w:eastAsia="en-US"/>
        </w:rPr>
      </w:pPr>
      <w:r w:rsidRPr="00A8178E">
        <w:rPr>
          <w:rFonts w:eastAsia="Times New Roman"/>
          <w:color w:val="000000"/>
          <w:lang w:val="en-US" w:eastAsia="en-US"/>
        </w:rPr>
        <w:t>Enhanced connectivity: Tbps line capacity, sub-ms latency, high reliability, and deterministic service assurance.</w:t>
      </w:r>
    </w:p>
    <w:p w14:paraId="3508EAEE" w14:textId="77777777" w:rsidR="006F7FB5" w:rsidRPr="00A8178E" w:rsidRDefault="006F7FB5" w:rsidP="006F7FB5">
      <w:pPr>
        <w:numPr>
          <w:ilvl w:val="0"/>
          <w:numId w:val="2"/>
        </w:numPr>
        <w:spacing w:before="0"/>
        <w:ind w:left="1080"/>
        <w:rPr>
          <w:rFonts w:eastAsia="Times New Roman"/>
          <w:lang w:val="en-US" w:eastAsia="en-US"/>
        </w:rPr>
      </w:pPr>
      <w:r w:rsidRPr="00A8178E">
        <w:rPr>
          <w:rFonts w:eastAsia="Times New Roman"/>
          <w:color w:val="000000"/>
          <w:lang w:val="en-US" w:eastAsia="en-US"/>
        </w:rPr>
        <w:t>New capabilities: Integrated sensing (DFOS, feed forward), computing, AI agents, energy efficiency (picoJoules/bit), and quantum-resistant security.</w:t>
      </w:r>
    </w:p>
    <w:p w14:paraId="32297E95"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7CE9F6F6" w14:textId="77777777" w:rsidR="006F7FB5" w:rsidRPr="00A8178E" w:rsidRDefault="006F7FB5" w:rsidP="006F7FB5">
      <w:pPr>
        <w:spacing w:before="0" w:after="160"/>
        <w:jc w:val="both"/>
        <w:rPr>
          <w:rFonts w:eastAsia="Times New Roman"/>
          <w:lang w:val="en-US" w:eastAsia="en-US"/>
        </w:rPr>
      </w:pPr>
      <w:r w:rsidRPr="00A8178E">
        <w:rPr>
          <w:rFonts w:eastAsia="Times New Roman"/>
          <w:color w:val="000000"/>
          <w:lang w:val="en-US" w:eastAsia="en-US"/>
        </w:rPr>
        <w:t>Architectures and Technologies:</w:t>
      </w:r>
    </w:p>
    <w:p w14:paraId="36B43D98"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IMT-2030: backhaul/fronthaul, 100GE–1.6TE interfaces.</w:t>
      </w:r>
    </w:p>
    <w:p w14:paraId="3BABBE5F"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AI: AI-native optical networks, distributed computing, digital twins.</w:t>
      </w:r>
    </w:p>
    <w:p w14:paraId="46B3074C"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Data Centres: ROADM/OXC switching, CPO/LPO/OCS for energy efficiency.</w:t>
      </w:r>
    </w:p>
    <w:p w14:paraId="5D2BBEB5"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Broadband Access: VHSP PON (200G+), Wi-Fi fronthauling, AI-enhanced networks.</w:t>
      </w:r>
    </w:p>
    <w:p w14:paraId="72400642" w14:textId="77777777" w:rsidR="006F7FB5" w:rsidRPr="00A8178E" w:rsidRDefault="006F7FB5" w:rsidP="006F7FB5">
      <w:pPr>
        <w:numPr>
          <w:ilvl w:val="0"/>
          <w:numId w:val="3"/>
        </w:numPr>
        <w:spacing w:before="0"/>
        <w:ind w:left="1080"/>
        <w:jc w:val="both"/>
        <w:rPr>
          <w:rFonts w:eastAsia="Times New Roman"/>
          <w:lang w:val="en-US" w:eastAsia="en-US"/>
        </w:rPr>
      </w:pPr>
      <w:r w:rsidRPr="00A8178E">
        <w:rPr>
          <w:rFonts w:eastAsia="Times New Roman"/>
          <w:color w:val="000000"/>
          <w:lang w:val="en-US" w:eastAsia="en-US"/>
        </w:rPr>
        <w:t>ISAC: DFOS and feedforward sensing for infrastructure protection.</w:t>
      </w:r>
    </w:p>
    <w:p w14:paraId="1D3D1062"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4AAA4390" w14:textId="77777777" w:rsidR="006F7FB5" w:rsidRPr="00A8178E" w:rsidRDefault="006F7FB5" w:rsidP="006F7FB5">
      <w:pPr>
        <w:spacing w:before="0" w:after="160"/>
        <w:jc w:val="both"/>
        <w:rPr>
          <w:rFonts w:eastAsia="Times New Roman"/>
          <w:lang w:val="en-US" w:eastAsia="en-US"/>
        </w:rPr>
      </w:pPr>
      <w:r w:rsidRPr="00A8178E">
        <w:rPr>
          <w:rFonts w:eastAsia="Times New Roman"/>
          <w:color w:val="000000"/>
          <w:lang w:val="en-US" w:eastAsia="en-US"/>
        </w:rPr>
        <w:t>Standardization Roadmap:</w:t>
      </w:r>
    </w:p>
    <w:p w14:paraId="00EEBB7D" w14:textId="0876BFAC" w:rsidR="006F7FB5" w:rsidRPr="00A8178E" w:rsidRDefault="006F7FB5" w:rsidP="006F7FB5">
      <w:pPr>
        <w:numPr>
          <w:ilvl w:val="0"/>
          <w:numId w:val="4"/>
        </w:numPr>
        <w:spacing w:before="0"/>
        <w:ind w:left="1080"/>
        <w:jc w:val="both"/>
        <w:rPr>
          <w:rFonts w:eastAsia="Times New Roman"/>
          <w:lang w:val="en-US" w:eastAsia="en-US"/>
        </w:rPr>
      </w:pPr>
      <w:r w:rsidRPr="00A8178E">
        <w:rPr>
          <w:rFonts w:eastAsia="Times New Roman"/>
          <w:color w:val="000000"/>
          <w:lang w:val="en-US" w:eastAsia="en-US"/>
        </w:rPr>
        <w:t xml:space="preserve">Collaboration with ITU-R, SG13, 3GPP, </w:t>
      </w:r>
      <w:r>
        <w:rPr>
          <w:rFonts w:eastAsia="Times New Roman"/>
          <w:color w:val="000000"/>
          <w:lang w:val="en-US" w:eastAsia="en-US"/>
        </w:rPr>
        <w:t>Broadband Forum</w:t>
      </w:r>
      <w:r w:rsidRPr="00A8178E">
        <w:rPr>
          <w:rFonts w:eastAsia="Times New Roman"/>
          <w:color w:val="000000"/>
          <w:lang w:val="en-US" w:eastAsia="en-US"/>
        </w:rPr>
        <w:t>, IEEE</w:t>
      </w:r>
      <w:r>
        <w:rPr>
          <w:rFonts w:eastAsia="Times New Roman"/>
          <w:color w:val="000000"/>
          <w:lang w:val="en-US" w:eastAsia="en-US"/>
        </w:rPr>
        <w:t xml:space="preserve"> 802</w:t>
      </w:r>
      <w:r w:rsidRPr="00A8178E">
        <w:rPr>
          <w:rFonts w:eastAsia="Times New Roman"/>
          <w:color w:val="000000"/>
          <w:lang w:val="en-US" w:eastAsia="en-US"/>
        </w:rPr>
        <w:t>, ETSI</w:t>
      </w:r>
      <w:r>
        <w:rPr>
          <w:rFonts w:eastAsia="Times New Roman"/>
          <w:color w:val="000000"/>
          <w:lang w:val="en-US" w:eastAsia="en-US"/>
        </w:rPr>
        <w:t xml:space="preserve"> ISG F5G</w:t>
      </w:r>
      <w:r w:rsidRPr="00A8178E">
        <w:rPr>
          <w:rFonts w:eastAsia="Times New Roman"/>
          <w:color w:val="000000"/>
          <w:lang w:val="en-US" w:eastAsia="en-US"/>
        </w:rPr>
        <w:t>, OIF, IETF</w:t>
      </w:r>
      <w:r>
        <w:rPr>
          <w:rFonts w:eastAsia="Times New Roman"/>
          <w:color w:val="000000"/>
          <w:lang w:val="en-US" w:eastAsia="en-US"/>
        </w:rPr>
        <w:t xml:space="preserve"> Routing Area</w:t>
      </w:r>
    </w:p>
    <w:p w14:paraId="619B6B85" w14:textId="77777777" w:rsidR="006F7FB5" w:rsidRPr="00A8178E" w:rsidRDefault="006F7FB5" w:rsidP="006F7FB5">
      <w:pPr>
        <w:numPr>
          <w:ilvl w:val="0"/>
          <w:numId w:val="4"/>
        </w:numPr>
        <w:spacing w:before="0"/>
        <w:ind w:left="1080"/>
        <w:jc w:val="both"/>
        <w:rPr>
          <w:rFonts w:eastAsia="Times New Roman"/>
          <w:lang w:val="en-US" w:eastAsia="en-US"/>
        </w:rPr>
      </w:pPr>
      <w:r w:rsidRPr="00A8178E">
        <w:rPr>
          <w:rFonts w:eastAsia="Times New Roman"/>
          <w:color w:val="000000"/>
          <w:lang w:val="en-US" w:eastAsia="en-US"/>
        </w:rPr>
        <w:t>Continuous evolution post-2030 to support sustainability and innovation</w:t>
      </w:r>
    </w:p>
    <w:p w14:paraId="2278C79A" w14:textId="77777777" w:rsidR="006F7FB5" w:rsidRPr="00A8178E" w:rsidRDefault="006F7FB5" w:rsidP="006F7FB5">
      <w:pPr>
        <w:spacing w:before="0" w:after="160"/>
        <w:jc w:val="both"/>
        <w:rPr>
          <w:rFonts w:eastAsia="Times New Roman"/>
          <w:lang w:val="en-US" w:eastAsia="en-US"/>
        </w:rPr>
      </w:pPr>
      <w:r w:rsidRPr="00A8178E">
        <w:rPr>
          <w:rFonts w:eastAsia="Times New Roman"/>
          <w:lang w:val="en-US" w:eastAsia="en-US"/>
        </w:rPr>
        <w:t> </w:t>
      </w:r>
    </w:p>
    <w:p w14:paraId="0E8E2EAC"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ION-2030 presents a comprehensive vision for future optical networks, integrating AI, sensing, computing, and sustainability. It lays the foundation for global standardization and deployment, enabling inclusive digital transformation and supporting the United Nations Sustainable Development Goals.</w:t>
      </w:r>
    </w:p>
    <w:p w14:paraId="7FA13A26" w14:textId="77777777" w:rsidR="006F7FB5" w:rsidRPr="00A8178E" w:rsidRDefault="006F7FB5" w:rsidP="006F7FB5">
      <w:pPr>
        <w:spacing w:before="0" w:after="160"/>
        <w:rPr>
          <w:rFonts w:eastAsia="Times New Roman"/>
          <w:lang w:val="en-US" w:eastAsia="en-US"/>
        </w:rPr>
      </w:pPr>
      <w:r w:rsidRPr="00A8178E">
        <w:rPr>
          <w:rFonts w:eastAsia="Times New Roman"/>
          <w:color w:val="000000"/>
          <w:lang w:val="en-US" w:eastAsia="en-US"/>
        </w:rPr>
        <w:t>ITU-T SG15 invites feedback to ION-2030 to areas delineated in this technical report: ION-2030 for IMT-2030, ION-2030 for AI and AI for ION-2030, ION-2030 for Data Centre, ION-2030 for broadband access. This will assist in the development of work items for standards development within SG15.</w:t>
      </w:r>
    </w:p>
    <w:p w14:paraId="6740B073" w14:textId="77777777" w:rsidR="006F7FB5" w:rsidRDefault="006F7FB5" w:rsidP="006F7FB5">
      <w:pPr>
        <w:spacing w:before="0" w:after="160"/>
        <w:jc w:val="both"/>
        <w:rPr>
          <w:rFonts w:eastAsia="Times New Roman"/>
          <w:color w:val="000000"/>
          <w:lang w:val="en-US" w:eastAsia="en-US"/>
        </w:rPr>
      </w:pPr>
      <w:r w:rsidRPr="00A8178E">
        <w:rPr>
          <w:rFonts w:eastAsia="Times New Roman"/>
          <w:color w:val="000000"/>
          <w:lang w:val="en-US" w:eastAsia="en-US"/>
        </w:rPr>
        <w:t>The next ITU-T SG15 plenary meeting will be 2</w:t>
      </w:r>
      <w:r>
        <w:rPr>
          <w:rFonts w:eastAsia="Times New Roman"/>
          <w:color w:val="000000"/>
          <w:lang w:val="en-US" w:eastAsia="en-US"/>
        </w:rPr>
        <w:t>9</w:t>
      </w:r>
      <w:r w:rsidRPr="00A8178E">
        <w:rPr>
          <w:rFonts w:eastAsia="Times New Roman"/>
          <w:color w:val="000000"/>
          <w:lang w:val="en-US" w:eastAsia="en-US"/>
        </w:rPr>
        <w:t xml:space="preserve"> June – 10 July 2026</w:t>
      </w:r>
    </w:p>
    <w:p w14:paraId="4FC36434" w14:textId="3C45FE4E" w:rsidR="005352F6" w:rsidRPr="00A8178E" w:rsidRDefault="005352F6" w:rsidP="006F7FB5">
      <w:pPr>
        <w:spacing w:before="0" w:after="160"/>
        <w:jc w:val="both"/>
        <w:rPr>
          <w:rFonts w:eastAsia="Times New Roman"/>
          <w:lang w:val="en-US" w:eastAsia="en-US"/>
        </w:rPr>
      </w:pPr>
      <w:r>
        <w:rPr>
          <w:rFonts w:eastAsia="Times New Roman"/>
          <w:color w:val="000000"/>
          <w:lang w:val="en-US" w:eastAsia="en-US"/>
        </w:rPr>
        <w:t>Attachment: TD124R1/PLEN</w:t>
      </w:r>
    </w:p>
    <w:sectPr w:rsidR="005352F6" w:rsidRPr="00A8178E" w:rsidSect="00BB7AA8">
      <w:headerReference w:type="default" r:id="rId10"/>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E5BE" w14:textId="77777777" w:rsidR="007D3845" w:rsidRDefault="007D3845" w:rsidP="00BB7AA8">
      <w:pPr>
        <w:spacing w:before="0"/>
      </w:pPr>
      <w:r>
        <w:separator/>
      </w:r>
    </w:p>
  </w:endnote>
  <w:endnote w:type="continuationSeparator" w:id="0">
    <w:p w14:paraId="41C00A86" w14:textId="77777777" w:rsidR="007D3845" w:rsidRDefault="007D3845" w:rsidP="00BB7A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3CED4" w14:textId="77777777" w:rsidR="007D3845" w:rsidRDefault="007D3845" w:rsidP="00BB7AA8">
      <w:pPr>
        <w:spacing w:before="0"/>
      </w:pPr>
      <w:r>
        <w:separator/>
      </w:r>
    </w:p>
  </w:footnote>
  <w:footnote w:type="continuationSeparator" w:id="0">
    <w:p w14:paraId="46695981" w14:textId="77777777" w:rsidR="007D3845" w:rsidRDefault="007D3845" w:rsidP="00BB7AA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20E48" w14:textId="0C9408E7" w:rsidR="00BB7AA8" w:rsidRPr="00BB7AA8" w:rsidRDefault="00BB7AA8" w:rsidP="00BB7AA8">
    <w:pPr>
      <w:pStyle w:val="Header"/>
      <w:jc w:val="center"/>
      <w:rPr>
        <w:sz w:val="18"/>
      </w:rPr>
    </w:pPr>
    <w:r w:rsidRPr="00BB7AA8">
      <w:rPr>
        <w:sz w:val="18"/>
      </w:rPr>
      <w:t xml:space="preserve">- </w:t>
    </w:r>
    <w:r w:rsidRPr="00BB7AA8">
      <w:rPr>
        <w:sz w:val="18"/>
      </w:rPr>
      <w:fldChar w:fldCharType="begin"/>
    </w:r>
    <w:r w:rsidRPr="00BB7AA8">
      <w:rPr>
        <w:sz w:val="18"/>
      </w:rPr>
      <w:instrText xml:space="preserve"> PAGE  \* MERGEFORMAT </w:instrText>
    </w:r>
    <w:r w:rsidRPr="00BB7AA8">
      <w:rPr>
        <w:sz w:val="18"/>
      </w:rPr>
      <w:fldChar w:fldCharType="separate"/>
    </w:r>
    <w:r w:rsidRPr="00BB7AA8">
      <w:rPr>
        <w:noProof/>
        <w:sz w:val="18"/>
      </w:rPr>
      <w:t>1</w:t>
    </w:r>
    <w:r w:rsidRPr="00BB7AA8">
      <w:rPr>
        <w:sz w:val="18"/>
      </w:rPr>
      <w:fldChar w:fldCharType="end"/>
    </w:r>
    <w:r w:rsidRPr="00BB7AA8">
      <w:rPr>
        <w:sz w:val="18"/>
      </w:rPr>
      <w:t xml:space="preserve"> -</w:t>
    </w:r>
  </w:p>
  <w:p w14:paraId="2388DF74" w14:textId="60998C47" w:rsidR="00BB7AA8" w:rsidRPr="00BB7AA8" w:rsidRDefault="00BB7AA8" w:rsidP="00BB7AA8">
    <w:pPr>
      <w:pStyle w:val="Header"/>
      <w:spacing w:after="240"/>
      <w:jc w:val="center"/>
      <w:rPr>
        <w:sz w:val="18"/>
      </w:rPr>
    </w:pPr>
    <w:r w:rsidRPr="00BB7AA8">
      <w:rPr>
        <w:sz w:val="18"/>
      </w:rPr>
      <w:fldChar w:fldCharType="begin"/>
    </w:r>
    <w:r w:rsidRPr="00BB7AA8">
      <w:rPr>
        <w:sz w:val="18"/>
      </w:rPr>
      <w:instrText xml:space="preserve"> STYLEREF  Docnumber  </w:instrText>
    </w:r>
    <w:r w:rsidRPr="00BB7AA8">
      <w:rPr>
        <w:sz w:val="18"/>
      </w:rPr>
      <w:fldChar w:fldCharType="separate"/>
    </w:r>
    <w:r w:rsidR="0028567B">
      <w:rPr>
        <w:noProof/>
        <w:sz w:val="18"/>
      </w:rPr>
      <w:t>SG15-LS53</w:t>
    </w:r>
    <w:r w:rsidRPr="00BB7AA8">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B7812"/>
    <w:multiLevelType w:val="multilevel"/>
    <w:tmpl w:val="2DE89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1260B6"/>
    <w:multiLevelType w:val="multilevel"/>
    <w:tmpl w:val="F6CEE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005D23"/>
    <w:multiLevelType w:val="multilevel"/>
    <w:tmpl w:val="BCE42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6145D1"/>
    <w:multiLevelType w:val="multilevel"/>
    <w:tmpl w:val="3E6C3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1543781">
    <w:abstractNumId w:val="1"/>
  </w:num>
  <w:num w:numId="2" w16cid:durableId="485361576">
    <w:abstractNumId w:val="0"/>
  </w:num>
  <w:num w:numId="3" w16cid:durableId="447362320">
    <w:abstractNumId w:val="2"/>
  </w:num>
  <w:num w:numId="4" w16cid:durableId="1950551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B5"/>
    <w:rsid w:val="00273DDB"/>
    <w:rsid w:val="0028567B"/>
    <w:rsid w:val="00331A85"/>
    <w:rsid w:val="0036079B"/>
    <w:rsid w:val="00452673"/>
    <w:rsid w:val="005352F6"/>
    <w:rsid w:val="00665F96"/>
    <w:rsid w:val="00675C5E"/>
    <w:rsid w:val="006F7FB5"/>
    <w:rsid w:val="007D3845"/>
    <w:rsid w:val="008E783B"/>
    <w:rsid w:val="009226DC"/>
    <w:rsid w:val="00A050B3"/>
    <w:rsid w:val="00B77D0B"/>
    <w:rsid w:val="00BB7AA8"/>
    <w:rsid w:val="00CD32DB"/>
    <w:rsid w:val="00F53D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25B50"/>
  <w15:chartTrackingRefBased/>
  <w15:docId w15:val="{9D80169E-C4CB-4AE7-9C6E-58B2050BD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FB5"/>
    <w:pPr>
      <w:spacing w:before="120" w:after="0" w:line="240" w:lineRule="auto"/>
    </w:pPr>
    <w:rPr>
      <w:rFonts w:ascii="Times New Roman" w:eastAsiaTheme="minorEastAsia" w:hAnsi="Times New Roman" w:cs="Times New Roman"/>
      <w:kern w:val="0"/>
      <w:sz w:val="24"/>
      <w:szCs w:val="24"/>
      <w:lang w:eastAsia="ja-JP"/>
      <w14:ligatures w14:val="none"/>
    </w:rPr>
  </w:style>
  <w:style w:type="paragraph" w:styleId="Heading1">
    <w:name w:val="heading 1"/>
    <w:basedOn w:val="Normal"/>
    <w:next w:val="Normal"/>
    <w:link w:val="Heading1Char"/>
    <w:uiPriority w:val="9"/>
    <w:qFormat/>
    <w:rsid w:val="003607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07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07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07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07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07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7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7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7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7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7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7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7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7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7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79B"/>
    <w:rPr>
      <w:rFonts w:eastAsiaTheme="majorEastAsia" w:cstheme="majorBidi"/>
      <w:color w:val="272727" w:themeColor="text1" w:themeTint="D8"/>
    </w:rPr>
  </w:style>
  <w:style w:type="paragraph" w:styleId="Title">
    <w:name w:val="Title"/>
    <w:basedOn w:val="Normal"/>
    <w:next w:val="Normal"/>
    <w:link w:val="TitleChar"/>
    <w:uiPriority w:val="10"/>
    <w:qFormat/>
    <w:rsid w:val="003607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7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7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79B"/>
    <w:pPr>
      <w:spacing w:before="160"/>
      <w:jc w:val="center"/>
    </w:pPr>
    <w:rPr>
      <w:i/>
      <w:iCs/>
      <w:color w:val="404040" w:themeColor="text1" w:themeTint="BF"/>
    </w:rPr>
  </w:style>
  <w:style w:type="character" w:customStyle="1" w:styleId="QuoteChar">
    <w:name w:val="Quote Char"/>
    <w:basedOn w:val="DefaultParagraphFont"/>
    <w:link w:val="Quote"/>
    <w:uiPriority w:val="29"/>
    <w:rsid w:val="0036079B"/>
    <w:rPr>
      <w:i/>
      <w:iCs/>
      <w:color w:val="404040" w:themeColor="text1" w:themeTint="BF"/>
    </w:rPr>
  </w:style>
  <w:style w:type="paragraph" w:styleId="ListParagraph">
    <w:name w:val="List Paragraph"/>
    <w:basedOn w:val="Normal"/>
    <w:uiPriority w:val="34"/>
    <w:qFormat/>
    <w:rsid w:val="0036079B"/>
    <w:pPr>
      <w:ind w:left="720"/>
      <w:contextualSpacing/>
    </w:pPr>
  </w:style>
  <w:style w:type="character" w:styleId="IntenseEmphasis">
    <w:name w:val="Intense Emphasis"/>
    <w:basedOn w:val="DefaultParagraphFont"/>
    <w:uiPriority w:val="21"/>
    <w:qFormat/>
    <w:rsid w:val="0036079B"/>
    <w:rPr>
      <w:i/>
      <w:iCs/>
      <w:color w:val="0F4761" w:themeColor="accent1" w:themeShade="BF"/>
    </w:rPr>
  </w:style>
  <w:style w:type="paragraph" w:styleId="IntenseQuote">
    <w:name w:val="Intense Quote"/>
    <w:basedOn w:val="Normal"/>
    <w:next w:val="Normal"/>
    <w:link w:val="IntenseQuoteChar"/>
    <w:uiPriority w:val="30"/>
    <w:qFormat/>
    <w:rsid w:val="00360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079B"/>
    <w:rPr>
      <w:i/>
      <w:iCs/>
      <w:color w:val="0F4761" w:themeColor="accent1" w:themeShade="BF"/>
    </w:rPr>
  </w:style>
  <w:style w:type="character" w:styleId="IntenseReference">
    <w:name w:val="Intense Reference"/>
    <w:basedOn w:val="DefaultParagraphFont"/>
    <w:uiPriority w:val="32"/>
    <w:qFormat/>
    <w:rsid w:val="0036079B"/>
    <w:rPr>
      <w:b/>
      <w:bCs/>
      <w:smallCaps/>
      <w:color w:val="0F4761" w:themeColor="accent1" w:themeShade="BF"/>
      <w:spacing w:val="5"/>
    </w:rPr>
  </w:style>
  <w:style w:type="paragraph" w:customStyle="1" w:styleId="AnnexNotitle">
    <w:name w:val="Annex_No &amp; title"/>
    <w:basedOn w:val="Normal"/>
    <w:next w:val="Normal"/>
    <w:qFormat/>
    <w:rsid w:val="006F7FB5"/>
    <w:pPr>
      <w:keepNext/>
      <w:keepLines/>
      <w:tabs>
        <w:tab w:val="left" w:pos="794"/>
        <w:tab w:val="left" w:pos="1191"/>
        <w:tab w:val="left" w:pos="1588"/>
        <w:tab w:val="left" w:pos="1985"/>
      </w:tabs>
      <w:spacing w:before="480"/>
      <w:jc w:val="center"/>
      <w:outlineLvl w:val="0"/>
    </w:pPr>
    <w:rPr>
      <w:rFonts w:eastAsia="Times New Roman"/>
      <w:b/>
      <w:sz w:val="28"/>
      <w:szCs w:val="20"/>
      <w:lang w:eastAsia="en-US"/>
    </w:rPr>
  </w:style>
  <w:style w:type="paragraph" w:styleId="Header">
    <w:name w:val="header"/>
    <w:basedOn w:val="Normal"/>
    <w:link w:val="HeaderChar"/>
    <w:uiPriority w:val="99"/>
    <w:unhideWhenUsed/>
    <w:rsid w:val="00BB7AA8"/>
    <w:pPr>
      <w:tabs>
        <w:tab w:val="center" w:pos="4513"/>
        <w:tab w:val="right" w:pos="9026"/>
      </w:tabs>
      <w:spacing w:before="0"/>
    </w:pPr>
  </w:style>
  <w:style w:type="character" w:customStyle="1" w:styleId="HeaderChar">
    <w:name w:val="Header Char"/>
    <w:basedOn w:val="DefaultParagraphFont"/>
    <w:link w:val="Header"/>
    <w:uiPriority w:val="99"/>
    <w:rsid w:val="00BB7AA8"/>
    <w:rPr>
      <w:rFonts w:ascii="Times New Roman" w:eastAsiaTheme="minorEastAsia" w:hAnsi="Times New Roman" w:cs="Times New Roman"/>
      <w:kern w:val="0"/>
      <w:sz w:val="24"/>
      <w:szCs w:val="24"/>
      <w:lang w:eastAsia="ja-JP"/>
      <w14:ligatures w14:val="none"/>
    </w:rPr>
  </w:style>
  <w:style w:type="paragraph" w:styleId="Footer">
    <w:name w:val="footer"/>
    <w:basedOn w:val="Normal"/>
    <w:link w:val="FooterChar"/>
    <w:uiPriority w:val="99"/>
    <w:unhideWhenUsed/>
    <w:rsid w:val="00BB7AA8"/>
    <w:pPr>
      <w:tabs>
        <w:tab w:val="center" w:pos="4513"/>
        <w:tab w:val="right" w:pos="9026"/>
      </w:tabs>
      <w:spacing w:before="0"/>
    </w:pPr>
  </w:style>
  <w:style w:type="character" w:customStyle="1" w:styleId="FooterChar">
    <w:name w:val="Footer Char"/>
    <w:basedOn w:val="DefaultParagraphFont"/>
    <w:link w:val="Footer"/>
    <w:uiPriority w:val="99"/>
    <w:rsid w:val="00BB7AA8"/>
    <w:rPr>
      <w:rFonts w:ascii="Times New Roman" w:eastAsiaTheme="minorEastAsia" w:hAnsi="Times New Roman" w:cs="Times New Roman"/>
      <w:kern w:val="0"/>
      <w:sz w:val="24"/>
      <w:szCs w:val="24"/>
      <w:lang w:eastAsia="ja-JP"/>
      <w14:ligatures w14:val="none"/>
    </w:rPr>
  </w:style>
  <w:style w:type="paragraph" w:customStyle="1" w:styleId="Docnumber">
    <w:name w:val="Docnumber"/>
    <w:basedOn w:val="Normal"/>
    <w:link w:val="DocnumberChar"/>
    <w:qFormat/>
    <w:rsid w:val="00BB7AA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BB7AA8"/>
    <w:rPr>
      <w:rFonts w:ascii="Times New Roman" w:eastAsia="SimSun" w:hAnsi="Times New Roman" w:cs="Times New Roman"/>
      <w:b/>
      <w:kern w:val="0"/>
      <w:sz w:val="32"/>
      <w:szCs w:val="20"/>
      <w14:ligatures w14:val="none"/>
    </w:rPr>
  </w:style>
  <w:style w:type="character" w:styleId="Hyperlink">
    <w:name w:val="Hyperlink"/>
    <w:basedOn w:val="DefaultParagraphFont"/>
    <w:uiPriority w:val="99"/>
    <w:unhideWhenUsed/>
    <w:rsid w:val="00BB7AA8"/>
    <w:rPr>
      <w:color w:val="467886" w:themeColor="hyperlink"/>
      <w:u w:val="single"/>
    </w:rPr>
  </w:style>
  <w:style w:type="character" w:styleId="UnresolvedMention">
    <w:name w:val="Unresolved Mention"/>
    <w:basedOn w:val="DefaultParagraphFont"/>
    <w:uiPriority w:val="99"/>
    <w:semiHidden/>
    <w:unhideWhenUsed/>
    <w:rsid w:val="00BB7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hew@ciena.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henghaomia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633</Words>
  <Characters>3614</Characters>
  <Application>Microsoft Office Word</Application>
  <DocSecurity>0</DocSecurity>
  <Lines>30</Lines>
  <Paragraphs>8</Paragraphs>
  <ScaleCrop>false</ScaleCrop>
  <Manager>ITU-T</Manager>
  <Company>International Telecommunication Union (ITU)</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Approval of Technical Report on International Optical Networks towards 2030 and Beyond (ION-2030)</dc:title>
  <dc:subject/>
  <dc:creator>ITU-T SG15</dc:creator>
  <cp:keywords/>
  <dc:description>SG15-LS53  For: Geneva, 13-24 October 2025_x000d_Document date: _x000d_Saved by ITU51017886 at 9:39:02 AM on 10/28/2025</dc:description>
  <cp:lastModifiedBy>S5-253962</cp:lastModifiedBy>
  <cp:revision>9</cp:revision>
  <dcterms:created xsi:type="dcterms:W3CDTF">2025-10-28T08:37:00Z</dcterms:created>
  <dcterms:modified xsi:type="dcterms:W3CDTF">2025-11-29T01:06:00Z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SG15-LS53</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Geneva, 13-24 October 2025</vt:lpwstr>
  </property>
  <property fmtid="{D5CDD505-2E9C-101B-9397-08002B2CF9AE}" pid="7" name="Docauthor">
    <vt:lpwstr>ITU-T SG15</vt:lpwstr>
  </property>
</Properties>
</file>