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98B2B">
      <w:pPr>
        <w:pStyle w:val="24"/>
        <w:tabs>
          <w:tab w:val="right" w:pos="9639"/>
        </w:tabs>
        <w:rPr>
          <w:rFonts w:hint="default" w:ascii="Times New Roman" w:hAnsi="Times New Roman" w:eastAsiaTheme="minorEastAsia"/>
          <w:bCs/>
          <w:sz w:val="24"/>
          <w:szCs w:val="24"/>
          <w:lang w:val="en-US" w:eastAsia="zh-CN"/>
        </w:rPr>
      </w:pPr>
      <w:r>
        <w:rPr>
          <w:rFonts w:ascii="Arial" w:hAnsi="Arial" w:cs="Arial"/>
          <w:b/>
          <w:color w:val="auto"/>
          <w:sz w:val="28"/>
          <w:szCs w:val="28"/>
        </w:rPr>
        <w:t>3GPP TSG RAN Meeting #</w:t>
      </w:r>
      <w:r>
        <w:rPr>
          <w:rFonts w:hint="eastAsia" w:cs="Arial"/>
          <w:b/>
          <w:color w:val="auto"/>
          <w:sz w:val="28"/>
          <w:szCs w:val="28"/>
          <w:lang w:val="en-US" w:eastAsia="zh-CN"/>
        </w:rPr>
        <w:t>109</w:t>
      </w:r>
      <w:r>
        <w:rPr>
          <w:rFonts w:hint="eastAsia" w:ascii="Times New Roman" w:hAnsi="Times New Roman"/>
          <w:bCs/>
          <w:sz w:val="24"/>
          <w:szCs w:val="24"/>
          <w:lang w:val="en-US" w:eastAsia="en-US"/>
        </w:rPr>
        <w:tab/>
      </w:r>
      <w:r>
        <w:rPr>
          <w:rFonts w:hint="eastAsia" w:ascii="Times New Roman" w:hAnsi="Times New Roman"/>
          <w:bCs/>
          <w:sz w:val="24"/>
          <w:szCs w:val="24"/>
          <w:lang w:val="en-US" w:eastAsia="en-US"/>
        </w:rPr>
        <w:t>R</w:t>
      </w:r>
      <w:r>
        <w:rPr>
          <w:rFonts w:hint="eastAsia" w:ascii="Times New Roman" w:hAnsi="Times New Roman"/>
          <w:bCs/>
          <w:sz w:val="24"/>
          <w:szCs w:val="24"/>
          <w:lang w:val="en-US" w:eastAsia="zh-CN"/>
        </w:rPr>
        <w:t>P</w:t>
      </w:r>
      <w:r>
        <w:rPr>
          <w:rFonts w:hint="eastAsia" w:ascii="Times New Roman" w:hAnsi="Times New Roman"/>
          <w:bCs/>
          <w:sz w:val="24"/>
          <w:szCs w:val="24"/>
          <w:lang w:val="en-US" w:eastAsia="en-US"/>
        </w:rPr>
        <w:t>-</w:t>
      </w:r>
      <w:r>
        <w:rPr>
          <w:rFonts w:hint="eastAsia" w:ascii="Times New Roman" w:hAnsi="Times New Roman"/>
          <w:bCs/>
          <w:sz w:val="24"/>
          <w:szCs w:val="24"/>
          <w:lang w:val="en-US" w:eastAsia="zh-CN"/>
        </w:rPr>
        <w:t>252220</w:t>
      </w:r>
    </w:p>
    <w:p w14:paraId="4E5019ED">
      <w:pPr>
        <w:keepLines/>
        <w:tabs>
          <w:tab w:val="left" w:pos="567"/>
        </w:tabs>
        <w:rPr>
          <w:rFonts w:ascii="Arial" w:hAnsi="Arial" w:cs="Arial"/>
          <w:b/>
          <w:sz w:val="28"/>
          <w:szCs w:val="28"/>
        </w:rPr>
      </w:pPr>
      <w:r>
        <w:rPr>
          <w:rFonts w:hint="eastAsia" w:ascii="Arial" w:hAnsi="Arial" w:cs="Arial"/>
          <w:b/>
          <w:sz w:val="28"/>
          <w:szCs w:val="28"/>
          <w:lang w:val="en-US" w:eastAsia="zh-CN"/>
        </w:rPr>
        <w:t>Beijing</w:t>
      </w:r>
      <w:r>
        <w:rPr>
          <w:rFonts w:ascii="Arial" w:hAnsi="Arial" w:cs="Arial"/>
          <w:b/>
          <w:sz w:val="28"/>
          <w:szCs w:val="28"/>
        </w:rPr>
        <w:t>, C</w:t>
      </w:r>
      <w:r>
        <w:rPr>
          <w:rFonts w:hint="eastAsia" w:ascii="Arial" w:hAnsi="Arial" w:cs="Arial"/>
          <w:b/>
          <w:sz w:val="28"/>
          <w:szCs w:val="28"/>
          <w:lang w:val="en-US" w:eastAsia="zh-CN"/>
        </w:rPr>
        <w:t>hina</w:t>
      </w:r>
      <w:r>
        <w:rPr>
          <w:rFonts w:ascii="Arial" w:hAnsi="Arial" w:cs="Arial"/>
          <w:b/>
          <w:sz w:val="28"/>
          <w:szCs w:val="28"/>
        </w:rPr>
        <w:t xml:space="preserve">, </w:t>
      </w:r>
      <w:r>
        <w:rPr>
          <w:rFonts w:hint="eastAsia" w:ascii="Arial" w:hAnsi="Arial" w:cs="Arial"/>
          <w:b/>
          <w:sz w:val="28"/>
          <w:szCs w:val="28"/>
          <w:lang w:val="en-US" w:eastAsia="zh-CN"/>
        </w:rPr>
        <w:t>September 15</w:t>
      </w:r>
      <w:r>
        <w:rPr>
          <w:rFonts w:ascii="Arial" w:hAnsi="Arial" w:cs="Arial"/>
          <w:b/>
          <w:sz w:val="28"/>
          <w:szCs w:val="28"/>
        </w:rPr>
        <w:t>-1</w:t>
      </w:r>
      <w:r>
        <w:rPr>
          <w:rFonts w:hint="eastAsia" w:ascii="Arial" w:hAnsi="Arial" w:cs="Arial"/>
          <w:b/>
          <w:sz w:val="28"/>
          <w:szCs w:val="28"/>
          <w:lang w:val="en-US" w:eastAsia="zh-CN"/>
        </w:rPr>
        <w:t>8</w:t>
      </w:r>
      <w:r>
        <w:rPr>
          <w:rFonts w:ascii="Arial" w:hAnsi="Arial" w:cs="Arial"/>
          <w:b/>
          <w:sz w:val="28"/>
          <w:szCs w:val="28"/>
        </w:rPr>
        <w:t>, 2025</w:t>
      </w:r>
    </w:p>
    <w:p w14:paraId="17049ADE">
      <w:pPr>
        <w:pStyle w:val="70"/>
        <w:spacing w:after="180"/>
        <w:rPr>
          <w:rFonts w:ascii="Times New Roman" w:hAnsi="Times New Roman" w:cs="Times New Roman" w:eastAsiaTheme="minorEastAsia"/>
          <w:b/>
          <w:bCs/>
          <w:sz w:val="24"/>
          <w:lang w:val="pt-PT" w:eastAsia="en-US" w:bidi="ar-SA"/>
        </w:rPr>
      </w:pPr>
    </w:p>
    <w:p w14:paraId="4C6574A4">
      <w:pPr>
        <w:pStyle w:val="70"/>
        <w:spacing w:after="180"/>
        <w:rPr>
          <w:rFonts w:ascii="Times New Roman" w:hAnsi="Times New Roman"/>
          <w:b/>
          <w:bCs/>
          <w:sz w:val="24"/>
          <w:lang w:val="pt-PT" w:eastAsia="zh-CN"/>
        </w:rPr>
      </w:pPr>
      <w:r>
        <w:rPr>
          <w:rFonts w:ascii="Times New Roman" w:hAnsi="Times New Roman" w:cs="Times New Roman" w:eastAsiaTheme="minorEastAsia"/>
          <w:b/>
          <w:bCs/>
          <w:sz w:val="24"/>
          <w:lang w:val="en-US" w:eastAsia="zh-CN" w:bidi="ar-SA"/>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eastAsiaTheme="minorEastAsia"/>
          <w:b/>
          <w:bCs/>
          <w:sz w:val="24"/>
          <w:lang w:val="pt-PT" w:eastAsia="en-US" w:bidi="ar-SA"/>
        </w:rPr>
        <w:t xml:space="preserve">Agenda item: </w:t>
      </w:r>
      <w:r>
        <w:rPr>
          <w:rFonts w:ascii="Times New Roman" w:hAnsi="Times New Roman" w:cs="Times New Roman" w:eastAsiaTheme="minorEastAsia"/>
          <w:b/>
          <w:bCs/>
          <w:sz w:val="24"/>
          <w:lang w:val="pt-PT" w:eastAsia="en-US" w:bidi="ar-SA"/>
        </w:rPr>
        <w:tab/>
      </w:r>
      <w:r>
        <w:rPr>
          <w:rFonts w:hint="eastAsia" w:ascii="Times New Roman" w:hAnsi="Times New Roman" w:cs="Times New Roman" w:eastAsiaTheme="minorEastAsia"/>
          <w:b/>
          <w:bCs/>
          <w:sz w:val="24"/>
          <w:lang w:val="en-US" w:eastAsia="zh-CN" w:bidi="ar-SA"/>
        </w:rPr>
        <w:t xml:space="preserve">    8.2.1.1</w:t>
      </w:r>
      <w:r>
        <w:rPr>
          <w:rFonts w:ascii="Times New Roman" w:hAnsi="Times New Roman" w:cs="Times New Roman" w:eastAsiaTheme="minorEastAsia"/>
          <w:b/>
          <w:bCs/>
          <w:sz w:val="24"/>
          <w:lang w:val="pt-PT" w:eastAsia="en-US" w:bidi="ar-SA"/>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14:paraId="06A87373">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14:paraId="70E5B3D0">
      <w:pPr>
        <w:tabs>
          <w:tab w:val="left" w:pos="1985"/>
        </w:tabs>
        <w:spacing w:after="240" w:afterLines="100"/>
        <w:ind w:left="1980" w:hanging="1980"/>
        <w:rPr>
          <w:rFonts w:hint="eastAsia"/>
          <w:b/>
          <w:bCs/>
          <w:sz w:val="24"/>
        </w:rPr>
      </w:pPr>
      <w:r>
        <w:rPr>
          <w:b/>
          <w:bCs/>
          <w:sz w:val="24"/>
        </w:rPr>
        <w:t xml:space="preserve">Title: </w:t>
      </w:r>
      <w:r>
        <w:rPr>
          <w:b/>
          <w:bCs/>
          <w:sz w:val="24"/>
        </w:rPr>
        <w:tab/>
      </w:r>
      <w:r>
        <w:rPr>
          <w:rFonts w:hint="eastAsia"/>
          <w:b/>
          <w:bCs/>
          <w:sz w:val="24"/>
        </w:rPr>
        <w:t xml:space="preserve">Discussion on 6G </w:t>
      </w:r>
      <w:r>
        <w:rPr>
          <w:rFonts w:hint="eastAsia"/>
          <w:b/>
          <w:bCs/>
          <w:sz w:val="24"/>
          <w:lang w:val="en-US" w:eastAsia="zh-CN"/>
        </w:rPr>
        <w:t xml:space="preserve">Deployment </w:t>
      </w:r>
      <w:r>
        <w:rPr>
          <w:rFonts w:hint="eastAsia"/>
          <w:b/>
          <w:bCs/>
          <w:sz w:val="24"/>
        </w:rPr>
        <w:t>Scenarios</w:t>
      </w:r>
    </w:p>
    <w:p w14:paraId="0AEE62B6">
      <w:pPr>
        <w:tabs>
          <w:tab w:val="left" w:pos="1985"/>
        </w:tabs>
        <w:spacing w:after="240" w:afterLines="100"/>
        <w:ind w:left="1980" w:hanging="1980"/>
        <w:rPr>
          <w:b/>
          <w:bCs/>
          <w:sz w:val="24"/>
          <w:lang w:val="en-GB" w:eastAsia="en-US"/>
        </w:rPr>
      </w:pPr>
      <w:r>
        <w:rPr>
          <w:b/>
          <w:bCs/>
          <w:sz w:val="24"/>
          <w:lang w:val="en-GB" w:eastAsia="en-US"/>
        </w:rPr>
        <w:t>Document for:</w:t>
      </w:r>
      <w:r>
        <w:rPr>
          <w:b/>
          <w:bCs/>
          <w:sz w:val="24"/>
          <w:lang w:val="en-GB" w:eastAsia="en-US"/>
        </w:rPr>
        <w:tab/>
      </w:r>
      <w:r>
        <w:rPr>
          <w:b/>
          <w:bCs/>
          <w:sz w:val="24"/>
          <w:lang w:val="en-GB" w:eastAsia="en-US"/>
        </w:rPr>
        <w:t>Discussion and Decision</w:t>
      </w:r>
    </w:p>
    <w:p w14:paraId="4787FAFF">
      <w:pPr>
        <w:pStyle w:val="2"/>
        <w:numPr>
          <w:ilvl w:val="0"/>
          <w:numId w:val="4"/>
        </w:numPr>
        <w:snapToGrid w:val="0"/>
        <w:spacing w:before="0" w:after="120" w:line="240" w:lineRule="auto"/>
        <w:rPr>
          <w:b/>
          <w:bCs/>
          <w:sz w:val="30"/>
          <w:szCs w:val="30"/>
        </w:rPr>
      </w:pPr>
      <w:r>
        <w:rPr>
          <w:rFonts w:ascii="Arial" w:hAnsi="Arial" w:cs="Arial"/>
          <w:b/>
          <w:bCs/>
          <w:sz w:val="30"/>
          <w:szCs w:val="30"/>
        </w:rPr>
        <w:t>Introduction</w:t>
      </w:r>
    </w:p>
    <w:p w14:paraId="5C6FD360">
      <w:pPr>
        <w:pStyle w:val="91"/>
        <w:spacing w:after="120" w:afterAutospacing="0" w:line="240" w:lineRule="auto"/>
        <w:ind w:firstLine="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At</w:t>
      </w:r>
      <w:r>
        <w:rPr>
          <w:rFonts w:ascii="Times New Roman" w:hAnsi="Times New Roman" w:eastAsia="Times New Roman"/>
          <w:sz w:val="22"/>
          <w:szCs w:val="22"/>
          <w:lang w:val="en-US" w:eastAsia="zh-CN"/>
        </w:rPr>
        <w:t xml:space="preserve"> </w:t>
      </w:r>
      <w:r>
        <w:rPr>
          <w:rFonts w:hint="eastAsia" w:ascii="Times New Roman" w:hAnsi="Times New Roman" w:eastAsia="Times New Roman"/>
          <w:sz w:val="22"/>
          <w:szCs w:val="22"/>
          <w:lang w:val="en-US" w:eastAsia="zh-CN"/>
        </w:rPr>
        <w:t>RAN#107 meeting, the revised SID of S</w:t>
      </w:r>
      <w:r>
        <w:rPr>
          <w:rFonts w:hint="default" w:ascii="Times New Roman" w:hAnsi="Times New Roman" w:eastAsia="Times New Roman"/>
          <w:sz w:val="22"/>
          <w:szCs w:val="22"/>
          <w:lang w:val="en-US" w:eastAsia="zh-CN"/>
        </w:rPr>
        <w:t xml:space="preserve">tudy on 6G </w:t>
      </w:r>
      <w:r>
        <w:rPr>
          <w:rFonts w:hint="eastAsia" w:ascii="Times New Roman" w:hAnsi="Times New Roman" w:eastAsia="Times New Roman"/>
          <w:sz w:val="22"/>
          <w:szCs w:val="22"/>
          <w:lang w:val="en-US" w:eastAsia="zh-CN"/>
        </w:rPr>
        <w:t>s</w:t>
      </w:r>
      <w:r>
        <w:rPr>
          <w:rFonts w:hint="default" w:ascii="Times New Roman" w:hAnsi="Times New Roman" w:eastAsia="Times New Roman"/>
          <w:sz w:val="22"/>
          <w:szCs w:val="22"/>
          <w:lang w:val="en-US" w:eastAsia="zh-CN"/>
        </w:rPr>
        <w:t>cenarios and requirements</w:t>
      </w:r>
      <w:r>
        <w:rPr>
          <w:rFonts w:hint="eastAsia" w:ascii="Times New Roman" w:hAnsi="Times New Roman" w:eastAsia="Times New Roman"/>
          <w:sz w:val="22"/>
          <w:szCs w:val="22"/>
          <w:lang w:val="en-US" w:eastAsia="zh-CN"/>
        </w:rPr>
        <w:t xml:space="preserve"> has been approved [1]. At RAN#108 meeting, the new TR 38.914 was created and captured the latest agreements for 6G deployment scenarios[2]. </w:t>
      </w:r>
    </w:p>
    <w:p w14:paraId="1F4440BC">
      <w:pPr>
        <w:pStyle w:val="91"/>
        <w:spacing w:after="120" w:afterAutospacing="0" w:line="240" w:lineRule="auto"/>
        <w:ind w:firstLine="0"/>
        <w:rPr>
          <w:rFonts w:hint="eastAsia" w:ascii="Times New Roman" w:hAnsi="Times New Roman" w:eastAsia="Times New Roman"/>
          <w:sz w:val="22"/>
          <w:szCs w:val="22"/>
          <w:lang w:val="en-US" w:eastAsia="zh-CN"/>
        </w:rPr>
      </w:pPr>
      <w:r>
        <w:rPr>
          <w:rFonts w:ascii="Times New Roman" w:hAnsi="Times New Roman" w:eastAsia="Times New Roman"/>
          <w:sz w:val="22"/>
          <w:szCs w:val="22"/>
          <w:lang w:val="en-US" w:eastAsia="zh-CN"/>
        </w:rPr>
        <w:t>T</w:t>
      </w:r>
      <w:r>
        <w:rPr>
          <w:rFonts w:hint="eastAsia" w:ascii="Times New Roman" w:hAnsi="Times New Roman" w:eastAsia="Times New Roman"/>
          <w:sz w:val="22"/>
          <w:szCs w:val="22"/>
          <w:lang w:val="en-US" w:eastAsia="zh-CN"/>
        </w:rPr>
        <w:t>his</w:t>
      </w:r>
      <w:r>
        <w:rPr>
          <w:rFonts w:ascii="Times New Roman" w:hAnsi="Times New Roman" w:eastAsia="Times New Roman"/>
          <w:sz w:val="22"/>
          <w:szCs w:val="22"/>
          <w:lang w:val="en-US"/>
        </w:rPr>
        <w:t xml:space="preserve"> </w:t>
      </w:r>
      <w:r>
        <w:rPr>
          <w:rFonts w:hint="eastAsia" w:ascii="Times New Roman" w:hAnsi="Times New Roman" w:eastAsia="Times New Roman"/>
          <w:sz w:val="22"/>
          <w:szCs w:val="22"/>
          <w:lang w:val="en-US" w:eastAsia="zh-CN"/>
        </w:rPr>
        <w:t>contribution</w:t>
      </w:r>
      <w:r>
        <w:rPr>
          <w:rFonts w:ascii="Times New Roman" w:hAnsi="Times New Roman" w:eastAsia="Times New Roman"/>
          <w:sz w:val="22"/>
          <w:szCs w:val="22"/>
          <w:lang w:val="en-US" w:eastAsia="zh-CN"/>
        </w:rPr>
        <w:t xml:space="preserve"> </w:t>
      </w:r>
      <w:r>
        <w:rPr>
          <w:rFonts w:hint="eastAsia" w:ascii="Times New Roman" w:hAnsi="Times New Roman" w:eastAsia="Times New Roman"/>
          <w:sz w:val="22"/>
          <w:szCs w:val="22"/>
          <w:lang w:val="en-US" w:eastAsia="zh-CN"/>
        </w:rPr>
        <w:t>provides</w:t>
      </w:r>
      <w:r>
        <w:rPr>
          <w:rFonts w:ascii="Times New Roman" w:hAnsi="Times New Roman" w:eastAsia="Times New Roman"/>
          <w:sz w:val="22"/>
          <w:szCs w:val="22"/>
          <w:lang w:val="en-US" w:eastAsia="zh-CN"/>
        </w:rPr>
        <w:t xml:space="preserve"> our</w:t>
      </w:r>
      <w:r>
        <w:rPr>
          <w:rFonts w:hint="eastAsia" w:ascii="Times New Roman" w:hAnsi="Times New Roman" w:eastAsia="Times New Roman"/>
          <w:sz w:val="22"/>
          <w:szCs w:val="22"/>
          <w:lang w:val="en-US" w:eastAsia="zh-CN"/>
        </w:rPr>
        <w:t xml:space="preserve"> </w:t>
      </w:r>
      <w:r>
        <w:rPr>
          <w:rFonts w:ascii="Times New Roman" w:hAnsi="Times New Roman" w:eastAsia="Times New Roman"/>
          <w:sz w:val="22"/>
          <w:szCs w:val="22"/>
          <w:lang w:val="en-US" w:eastAsia="zh-CN"/>
        </w:rPr>
        <w:t xml:space="preserve">views on </w:t>
      </w:r>
      <w:r>
        <w:rPr>
          <w:rFonts w:hint="eastAsia" w:ascii="Times New Roman" w:hAnsi="Times New Roman" w:eastAsia="Times New Roman"/>
          <w:sz w:val="22"/>
          <w:szCs w:val="22"/>
          <w:lang w:val="en-US" w:eastAsia="zh-CN"/>
        </w:rPr>
        <w:t xml:space="preserve">6G </w:t>
      </w:r>
      <w:r>
        <w:rPr>
          <w:rFonts w:hint="eastAsia" w:eastAsia="Times New Roman"/>
          <w:sz w:val="22"/>
          <w:szCs w:val="22"/>
          <w:lang w:val="en-US" w:eastAsia="zh-CN"/>
        </w:rPr>
        <w:t xml:space="preserve">typical </w:t>
      </w:r>
      <w:r>
        <w:rPr>
          <w:rFonts w:hint="eastAsia" w:ascii="Times New Roman" w:hAnsi="Times New Roman" w:eastAsia="Times New Roman"/>
          <w:sz w:val="22"/>
          <w:szCs w:val="22"/>
          <w:lang w:val="en-US" w:eastAsia="zh-CN"/>
        </w:rPr>
        <w:t xml:space="preserve">scenarios and the general requirements for 6G scenarios. </w:t>
      </w:r>
    </w:p>
    <w:p w14:paraId="2151CDC2">
      <w:pPr>
        <w:spacing w:after="0"/>
        <w:rPr>
          <w:rFonts w:hint="default"/>
          <w:sz w:val="22"/>
          <w:lang w:val="en-US" w:eastAsia="zh-CN"/>
        </w:rPr>
      </w:pPr>
    </w:p>
    <w:p w14:paraId="6E733BFE">
      <w:pPr>
        <w:pStyle w:val="2"/>
        <w:numPr>
          <w:ilvl w:val="0"/>
          <w:numId w:val="4"/>
        </w:numPr>
        <w:snapToGrid w:val="0"/>
        <w:spacing w:before="0" w:after="120" w:line="240" w:lineRule="auto"/>
        <w:rPr>
          <w:rFonts w:hint="eastAsia" w:ascii="Arial" w:hAnsi="Arial" w:eastAsia="宋体" w:cs="Arial"/>
          <w:b/>
          <w:bCs/>
          <w:kern w:val="2"/>
          <w:sz w:val="28"/>
          <w:szCs w:val="28"/>
          <w:lang w:val="en-US" w:eastAsia="zh-CN"/>
        </w:rPr>
      </w:pPr>
      <w:r>
        <w:rPr>
          <w:rFonts w:hint="eastAsia" w:cs="Arial"/>
          <w:b/>
          <w:bCs/>
          <w:sz w:val="30"/>
          <w:szCs w:val="30"/>
          <w:lang w:val="en-US" w:eastAsia="zh-CN"/>
        </w:rPr>
        <w:t>Requirements for 6G Deployment scenarios</w:t>
      </w:r>
    </w:p>
    <w:p w14:paraId="3DC5BA45">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Indoor Hotspot scenario</w:t>
      </w:r>
    </w:p>
    <w:p w14:paraId="70B93E86">
      <w:pPr>
        <w:pStyle w:val="91"/>
        <w:spacing w:after="120" w:afterAutospacing="0" w:line="240" w:lineRule="auto"/>
        <w:ind w:firstLine="0"/>
        <w:rPr>
          <w:rFonts w:hint="eastAsia" w:eastAsia="Times New Roman"/>
          <w:sz w:val="22"/>
          <w:szCs w:val="22"/>
          <w:lang w:val="en-US" w:eastAsia="zh-CN"/>
        </w:rPr>
      </w:pPr>
      <w:r>
        <w:rPr>
          <w:rFonts w:hint="eastAsia" w:eastAsia="Times New Roman"/>
          <w:sz w:val="22"/>
          <w:szCs w:val="22"/>
          <w:lang w:val="en-US" w:eastAsia="zh-CN"/>
        </w:rPr>
        <w:t>Considering the commercial deployment requirements, the operator needs to reuse and upgrade the existing infrastructures from legacy mobile communication systems</w:t>
      </w:r>
      <w:r>
        <w:rPr>
          <w:rFonts w:hint="eastAsia" w:ascii="Times New Roman" w:hAnsi="Times New Roman" w:eastAsia="Times New Roman"/>
          <w:sz w:val="22"/>
          <w:szCs w:val="22"/>
          <w:lang w:val="en-US" w:eastAsia="zh-CN"/>
        </w:rPr>
        <w:t>.</w:t>
      </w:r>
      <w:r>
        <w:rPr>
          <w:rFonts w:hint="eastAsia" w:eastAsia="Times New Roman"/>
          <w:sz w:val="22"/>
          <w:szCs w:val="22"/>
          <w:lang w:val="en-US" w:eastAsia="zh-CN"/>
        </w:rPr>
        <w:t xml:space="preserve"> Considering the spectrum utilized in the legacy system, e.g. 5G, 4G, it is proposed to update the requirements as below.</w:t>
      </w:r>
    </w:p>
    <w:p w14:paraId="4215EE99">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 xml:space="preserve">Carrier Frequency: </w:t>
      </w:r>
      <w:r>
        <w:rPr>
          <w:rFonts w:hint="eastAsia" w:eastAsia="Times New Roman"/>
          <w:b/>
          <w:bCs/>
          <w:sz w:val="22"/>
          <w:szCs w:val="22"/>
          <w:lang w:val="en-US" w:eastAsia="zh-CN"/>
        </w:rPr>
        <w:t>Around 2 GHz</w:t>
      </w:r>
      <w:r>
        <w:rPr>
          <w:rFonts w:hint="eastAsia" w:eastAsia="Times New Roman"/>
          <w:sz w:val="22"/>
          <w:szCs w:val="22"/>
          <w:lang w:val="en-US" w:eastAsia="zh-CN"/>
        </w:rPr>
        <w:t xml:space="preserve"> (add the new frequency)</w:t>
      </w:r>
    </w:p>
    <w:p w14:paraId="768ED147">
      <w:pPr>
        <w:pStyle w:val="91"/>
        <w:numPr>
          <w:ilvl w:val="0"/>
          <w:numId w:val="5"/>
        </w:numPr>
        <w:spacing w:after="120" w:afterAutospacing="0" w:line="240" w:lineRule="auto"/>
        <w:ind w:left="840" w:leftChars="0" w:hanging="420" w:firstLineChars="0"/>
        <w:rPr>
          <w:rFonts w:hint="eastAsia" w:ascii="Times New Roman" w:hAnsi="Times New Roman" w:eastAsia="Times New Roman"/>
          <w:b/>
          <w:bCs/>
          <w:sz w:val="22"/>
          <w:szCs w:val="22"/>
          <w:lang w:val="en-US" w:eastAsia="zh-CN"/>
        </w:rPr>
      </w:pPr>
      <w:r>
        <w:rPr>
          <w:rFonts w:hint="eastAsia" w:ascii="Times New Roman" w:hAnsi="Times New Roman" w:eastAsia="Times New Roman"/>
          <w:sz w:val="22"/>
          <w:szCs w:val="22"/>
          <w:lang w:val="en-US" w:eastAsia="zh-CN"/>
        </w:rPr>
        <w:t>Aggregated system bandwidth</w:t>
      </w:r>
      <w:r>
        <w:rPr>
          <w:rFonts w:hint="eastAsia" w:eastAsia="Times New Roman"/>
          <w:sz w:val="22"/>
          <w:szCs w:val="22"/>
          <w:lang w:val="en-US" w:eastAsia="zh-CN"/>
        </w:rPr>
        <w:t xml:space="preserve">: </w:t>
      </w:r>
      <w:r>
        <w:rPr>
          <w:rFonts w:hint="eastAsia" w:eastAsia="Times New Roman"/>
          <w:b/>
          <w:bCs/>
          <w:sz w:val="22"/>
          <w:szCs w:val="22"/>
          <w:lang w:val="en-US" w:eastAsia="zh-CN"/>
        </w:rPr>
        <w:t>Around 4 GHz: Up to 300 MHz (DL+UL)  ( Considering RAN sharing scenario)</w:t>
      </w:r>
    </w:p>
    <w:p w14:paraId="7D820E8F">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 xml:space="preserve">ISD: For below 7GHz, the ISD requirement should be the same value, e.g. </w:t>
      </w:r>
      <w:r>
        <w:rPr>
          <w:rFonts w:hint="eastAsia" w:eastAsia="Times New Roman"/>
          <w:sz w:val="22"/>
          <w:szCs w:val="22"/>
          <w:highlight w:val="none"/>
          <w:lang w:val="en-US" w:eastAsia="zh-CN"/>
        </w:rPr>
        <w:t xml:space="preserve">30~50 meter, </w:t>
      </w:r>
      <w:r>
        <w:rPr>
          <w:rFonts w:hint="eastAsia" w:eastAsia="Times New Roman"/>
          <w:sz w:val="22"/>
          <w:szCs w:val="22"/>
          <w:lang w:val="en-US" w:eastAsia="zh-CN"/>
        </w:rPr>
        <w:t>considering the practical deployment scenario.</w:t>
      </w:r>
    </w:p>
    <w:p w14:paraId="4AF72FC5">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BS antenna elements</w:t>
      </w:r>
      <w:r>
        <w:rPr>
          <w:rFonts w:hint="eastAsia" w:eastAsia="Times New Roman"/>
          <w:sz w:val="22"/>
          <w:szCs w:val="22"/>
          <w:lang w:val="en-US" w:eastAsia="zh-CN"/>
        </w:rPr>
        <w:t xml:space="preserve">: </w:t>
      </w:r>
      <w:r>
        <w:rPr>
          <w:rFonts w:hint="eastAsia" w:ascii="Times New Roman" w:hAnsi="Times New Roman" w:eastAsia="Times New Roman"/>
          <w:sz w:val="22"/>
          <w:szCs w:val="22"/>
          <w:lang w:val="en-US" w:eastAsia="zh-CN"/>
        </w:rPr>
        <w:t xml:space="preserve"> </w:t>
      </w:r>
      <w:r>
        <w:rPr>
          <w:rFonts w:hint="eastAsia" w:eastAsia="Times New Roman"/>
          <w:sz w:val="22"/>
          <w:szCs w:val="22"/>
          <w:lang w:val="en-US" w:eastAsia="zh-CN"/>
        </w:rPr>
        <w:t>2T2R and 4T4R</w:t>
      </w:r>
    </w:p>
    <w:p w14:paraId="4E4CD29D">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UE</w:t>
      </w:r>
      <w:r>
        <w:rPr>
          <w:rFonts w:hint="eastAsia" w:ascii="Times New Roman" w:hAnsi="Times New Roman" w:eastAsia="Times New Roman"/>
          <w:sz w:val="22"/>
          <w:szCs w:val="22"/>
          <w:lang w:val="en-US" w:eastAsia="zh-CN"/>
        </w:rPr>
        <w:t xml:space="preserve"> antenna elements</w:t>
      </w:r>
      <w:r>
        <w:rPr>
          <w:rFonts w:hint="eastAsia" w:eastAsia="Times New Roman"/>
          <w:sz w:val="22"/>
          <w:szCs w:val="22"/>
          <w:lang w:val="en-US" w:eastAsia="zh-CN"/>
        </w:rPr>
        <w:t>:  1T2R as minimum requirement</w:t>
      </w:r>
    </w:p>
    <w:p w14:paraId="06C02164">
      <w:pPr>
        <w:pStyle w:val="91"/>
        <w:numPr>
          <w:ilvl w:val="0"/>
          <w:numId w:val="0"/>
        </w:numPr>
        <w:spacing w:after="120" w:afterAutospacing="0" w:line="240" w:lineRule="auto"/>
        <w:ind w:left="420" w:leftChars="0"/>
        <w:rPr>
          <w:rFonts w:hint="eastAsia" w:ascii="Times New Roman" w:hAnsi="Times New Roman" w:eastAsia="Times New Roman"/>
          <w:sz w:val="22"/>
          <w:szCs w:val="22"/>
          <w:lang w:val="en-US" w:eastAsia="zh-CN"/>
        </w:rPr>
      </w:pPr>
    </w:p>
    <w:p w14:paraId="3F33F1E2">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Times New Roman" w:hAnsi="Times New Roman" w:eastAsia="Times New Roman"/>
          <w:sz w:val="22"/>
          <w:szCs w:val="22"/>
          <w:lang w:val="en-US" w:eastAsia="zh-CN"/>
        </w:rPr>
        <w:t xml:space="preserve"> </w:t>
      </w:r>
      <w:r>
        <w:rPr>
          <w:rFonts w:hint="eastAsia" w:ascii="Arial" w:hAnsi="Arial" w:eastAsia="宋体" w:cs="Arial"/>
          <w:b/>
          <w:bCs/>
          <w:kern w:val="2"/>
          <w:sz w:val="26"/>
          <w:szCs w:val="26"/>
          <w:lang w:val="en-US" w:eastAsia="zh-CN"/>
        </w:rPr>
        <w:t>Dense Urban scenario</w:t>
      </w:r>
    </w:p>
    <w:p w14:paraId="5EBCB889">
      <w:pPr>
        <w:pStyle w:val="91"/>
        <w:spacing w:after="120" w:afterAutospacing="0" w:line="240" w:lineRule="auto"/>
        <w:ind w:firstLine="0"/>
        <w:rPr>
          <w:rFonts w:hint="eastAsia" w:eastAsia="Times New Roman"/>
          <w:sz w:val="22"/>
          <w:szCs w:val="22"/>
          <w:lang w:val="en-US" w:eastAsia="zh-CN"/>
        </w:rPr>
      </w:pPr>
      <w:r>
        <w:rPr>
          <w:rFonts w:hint="eastAsia" w:eastAsia="Times New Roman"/>
          <w:sz w:val="22"/>
          <w:szCs w:val="22"/>
          <w:lang w:val="en-US" w:eastAsia="zh-CN"/>
        </w:rPr>
        <w:t>For dense urban scenario, both the new spectrum and the re-farming spectrum from legacy system should be considered</w:t>
      </w:r>
      <w:r>
        <w:rPr>
          <w:rFonts w:hint="eastAsia" w:ascii="Times New Roman" w:hAnsi="Times New Roman" w:eastAsia="Times New Roman"/>
          <w:sz w:val="22"/>
          <w:szCs w:val="22"/>
          <w:lang w:val="en-US" w:eastAsia="zh-CN"/>
        </w:rPr>
        <w:t>.</w:t>
      </w:r>
      <w:r>
        <w:rPr>
          <w:rFonts w:hint="eastAsia" w:eastAsia="Times New Roman"/>
          <w:sz w:val="22"/>
          <w:szCs w:val="22"/>
          <w:lang w:val="en-US" w:eastAsia="zh-CN"/>
        </w:rPr>
        <w:t xml:space="preserve"> In dense urban scenario, two layers with flexible frequency configurations are necessary for real network deployment. One layer with lower frequency is providing basic coverage, and the second layer with higher frequency is provided for capacity boosting.</w:t>
      </w:r>
    </w:p>
    <w:p w14:paraId="717BD2B7">
      <w:pPr>
        <w:pStyle w:val="91"/>
        <w:numPr>
          <w:ilvl w:val="0"/>
          <w:numId w:val="5"/>
        </w:numPr>
        <w:spacing w:after="120" w:afterAutospacing="0" w:line="240" w:lineRule="auto"/>
        <w:ind w:left="840" w:leftChars="0" w:hanging="420" w:firstLineChars="0"/>
        <w:rPr>
          <w:rFonts w:hint="eastAsia" w:ascii="Times New Roman" w:hAnsi="Times New Roman" w:eastAsia="Times New Roman"/>
          <w:b/>
          <w:bCs/>
          <w:sz w:val="22"/>
          <w:szCs w:val="22"/>
          <w:lang w:val="en-US" w:eastAsia="zh-CN"/>
        </w:rPr>
      </w:pPr>
      <w:r>
        <w:rPr>
          <w:rFonts w:hint="eastAsia" w:eastAsia="Times New Roman"/>
          <w:sz w:val="22"/>
          <w:szCs w:val="22"/>
          <w:lang w:val="en-US" w:eastAsia="zh-CN"/>
        </w:rPr>
        <w:t xml:space="preserve">Carrier Frequency: </w:t>
      </w:r>
      <w:r>
        <w:rPr>
          <w:rFonts w:hint="eastAsia" w:eastAsia="Times New Roman"/>
          <w:b/>
          <w:bCs/>
          <w:sz w:val="22"/>
          <w:szCs w:val="22"/>
          <w:lang w:val="en-US" w:eastAsia="zh-CN"/>
        </w:rPr>
        <w:t>Around 700MHz</w:t>
      </w:r>
      <w:r>
        <w:rPr>
          <w:rFonts w:hint="eastAsia" w:eastAsia="Times New Roman"/>
          <w:sz w:val="22"/>
          <w:szCs w:val="22"/>
          <w:lang w:val="en-US" w:eastAsia="zh-CN"/>
        </w:rPr>
        <w:t xml:space="preserve"> </w:t>
      </w:r>
    </w:p>
    <w:p w14:paraId="11AC072B">
      <w:pPr>
        <w:pStyle w:val="91"/>
        <w:numPr>
          <w:ilvl w:val="0"/>
          <w:numId w:val="5"/>
        </w:numPr>
        <w:spacing w:after="120" w:afterAutospacing="0" w:line="240" w:lineRule="auto"/>
        <w:ind w:left="840" w:leftChars="0" w:hanging="420" w:firstLineChars="0"/>
        <w:rPr>
          <w:rFonts w:hint="eastAsia" w:ascii="Times New Roman" w:hAnsi="Times New Roman" w:eastAsia="Times New Roman"/>
          <w:b/>
          <w:bCs/>
          <w:sz w:val="22"/>
          <w:szCs w:val="22"/>
          <w:lang w:val="en-US" w:eastAsia="zh-CN"/>
        </w:rPr>
      </w:pPr>
      <w:r>
        <w:rPr>
          <w:rFonts w:hint="eastAsia" w:eastAsia="Times New Roman"/>
          <w:sz w:val="22"/>
          <w:szCs w:val="22"/>
          <w:lang w:val="en-US" w:eastAsia="zh-CN"/>
        </w:rPr>
        <w:t>Layout: Around</w:t>
      </w:r>
      <w:r>
        <w:rPr>
          <w:rFonts w:hint="eastAsia" w:eastAsia="Times New Roman"/>
          <w:b/>
          <w:bCs/>
          <w:sz w:val="22"/>
          <w:szCs w:val="22"/>
          <w:lang w:val="en-US" w:eastAsia="zh-CN"/>
        </w:rPr>
        <w:t xml:space="preserve"> 7 GHz + Around 2GHz, Around 7 GHz + Around 4GHz, Around 7 GHz + Around 700MHz</w:t>
      </w:r>
    </w:p>
    <w:p w14:paraId="75AC0825">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BS antenna elements</w:t>
      </w:r>
      <w:r>
        <w:rPr>
          <w:rFonts w:hint="eastAsia" w:eastAsia="Times New Roman"/>
          <w:sz w:val="22"/>
          <w:szCs w:val="22"/>
          <w:lang w:val="en-US" w:eastAsia="zh-CN"/>
        </w:rPr>
        <w:t xml:space="preserve">: </w:t>
      </w:r>
      <w:r>
        <w:rPr>
          <w:rFonts w:hint="eastAsia" w:ascii="Times New Roman" w:hAnsi="Times New Roman" w:eastAsia="Times New Roman"/>
          <w:sz w:val="22"/>
          <w:szCs w:val="22"/>
          <w:lang w:val="en-US" w:eastAsia="zh-CN"/>
        </w:rPr>
        <w:t xml:space="preserve"> </w:t>
      </w:r>
      <w:r>
        <w:rPr>
          <w:rFonts w:hint="eastAsia" w:eastAsia="Times New Roman"/>
          <w:sz w:val="22"/>
          <w:szCs w:val="22"/>
          <w:lang w:val="en-US" w:eastAsia="zh-CN"/>
        </w:rPr>
        <w:t>16T16R/64T64R (sub 4GHz), 128T128R/256T256R (higher frequency)</w:t>
      </w:r>
    </w:p>
    <w:p w14:paraId="6F32D243">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UE</w:t>
      </w:r>
      <w:r>
        <w:rPr>
          <w:rFonts w:hint="eastAsia" w:ascii="Times New Roman" w:hAnsi="Times New Roman" w:eastAsia="Times New Roman"/>
          <w:sz w:val="22"/>
          <w:szCs w:val="22"/>
          <w:lang w:val="en-US" w:eastAsia="zh-CN"/>
        </w:rPr>
        <w:t xml:space="preserve"> antenna elements</w:t>
      </w:r>
      <w:r>
        <w:rPr>
          <w:rFonts w:hint="eastAsia" w:eastAsia="Times New Roman"/>
          <w:sz w:val="22"/>
          <w:szCs w:val="22"/>
          <w:lang w:val="en-US" w:eastAsia="zh-CN"/>
        </w:rPr>
        <w:t>:  1T2R, 2T2R, 2T4R</w:t>
      </w:r>
    </w:p>
    <w:p w14:paraId="1CD63ED9">
      <w:pPr>
        <w:pStyle w:val="91"/>
        <w:spacing w:after="120" w:afterAutospacing="0" w:line="240" w:lineRule="auto"/>
        <w:ind w:firstLine="0"/>
        <w:rPr>
          <w:rFonts w:hint="default" w:eastAsia="Times New Roman"/>
          <w:sz w:val="22"/>
          <w:szCs w:val="22"/>
          <w:lang w:val="en-US" w:eastAsia="zh-CN"/>
        </w:rPr>
      </w:pPr>
    </w:p>
    <w:p w14:paraId="27A5F9BD">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Times New Roman" w:hAnsi="Times New Roman" w:eastAsia="Times New Roman"/>
          <w:sz w:val="22"/>
          <w:szCs w:val="22"/>
          <w:lang w:val="en-US" w:eastAsia="zh-CN"/>
        </w:rPr>
        <w:t xml:space="preserve"> </w:t>
      </w:r>
      <w:r>
        <w:rPr>
          <w:rFonts w:hint="eastAsia" w:ascii="Arial" w:hAnsi="Arial" w:eastAsia="宋体" w:cs="Arial"/>
          <w:b/>
          <w:bCs/>
          <w:kern w:val="2"/>
          <w:sz w:val="26"/>
          <w:szCs w:val="26"/>
          <w:lang w:val="en-US" w:eastAsia="zh-CN"/>
        </w:rPr>
        <w:t>Rural scenario</w:t>
      </w:r>
    </w:p>
    <w:p w14:paraId="57F8C8DC">
      <w:pPr>
        <w:pStyle w:val="91"/>
        <w:spacing w:after="120" w:afterAutospacing="0" w:line="240" w:lineRule="auto"/>
        <w:ind w:firstLine="0"/>
        <w:rPr>
          <w:rFonts w:hint="default" w:eastAsia="Times New Roman"/>
          <w:sz w:val="22"/>
          <w:szCs w:val="22"/>
          <w:lang w:val="en-US" w:eastAsia="zh-CN"/>
        </w:rPr>
      </w:pPr>
      <w:r>
        <w:rPr>
          <w:rFonts w:hint="eastAsia" w:eastAsia="Times New Roman"/>
          <w:sz w:val="22"/>
          <w:szCs w:val="22"/>
          <w:lang w:val="en-US" w:eastAsia="zh-CN"/>
        </w:rPr>
        <w:t xml:space="preserve">For rural scenario, operator needs to leverage the cell coverage as well as cell capacity. It's related to site planning and radio propagation of different spectrum </w:t>
      </w:r>
      <w:bookmarkStart w:id="0" w:name="_GoBack"/>
      <w:bookmarkEnd w:id="0"/>
      <w:r>
        <w:rPr>
          <w:rFonts w:hint="eastAsia" w:eastAsia="Times New Roman"/>
          <w:sz w:val="22"/>
          <w:szCs w:val="22"/>
          <w:lang w:val="en-US" w:eastAsia="zh-CN"/>
        </w:rPr>
        <w:t>bands.</w:t>
      </w:r>
    </w:p>
    <w:p w14:paraId="0BCA59D6">
      <w:pPr>
        <w:pStyle w:val="91"/>
        <w:numPr>
          <w:ilvl w:val="0"/>
          <w:numId w:val="5"/>
        </w:numPr>
        <w:spacing w:after="120" w:afterAutospacing="0" w:line="240" w:lineRule="auto"/>
        <w:ind w:left="840" w:leftChars="0" w:hanging="420" w:firstLineChars="0"/>
        <w:rPr>
          <w:rFonts w:hint="eastAsia" w:ascii="Times New Roman" w:hAnsi="Times New Roman" w:eastAsia="Times New Roman"/>
          <w:b/>
          <w:bCs/>
          <w:sz w:val="22"/>
          <w:szCs w:val="22"/>
          <w:lang w:val="en-US" w:eastAsia="zh-CN"/>
        </w:rPr>
      </w:pPr>
      <w:r>
        <w:rPr>
          <w:rFonts w:hint="eastAsia" w:eastAsia="Times New Roman"/>
          <w:sz w:val="22"/>
          <w:szCs w:val="22"/>
          <w:lang w:val="en-US" w:eastAsia="zh-CN"/>
        </w:rPr>
        <w:t xml:space="preserve">Carrier Frequency: </w:t>
      </w:r>
      <w:r>
        <w:rPr>
          <w:rFonts w:hint="eastAsia" w:eastAsia="Times New Roman"/>
          <w:b/>
          <w:bCs/>
          <w:sz w:val="22"/>
          <w:szCs w:val="22"/>
          <w:lang w:val="en-US" w:eastAsia="zh-CN"/>
        </w:rPr>
        <w:t>Around 700MHz</w:t>
      </w:r>
      <w:r>
        <w:rPr>
          <w:rFonts w:hint="eastAsia" w:eastAsia="Times New Roman"/>
          <w:sz w:val="22"/>
          <w:szCs w:val="22"/>
          <w:lang w:val="en-US" w:eastAsia="zh-CN"/>
        </w:rPr>
        <w:t xml:space="preserve"> </w:t>
      </w:r>
    </w:p>
    <w:p w14:paraId="79FA496A">
      <w:pPr>
        <w:pStyle w:val="91"/>
        <w:numPr>
          <w:ilvl w:val="0"/>
          <w:numId w:val="5"/>
        </w:numPr>
        <w:spacing w:after="120" w:afterAutospacing="0" w:line="240" w:lineRule="auto"/>
        <w:ind w:left="840" w:leftChars="0" w:hanging="420" w:firstLineChars="0"/>
        <w:rPr>
          <w:rFonts w:hint="eastAsia" w:ascii="Times New Roman" w:hAnsi="Times New Roman" w:eastAsia="Times New Roman"/>
          <w:b/>
          <w:bCs/>
          <w:sz w:val="22"/>
          <w:szCs w:val="22"/>
          <w:lang w:val="en-US" w:eastAsia="zh-CN"/>
        </w:rPr>
      </w:pPr>
      <w:r>
        <w:rPr>
          <w:rFonts w:hint="eastAsia" w:eastAsia="Times New Roman"/>
          <w:sz w:val="22"/>
          <w:szCs w:val="22"/>
          <w:lang w:val="en-US" w:eastAsia="zh-CN"/>
        </w:rPr>
        <w:t xml:space="preserve">Layout: </w:t>
      </w:r>
      <w:r>
        <w:rPr>
          <w:rFonts w:hint="eastAsia" w:eastAsia="Times New Roman"/>
          <w:b/>
          <w:bCs/>
          <w:sz w:val="22"/>
          <w:szCs w:val="22"/>
          <w:lang w:val="en-US" w:eastAsia="zh-CN"/>
        </w:rPr>
        <w:t>Around 7 GHz + Around 2GHz, Around 7 GHz + Around 4GHz, Around 7 GHz + Around 700MHz</w:t>
      </w:r>
    </w:p>
    <w:p w14:paraId="5561EFA1">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BS antenna elements</w:t>
      </w:r>
      <w:r>
        <w:rPr>
          <w:rFonts w:hint="eastAsia" w:eastAsia="Times New Roman"/>
          <w:sz w:val="22"/>
          <w:szCs w:val="22"/>
          <w:lang w:val="en-US" w:eastAsia="zh-CN"/>
        </w:rPr>
        <w:t xml:space="preserve">: </w:t>
      </w:r>
      <w:r>
        <w:rPr>
          <w:rFonts w:hint="eastAsia" w:ascii="Times New Roman" w:hAnsi="Times New Roman" w:eastAsia="Times New Roman"/>
          <w:sz w:val="22"/>
          <w:szCs w:val="22"/>
          <w:lang w:val="en-US" w:eastAsia="zh-CN"/>
        </w:rPr>
        <w:t xml:space="preserve"> </w:t>
      </w:r>
      <w:r>
        <w:rPr>
          <w:rFonts w:hint="eastAsia" w:eastAsia="Times New Roman"/>
          <w:sz w:val="22"/>
          <w:szCs w:val="22"/>
          <w:lang w:val="en-US" w:eastAsia="zh-CN"/>
        </w:rPr>
        <w:t>2T2R, 4T4R, 8T8R</w:t>
      </w:r>
    </w:p>
    <w:p w14:paraId="1DD4FAC6">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UE</w:t>
      </w:r>
      <w:r>
        <w:rPr>
          <w:rFonts w:hint="eastAsia" w:ascii="Times New Roman" w:hAnsi="Times New Roman" w:eastAsia="Times New Roman"/>
          <w:sz w:val="22"/>
          <w:szCs w:val="22"/>
          <w:lang w:val="en-US" w:eastAsia="zh-CN"/>
        </w:rPr>
        <w:t xml:space="preserve"> antenna elements</w:t>
      </w:r>
      <w:r>
        <w:rPr>
          <w:rFonts w:hint="eastAsia" w:eastAsia="Times New Roman"/>
          <w:sz w:val="22"/>
          <w:szCs w:val="22"/>
          <w:lang w:val="en-US" w:eastAsia="zh-CN"/>
        </w:rPr>
        <w:t>:  1T2R, 2T2R, 2T4R</w:t>
      </w:r>
    </w:p>
    <w:p w14:paraId="3B79BC65">
      <w:pPr>
        <w:pStyle w:val="91"/>
        <w:spacing w:after="120" w:afterAutospacing="0" w:line="240" w:lineRule="auto"/>
        <w:ind w:firstLine="0"/>
        <w:rPr>
          <w:rFonts w:hint="eastAsia" w:ascii="Times New Roman" w:hAnsi="Times New Roman" w:eastAsia="Times New Roman"/>
          <w:sz w:val="22"/>
          <w:szCs w:val="22"/>
          <w:lang w:val="en-US" w:eastAsia="zh-CN"/>
        </w:rPr>
      </w:pPr>
    </w:p>
    <w:p w14:paraId="75127E97">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Times New Roman" w:hAnsi="Times New Roman" w:eastAsia="Times New Roman"/>
          <w:sz w:val="22"/>
          <w:szCs w:val="22"/>
          <w:lang w:val="en-US" w:eastAsia="zh-CN"/>
        </w:rPr>
        <w:t xml:space="preserve"> </w:t>
      </w:r>
      <w:r>
        <w:rPr>
          <w:rFonts w:hint="eastAsia" w:ascii="Arial" w:hAnsi="Arial" w:eastAsia="宋体" w:cs="Arial"/>
          <w:b/>
          <w:bCs/>
          <w:kern w:val="2"/>
          <w:sz w:val="26"/>
          <w:szCs w:val="26"/>
          <w:lang w:val="en-US" w:eastAsia="zh-CN"/>
        </w:rPr>
        <w:t>Extreme long distance coverage in low density area</w:t>
      </w:r>
    </w:p>
    <w:p w14:paraId="49621C6D">
      <w:pPr>
        <w:pStyle w:val="91"/>
        <w:spacing w:after="120" w:afterAutospacing="0" w:line="240" w:lineRule="auto"/>
        <w:ind w:firstLine="0"/>
        <w:rPr>
          <w:rFonts w:hint="eastAsia" w:eastAsia="Times New Roman"/>
          <w:sz w:val="22"/>
          <w:szCs w:val="22"/>
          <w:lang w:val="en-US" w:eastAsia="zh-CN"/>
        </w:rPr>
      </w:pPr>
      <w:r>
        <w:rPr>
          <w:rFonts w:hint="eastAsia" w:eastAsia="Times New Roman"/>
          <w:sz w:val="22"/>
          <w:szCs w:val="22"/>
          <w:lang w:val="en-US" w:eastAsia="zh-CN"/>
        </w:rPr>
        <w:t>Considering the commercial deployment requirements, the operator needs to reuse and upgrade the existing infrastructures from legacy mobile communication systems</w:t>
      </w:r>
      <w:r>
        <w:rPr>
          <w:rFonts w:hint="eastAsia" w:ascii="Times New Roman" w:hAnsi="Times New Roman" w:eastAsia="Times New Roman"/>
          <w:sz w:val="22"/>
          <w:szCs w:val="22"/>
          <w:lang w:val="en-US" w:eastAsia="zh-CN"/>
        </w:rPr>
        <w:t>.</w:t>
      </w:r>
      <w:r>
        <w:rPr>
          <w:rFonts w:hint="eastAsia" w:eastAsia="Times New Roman"/>
          <w:sz w:val="22"/>
          <w:szCs w:val="22"/>
          <w:lang w:val="en-US" w:eastAsia="zh-CN"/>
        </w:rPr>
        <w:t xml:space="preserve"> Considering the spectrum utilized in the legacy system, e.g. 5G, 4G, it is proposed to update the requirements as below.</w:t>
      </w:r>
    </w:p>
    <w:p w14:paraId="772110A4">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System Bandwidth</w:t>
      </w:r>
      <w:r>
        <w:rPr>
          <w:rFonts w:hint="eastAsia" w:eastAsia="Times New Roman"/>
          <w:sz w:val="22"/>
          <w:szCs w:val="22"/>
          <w:lang w:val="en-US" w:eastAsia="zh-CN"/>
        </w:rPr>
        <w:t>: up to 50MHz</w:t>
      </w:r>
    </w:p>
    <w:p w14:paraId="044775E4">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Cell range</w:t>
      </w:r>
      <w:r>
        <w:rPr>
          <w:rFonts w:hint="eastAsia" w:eastAsia="Times New Roman"/>
          <w:sz w:val="22"/>
          <w:szCs w:val="22"/>
          <w:lang w:val="en-US" w:eastAsia="zh-CN"/>
        </w:rPr>
        <w:t>: 50 KM</w:t>
      </w:r>
    </w:p>
    <w:p w14:paraId="3E6D7ED4">
      <w:pPr>
        <w:rPr>
          <w:lang w:val="en-US" w:eastAsia="zh-CN"/>
        </w:rPr>
      </w:pPr>
    </w:p>
    <w:p w14:paraId="5409ACF6">
      <w:pPr>
        <w:spacing w:before="120" w:after="120"/>
        <w:jc w:val="both"/>
        <w:rPr>
          <w:rFonts w:hint="default" w:ascii="Times New Roman" w:hAnsi="Times New Roman" w:eastAsia="宋体" w:cs="Times New Roman"/>
          <w:b/>
          <w:bCs/>
          <w:kern w:val="0"/>
          <w:sz w:val="22"/>
          <w:szCs w:val="22"/>
          <w:lang w:val="en-US" w:eastAsia="zh-CN"/>
        </w:rPr>
      </w:pPr>
      <w:r>
        <w:rPr>
          <w:rFonts w:hint="eastAsia" w:ascii="Times New Roman" w:hAnsi="Times New Roman" w:cs="Times New Roman" w:eastAsiaTheme="minorEastAsia"/>
          <w:b/>
          <w:bCs/>
          <w:sz w:val="22"/>
          <w:szCs w:val="22"/>
          <w:lang w:val="en-US" w:eastAsia="zh-CN"/>
        </w:rPr>
        <w:t xml:space="preserve">Proposal: </w:t>
      </w:r>
      <w:r>
        <w:rPr>
          <w:rFonts w:hint="eastAsia" w:cs="Times New Roman"/>
          <w:b/>
          <w:bCs/>
          <w:sz w:val="22"/>
          <w:szCs w:val="22"/>
          <w:lang w:val="en-US" w:eastAsia="zh-CN"/>
        </w:rPr>
        <w:t xml:space="preserve">Discuss and agree with the proposal for the requirements of the above scenarios.  </w:t>
      </w:r>
    </w:p>
    <w:p w14:paraId="7E377721">
      <w:pPr>
        <w:pStyle w:val="2"/>
        <w:numPr>
          <w:ilvl w:val="0"/>
          <w:numId w:val="4"/>
        </w:numPr>
        <w:snapToGrid w:val="0"/>
        <w:spacing w:before="0" w:after="120" w:line="240" w:lineRule="auto"/>
        <w:rPr>
          <w:rFonts w:hint="eastAsia" w:cs="Arial"/>
          <w:b/>
          <w:bCs/>
          <w:sz w:val="30"/>
          <w:szCs w:val="30"/>
          <w:lang w:val="en-US" w:eastAsia="zh-CN"/>
        </w:rPr>
      </w:pPr>
      <w:r>
        <w:rPr>
          <w:rFonts w:hint="eastAsia" w:cs="Arial"/>
          <w:b/>
          <w:bCs/>
          <w:sz w:val="30"/>
          <w:szCs w:val="30"/>
          <w:lang w:val="en-US" w:eastAsia="zh-CN"/>
        </w:rPr>
        <w:t>Conclusion</w:t>
      </w:r>
    </w:p>
    <w:p w14:paraId="5ED9ADEB">
      <w:pPr>
        <w:spacing w:before="120" w:after="120"/>
        <w:jc w:val="both"/>
        <w:rPr>
          <w:rFonts w:hint="default" w:cs="Times New Roman"/>
          <w:sz w:val="22"/>
          <w:szCs w:val="22"/>
          <w:lang w:val="en-US" w:eastAsia="zh-CN"/>
        </w:rPr>
      </w:pPr>
      <w:r>
        <w:rPr>
          <w:rFonts w:hint="eastAsia" w:cs="Times New Roman"/>
          <w:sz w:val="22"/>
          <w:szCs w:val="22"/>
          <w:lang w:val="en-US" w:eastAsia="zh-CN"/>
        </w:rPr>
        <w:t>The observations and proposal of this contribution are as the following.</w:t>
      </w:r>
    </w:p>
    <w:p w14:paraId="2EDD5D31">
      <w:pPr>
        <w:spacing w:before="120" w:after="120"/>
        <w:jc w:val="both"/>
        <w:rPr>
          <w:rFonts w:hint="default" w:ascii="Times New Roman" w:hAnsi="Times New Roman" w:eastAsia="宋体" w:cs="Times New Roman"/>
          <w:b/>
          <w:bCs/>
          <w:kern w:val="0"/>
          <w:sz w:val="22"/>
          <w:szCs w:val="22"/>
          <w:lang w:val="en-US" w:eastAsia="zh-CN"/>
        </w:rPr>
      </w:pPr>
      <w:r>
        <w:rPr>
          <w:rFonts w:hint="eastAsia" w:ascii="Times New Roman" w:hAnsi="Times New Roman" w:cs="Times New Roman" w:eastAsiaTheme="minorEastAsia"/>
          <w:b/>
          <w:bCs/>
          <w:sz w:val="22"/>
          <w:szCs w:val="22"/>
          <w:lang w:val="en-US" w:eastAsia="zh-CN"/>
        </w:rPr>
        <w:t xml:space="preserve">Proposal: </w:t>
      </w:r>
      <w:r>
        <w:rPr>
          <w:rFonts w:hint="eastAsia" w:cs="Times New Roman"/>
          <w:b/>
          <w:bCs/>
          <w:sz w:val="22"/>
          <w:szCs w:val="22"/>
          <w:lang w:val="en-US" w:eastAsia="zh-CN"/>
        </w:rPr>
        <w:t xml:space="preserve">Discuss and agree with the proposal for the requirements of the above scenarios.  </w:t>
      </w:r>
    </w:p>
    <w:p w14:paraId="721B633A">
      <w:pPr>
        <w:pStyle w:val="2"/>
        <w:numPr>
          <w:ilvl w:val="0"/>
          <w:numId w:val="4"/>
        </w:numPr>
        <w:snapToGrid w:val="0"/>
        <w:spacing w:before="0" w:after="120" w:line="240" w:lineRule="auto"/>
        <w:rPr>
          <w:rFonts w:hint="eastAsia" w:cs="Arial"/>
          <w:b/>
          <w:bCs/>
          <w:sz w:val="30"/>
          <w:szCs w:val="30"/>
          <w:lang w:val="en-US" w:eastAsia="zh-CN"/>
        </w:rPr>
      </w:pPr>
      <w:r>
        <w:rPr>
          <w:rFonts w:hint="eastAsia" w:cs="Arial"/>
          <w:b/>
          <w:bCs/>
          <w:sz w:val="30"/>
          <w:szCs w:val="30"/>
          <w:lang w:val="en-US" w:eastAsia="zh-CN"/>
        </w:rPr>
        <w:t>References</w:t>
      </w:r>
    </w:p>
    <w:p w14:paraId="0964F876">
      <w:pPr>
        <w:pStyle w:val="71"/>
        <w:widowControl w:val="0"/>
        <w:numPr>
          <w:ilvl w:val="0"/>
          <w:numId w:val="6"/>
        </w:numPr>
        <w:autoSpaceDE w:val="0"/>
        <w:autoSpaceDN w:val="0"/>
        <w:adjustRightInd w:val="0"/>
        <w:spacing w:after="0" w:line="360" w:lineRule="auto"/>
        <w:contextualSpacing w:val="0"/>
        <w:rPr>
          <w:lang w:eastAsia="zh-CN"/>
        </w:rPr>
      </w:pPr>
      <w:r>
        <w:rPr>
          <w:rFonts w:hint="default"/>
          <w:lang w:val="en-US" w:eastAsia="zh-CN"/>
        </w:rPr>
        <w:t xml:space="preserve">RP-250810, Revised SID: Study on 6G </w:t>
      </w:r>
      <w:r>
        <w:rPr>
          <w:rFonts w:hint="eastAsia"/>
          <w:lang w:val="en-US" w:eastAsia="zh-CN"/>
        </w:rPr>
        <w:t>s</w:t>
      </w:r>
      <w:r>
        <w:rPr>
          <w:rFonts w:hint="default"/>
          <w:lang w:val="en-US" w:eastAsia="zh-CN"/>
        </w:rPr>
        <w:t>cenarios and requirements, CMCC, Verizon, NTT DOCOMO, Inc., Deutsche Telecom</w:t>
      </w:r>
    </w:p>
    <w:p w14:paraId="5EFC27C7">
      <w:pPr>
        <w:pStyle w:val="71"/>
        <w:widowControl w:val="0"/>
        <w:numPr>
          <w:ilvl w:val="0"/>
          <w:numId w:val="6"/>
        </w:numPr>
        <w:autoSpaceDE w:val="0"/>
        <w:autoSpaceDN w:val="0"/>
        <w:adjustRightInd w:val="0"/>
        <w:spacing w:after="0" w:line="360" w:lineRule="auto"/>
        <w:contextualSpacing w:val="0"/>
        <w:rPr>
          <w:lang w:eastAsia="zh-CN"/>
        </w:rPr>
      </w:pPr>
      <w:r>
        <w:rPr>
          <w:rFonts w:hint="eastAsia"/>
          <w:lang w:val="en-US" w:eastAsia="zh-CN"/>
        </w:rPr>
        <w:t>TR 38.914 V0.1.0 Study on 6G Scenarios and requirements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lvlText w:val="%1."/>
      <w:lvlJc w:val="left"/>
      <w:pPr>
        <w:tabs>
          <w:tab w:val="left" w:pos="0"/>
        </w:tabs>
        <w:ind w:left="425" w:hanging="425"/>
      </w:p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EDDC671"/>
    <w:multiLevelType w:val="singleLevel"/>
    <w:tmpl w:val="3EDDC671"/>
    <w:lvl w:ilvl="0" w:tentative="0">
      <w:start w:val="1"/>
      <w:numFmt w:val="bullet"/>
      <w:lvlText w:val=""/>
      <w:lvlJc w:val="left"/>
      <w:pPr>
        <w:tabs>
          <w:tab w:val="left" w:pos="420"/>
        </w:tabs>
        <w:ind w:left="840" w:hanging="420"/>
      </w:pPr>
      <w:rPr>
        <w:rFonts w:hint="default" w:ascii="Wingdings" w:hAnsi="Wingdings"/>
      </w:rPr>
    </w:lvl>
  </w:abstractNum>
  <w:abstractNum w:abstractNumId="3">
    <w:nsid w:val="4EE279BF"/>
    <w:multiLevelType w:val="multilevel"/>
    <w:tmpl w:val="4EE279BF"/>
    <w:lvl w:ilvl="0" w:tentative="0">
      <w:start w:val="1"/>
      <w:numFmt w:val="bullet"/>
      <w:pStyle w:val="89"/>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21F44A7"/>
    <w:multiLevelType w:val="multilevel"/>
    <w:tmpl w:val="521F44A7"/>
    <w:lvl w:ilvl="0" w:tentative="0">
      <w:start w:val="1"/>
      <w:numFmt w:val="bullet"/>
      <w:pStyle w:val="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82"/>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001181"/>
    <w:rsid w:val="01417008"/>
    <w:rsid w:val="02DB5880"/>
    <w:rsid w:val="03425F66"/>
    <w:rsid w:val="04462169"/>
    <w:rsid w:val="04C95396"/>
    <w:rsid w:val="059D0A04"/>
    <w:rsid w:val="06451DC1"/>
    <w:rsid w:val="073850AB"/>
    <w:rsid w:val="079072D0"/>
    <w:rsid w:val="08126FAF"/>
    <w:rsid w:val="083F3E39"/>
    <w:rsid w:val="08B72D4B"/>
    <w:rsid w:val="0921460E"/>
    <w:rsid w:val="094A2224"/>
    <w:rsid w:val="095A2AB2"/>
    <w:rsid w:val="09E35FBD"/>
    <w:rsid w:val="09F80663"/>
    <w:rsid w:val="0AA048AC"/>
    <w:rsid w:val="0AE9682A"/>
    <w:rsid w:val="0AF94C1A"/>
    <w:rsid w:val="0B667A29"/>
    <w:rsid w:val="0B933B98"/>
    <w:rsid w:val="0BDB7148"/>
    <w:rsid w:val="0C672BD3"/>
    <w:rsid w:val="0CD26045"/>
    <w:rsid w:val="0E724F12"/>
    <w:rsid w:val="0F461BDD"/>
    <w:rsid w:val="0F4A2AF6"/>
    <w:rsid w:val="0F545BF0"/>
    <w:rsid w:val="0FBB2283"/>
    <w:rsid w:val="0FD61908"/>
    <w:rsid w:val="118229E2"/>
    <w:rsid w:val="11BA43A4"/>
    <w:rsid w:val="11C24C0D"/>
    <w:rsid w:val="12B8179D"/>
    <w:rsid w:val="12D33B16"/>
    <w:rsid w:val="13FE5591"/>
    <w:rsid w:val="14BE3CFA"/>
    <w:rsid w:val="14D45BDA"/>
    <w:rsid w:val="163B5AC6"/>
    <w:rsid w:val="17C62542"/>
    <w:rsid w:val="18680694"/>
    <w:rsid w:val="19436BAF"/>
    <w:rsid w:val="19DC52EA"/>
    <w:rsid w:val="1A5E5476"/>
    <w:rsid w:val="1A940145"/>
    <w:rsid w:val="1B5F4A6D"/>
    <w:rsid w:val="1B9C202B"/>
    <w:rsid w:val="1CA60B91"/>
    <w:rsid w:val="1CF540E9"/>
    <w:rsid w:val="1CFF51A9"/>
    <w:rsid w:val="1D9D1C14"/>
    <w:rsid w:val="1DEF3CAD"/>
    <w:rsid w:val="1E0E6FDF"/>
    <w:rsid w:val="1E37416A"/>
    <w:rsid w:val="1E4F7D65"/>
    <w:rsid w:val="1E7A730A"/>
    <w:rsid w:val="1F457054"/>
    <w:rsid w:val="1F8B2051"/>
    <w:rsid w:val="1F93589B"/>
    <w:rsid w:val="2044198C"/>
    <w:rsid w:val="206E0E34"/>
    <w:rsid w:val="20762ED5"/>
    <w:rsid w:val="207E4B10"/>
    <w:rsid w:val="20CD4DF2"/>
    <w:rsid w:val="217B2056"/>
    <w:rsid w:val="22CB4428"/>
    <w:rsid w:val="230332E7"/>
    <w:rsid w:val="24BA1A4C"/>
    <w:rsid w:val="254A2AF8"/>
    <w:rsid w:val="2573337B"/>
    <w:rsid w:val="258A1B50"/>
    <w:rsid w:val="26781317"/>
    <w:rsid w:val="26E825C8"/>
    <w:rsid w:val="27B91DCD"/>
    <w:rsid w:val="27DA1B70"/>
    <w:rsid w:val="29B22406"/>
    <w:rsid w:val="2A8932B0"/>
    <w:rsid w:val="2AC56CA8"/>
    <w:rsid w:val="2B6D7ACB"/>
    <w:rsid w:val="2C523826"/>
    <w:rsid w:val="2C7E592F"/>
    <w:rsid w:val="2D8B7035"/>
    <w:rsid w:val="2DB568C2"/>
    <w:rsid w:val="2F3F3D6E"/>
    <w:rsid w:val="30E91D51"/>
    <w:rsid w:val="3122543A"/>
    <w:rsid w:val="312D0DEF"/>
    <w:rsid w:val="33511F0D"/>
    <w:rsid w:val="335A38EA"/>
    <w:rsid w:val="33F20E85"/>
    <w:rsid w:val="35AC3967"/>
    <w:rsid w:val="35E368FD"/>
    <w:rsid w:val="3665586F"/>
    <w:rsid w:val="382B160E"/>
    <w:rsid w:val="384A4C3F"/>
    <w:rsid w:val="38F82D14"/>
    <w:rsid w:val="39C80BDA"/>
    <w:rsid w:val="39FC7F63"/>
    <w:rsid w:val="3B1C15B4"/>
    <w:rsid w:val="3B7522D1"/>
    <w:rsid w:val="3CC94D80"/>
    <w:rsid w:val="3D5F5CEB"/>
    <w:rsid w:val="3E04574F"/>
    <w:rsid w:val="3E902592"/>
    <w:rsid w:val="3EBF38CA"/>
    <w:rsid w:val="3EE25C8F"/>
    <w:rsid w:val="3EFA6A59"/>
    <w:rsid w:val="3F102102"/>
    <w:rsid w:val="40ED17D5"/>
    <w:rsid w:val="41133AB4"/>
    <w:rsid w:val="41990C37"/>
    <w:rsid w:val="41B23B2A"/>
    <w:rsid w:val="42116A20"/>
    <w:rsid w:val="425659E6"/>
    <w:rsid w:val="429B4810"/>
    <w:rsid w:val="44DA4533"/>
    <w:rsid w:val="454B01DC"/>
    <w:rsid w:val="466F7668"/>
    <w:rsid w:val="474358CD"/>
    <w:rsid w:val="47573064"/>
    <w:rsid w:val="48B06F92"/>
    <w:rsid w:val="48F55577"/>
    <w:rsid w:val="49F42EAF"/>
    <w:rsid w:val="4B2F5149"/>
    <w:rsid w:val="4B4177FD"/>
    <w:rsid w:val="4B45283C"/>
    <w:rsid w:val="4C6946B6"/>
    <w:rsid w:val="4C7401D0"/>
    <w:rsid w:val="4D0549EA"/>
    <w:rsid w:val="4D077EEE"/>
    <w:rsid w:val="4DF523A6"/>
    <w:rsid w:val="4E631DD7"/>
    <w:rsid w:val="4EE12FB5"/>
    <w:rsid w:val="4EEB36F7"/>
    <w:rsid w:val="4FAE5593"/>
    <w:rsid w:val="506A7F16"/>
    <w:rsid w:val="50791A93"/>
    <w:rsid w:val="519B5AC3"/>
    <w:rsid w:val="51C61026"/>
    <w:rsid w:val="520E6AD8"/>
    <w:rsid w:val="5274622A"/>
    <w:rsid w:val="53063320"/>
    <w:rsid w:val="535B7AFB"/>
    <w:rsid w:val="53954235"/>
    <w:rsid w:val="545D0C30"/>
    <w:rsid w:val="55A80497"/>
    <w:rsid w:val="573F71C2"/>
    <w:rsid w:val="57F24B59"/>
    <w:rsid w:val="5A713592"/>
    <w:rsid w:val="5AD325FC"/>
    <w:rsid w:val="5C9B2EC8"/>
    <w:rsid w:val="5CBF7B5D"/>
    <w:rsid w:val="5CC52489"/>
    <w:rsid w:val="5DA30A1C"/>
    <w:rsid w:val="5DA36C6E"/>
    <w:rsid w:val="5DEB4069"/>
    <w:rsid w:val="5DF47CB1"/>
    <w:rsid w:val="5FD92698"/>
    <w:rsid w:val="607F29C9"/>
    <w:rsid w:val="614A0049"/>
    <w:rsid w:val="61CB1159"/>
    <w:rsid w:val="6253185F"/>
    <w:rsid w:val="633140F4"/>
    <w:rsid w:val="63F238AE"/>
    <w:rsid w:val="640D40B4"/>
    <w:rsid w:val="642B6952"/>
    <w:rsid w:val="648E266A"/>
    <w:rsid w:val="649B678A"/>
    <w:rsid w:val="64A369DA"/>
    <w:rsid w:val="64C322D9"/>
    <w:rsid w:val="67427C7D"/>
    <w:rsid w:val="6987376B"/>
    <w:rsid w:val="6BEC00A0"/>
    <w:rsid w:val="6D1F4A0B"/>
    <w:rsid w:val="6DD36545"/>
    <w:rsid w:val="6E4377B3"/>
    <w:rsid w:val="6E8B01B0"/>
    <w:rsid w:val="6F686D97"/>
    <w:rsid w:val="707B5B04"/>
    <w:rsid w:val="71657AF4"/>
    <w:rsid w:val="7232223C"/>
    <w:rsid w:val="72394C9A"/>
    <w:rsid w:val="73E61DBB"/>
    <w:rsid w:val="740622E5"/>
    <w:rsid w:val="74144EAD"/>
    <w:rsid w:val="742B5F4A"/>
    <w:rsid w:val="77071BC4"/>
    <w:rsid w:val="77097545"/>
    <w:rsid w:val="772A053C"/>
    <w:rsid w:val="77585FE5"/>
    <w:rsid w:val="77C656C3"/>
    <w:rsid w:val="77F178AE"/>
    <w:rsid w:val="7833619E"/>
    <w:rsid w:val="785C0605"/>
    <w:rsid w:val="78742EF1"/>
    <w:rsid w:val="78FD530C"/>
    <w:rsid w:val="7901130B"/>
    <w:rsid w:val="7905736E"/>
    <w:rsid w:val="790836EE"/>
    <w:rsid w:val="791252B1"/>
    <w:rsid w:val="7A5614FA"/>
    <w:rsid w:val="7AE30252"/>
    <w:rsid w:val="7B262FC5"/>
    <w:rsid w:val="7B617385"/>
    <w:rsid w:val="7C8D5A29"/>
    <w:rsid w:val="7D7C001B"/>
    <w:rsid w:val="7DA237BE"/>
    <w:rsid w:val="7E154BC6"/>
    <w:rsid w:val="7E594891"/>
    <w:rsid w:val="7E5D1D5E"/>
    <w:rsid w:val="7F9F281C"/>
    <w:rsid w:val="7FA855FD"/>
    <w:rsid w:val="AFA7C190"/>
    <w:rsid w:val="E7196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6"/>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2"/>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7"/>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Hyperlink"/>
    <w:qFormat/>
    <w:uiPriority w:val="0"/>
    <w:rPr>
      <w:color w:val="0000FF"/>
      <w:u w:val="single"/>
    </w:rPr>
  </w:style>
  <w:style w:type="character" w:styleId="33">
    <w:name w:val="annotation reference"/>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页眉 字符"/>
    <w:link w:val="24"/>
    <w:qFormat/>
    <w:uiPriority w:val="0"/>
    <w:rPr>
      <w:rFonts w:ascii="Arial" w:hAnsi="Arial"/>
      <w:b/>
      <w:sz w:val="18"/>
      <w:lang w:val="en-GB" w:eastAsia="ja-JP" w:bidi="ar-SA"/>
    </w:rPr>
  </w:style>
  <w:style w:type="paragraph" w:customStyle="1" w:styleId="70">
    <w:name w:val="CR Cover Page"/>
    <w:link w:val="75"/>
    <w:qFormat/>
    <w:uiPriority w:val="0"/>
    <w:pPr>
      <w:spacing w:after="120"/>
    </w:pPr>
    <w:rPr>
      <w:rFonts w:ascii="Arial" w:hAnsi="Arial" w:eastAsia="MS Mincho" w:cs="Times New Roman"/>
      <w:lang w:val="en-GB" w:eastAsia="en-US" w:bidi="ar-SA"/>
    </w:rPr>
  </w:style>
  <w:style w:type="paragraph" w:styleId="71">
    <w:name w:val="List Paragraph"/>
    <w:basedOn w:val="1"/>
    <w:link w:val="77"/>
    <w:qFormat/>
    <w:uiPriority w:val="99"/>
    <w:pPr>
      <w:ind w:left="720"/>
      <w:contextualSpacing/>
    </w:pPr>
  </w:style>
  <w:style w:type="character" w:customStyle="1" w:styleId="72">
    <w:name w:val="批注框文本 字符"/>
    <w:link w:val="22"/>
    <w:semiHidden/>
    <w:qFormat/>
    <w:uiPriority w:val="0"/>
    <w:rPr>
      <w:rFonts w:ascii="Segoe UI" w:hAnsi="Segoe UI" w:cs="Segoe UI"/>
      <w:sz w:val="18"/>
      <w:szCs w:val="18"/>
      <w:lang w:eastAsia="en-US"/>
    </w:rPr>
  </w:style>
  <w:style w:type="paragraph" w:customStyle="1" w:styleId="73">
    <w:name w:val="main text"/>
    <w:basedOn w:val="1"/>
    <w:link w:val="74"/>
    <w:qFormat/>
    <w:uiPriority w:val="0"/>
    <w:pPr>
      <w:spacing w:before="60" w:after="60" w:line="288" w:lineRule="auto"/>
      <w:ind w:firstLine="200" w:firstLineChars="200"/>
      <w:jc w:val="both"/>
    </w:pPr>
    <w:rPr>
      <w:rFonts w:eastAsia="Malgun Gothic" w:cs="Batang"/>
      <w:lang w:eastAsia="ko-KR"/>
    </w:rPr>
  </w:style>
  <w:style w:type="character" w:customStyle="1" w:styleId="74">
    <w:name w:val="main text Char"/>
    <w:link w:val="73"/>
    <w:qFormat/>
    <w:uiPriority w:val="0"/>
    <w:rPr>
      <w:rFonts w:eastAsia="Malgun Gothic" w:cs="Batang"/>
      <w:lang w:val="en-GB" w:eastAsia="ko-KR"/>
    </w:rPr>
  </w:style>
  <w:style w:type="character" w:customStyle="1" w:styleId="75">
    <w:name w:val="CR Cover Page Zchn"/>
    <w:link w:val="70"/>
    <w:qFormat/>
    <w:uiPriority w:val="0"/>
    <w:rPr>
      <w:rFonts w:ascii="Arial" w:hAnsi="Arial" w:eastAsia="MS Mincho"/>
      <w:lang w:val="en-GB"/>
    </w:rPr>
  </w:style>
  <w:style w:type="paragraph" w:customStyle="1" w:styleId="76">
    <w:name w:val="DocInfo"/>
    <w:basedOn w:val="1"/>
    <w:qFormat/>
    <w:uiPriority w:val="0"/>
    <w:pPr>
      <w:tabs>
        <w:tab w:val="left" w:pos="2160"/>
      </w:tabs>
      <w:spacing w:before="120" w:after="120"/>
    </w:pPr>
    <w:rPr>
      <w:rFonts w:eastAsia="宋体"/>
      <w:sz w:val="28"/>
      <w:szCs w:val="28"/>
    </w:rPr>
  </w:style>
  <w:style w:type="character" w:customStyle="1" w:styleId="77">
    <w:name w:val="列出段落 字符"/>
    <w:link w:val="71"/>
    <w:qFormat/>
    <w:locked/>
    <w:uiPriority w:val="99"/>
    <w:rPr>
      <w:lang w:val="en-GB"/>
    </w:rPr>
  </w:style>
  <w:style w:type="paragraph" w:customStyle="1" w:styleId="78">
    <w:name w:val="Doc-title"/>
    <w:basedOn w:val="1"/>
    <w:next w:val="79"/>
    <w:link w:val="81"/>
    <w:qFormat/>
    <w:uiPriority w:val="0"/>
    <w:pPr>
      <w:spacing w:before="60" w:after="0"/>
      <w:ind w:left="1259" w:hanging="1259"/>
    </w:pPr>
    <w:rPr>
      <w:rFonts w:ascii="Arial" w:hAnsi="Arial" w:eastAsia="MS Mincho"/>
      <w:szCs w:val="24"/>
      <w:lang w:eastAsia="en-GB"/>
    </w:rPr>
  </w:style>
  <w:style w:type="paragraph" w:customStyle="1" w:styleId="79">
    <w:name w:val="Doc-text2"/>
    <w:basedOn w:val="1"/>
    <w:link w:val="80"/>
    <w:qFormat/>
    <w:uiPriority w:val="0"/>
    <w:pPr>
      <w:tabs>
        <w:tab w:val="left" w:pos="1622"/>
      </w:tabs>
      <w:spacing w:after="0"/>
      <w:ind w:left="1622" w:hanging="363"/>
    </w:pPr>
    <w:rPr>
      <w:rFonts w:ascii="Arial" w:hAnsi="Arial" w:eastAsia="MS Mincho"/>
      <w:szCs w:val="24"/>
      <w:lang w:eastAsia="en-GB"/>
    </w:rPr>
  </w:style>
  <w:style w:type="character" w:customStyle="1" w:styleId="80">
    <w:name w:val="Doc-text2 Char"/>
    <w:link w:val="79"/>
    <w:qFormat/>
    <w:uiPriority w:val="0"/>
    <w:rPr>
      <w:rFonts w:ascii="Arial" w:hAnsi="Arial" w:eastAsia="MS Mincho"/>
      <w:szCs w:val="24"/>
      <w:lang w:val="en-GB" w:eastAsia="en-GB"/>
    </w:rPr>
  </w:style>
  <w:style w:type="character" w:customStyle="1" w:styleId="81">
    <w:name w:val="Doc-title Char"/>
    <w:link w:val="78"/>
    <w:qFormat/>
    <w:uiPriority w:val="0"/>
    <w:rPr>
      <w:rFonts w:ascii="Arial" w:hAnsi="Arial" w:eastAsia="MS Mincho"/>
      <w:szCs w:val="24"/>
      <w:lang w:val="en-GB" w:eastAsia="en-GB"/>
    </w:rPr>
  </w:style>
  <w:style w:type="paragraph" w:customStyle="1" w:styleId="82">
    <w:name w:val="Agreement"/>
    <w:basedOn w:val="1"/>
    <w:next w:val="79"/>
    <w:qFormat/>
    <w:uiPriority w:val="0"/>
    <w:pPr>
      <w:numPr>
        <w:ilvl w:val="0"/>
        <w:numId w:val="1"/>
      </w:numPr>
      <w:spacing w:before="60" w:after="0"/>
    </w:pPr>
    <w:rPr>
      <w:rFonts w:ascii="Arial" w:hAnsi="Arial" w:eastAsia="MS Mincho"/>
      <w:b/>
      <w:szCs w:val="24"/>
      <w:lang w:eastAsia="en-GB"/>
    </w:rPr>
  </w:style>
  <w:style w:type="paragraph" w:customStyle="1" w:styleId="83">
    <w:name w:val="EmailDiscussion"/>
    <w:basedOn w:val="1"/>
    <w:next w:val="84"/>
    <w:link w:val="85"/>
    <w:qFormat/>
    <w:uiPriority w:val="0"/>
    <w:pPr>
      <w:numPr>
        <w:ilvl w:val="0"/>
        <w:numId w:val="2"/>
      </w:numPr>
      <w:spacing w:before="40" w:after="0"/>
    </w:pPr>
    <w:rPr>
      <w:rFonts w:ascii="Arial" w:hAnsi="Arial" w:eastAsia="MS Mincho"/>
      <w:b/>
      <w:szCs w:val="24"/>
      <w:lang w:eastAsia="en-GB"/>
    </w:rPr>
  </w:style>
  <w:style w:type="paragraph" w:customStyle="1" w:styleId="84">
    <w:name w:val="EmailDiscussion2"/>
    <w:basedOn w:val="79"/>
    <w:qFormat/>
    <w:uiPriority w:val="0"/>
  </w:style>
  <w:style w:type="character" w:customStyle="1" w:styleId="85">
    <w:name w:val="EmailDiscussion Char"/>
    <w:link w:val="83"/>
    <w:qFormat/>
    <w:uiPriority w:val="0"/>
    <w:rPr>
      <w:rFonts w:ascii="Arial" w:hAnsi="Arial" w:eastAsia="MS Mincho"/>
      <w:b/>
      <w:szCs w:val="24"/>
      <w:lang w:val="en-GB" w:eastAsia="en-GB"/>
    </w:rPr>
  </w:style>
  <w:style w:type="character" w:customStyle="1" w:styleId="86">
    <w:name w:val="批注文字 字符"/>
    <w:basedOn w:val="30"/>
    <w:link w:val="19"/>
    <w:qFormat/>
    <w:uiPriority w:val="0"/>
    <w:rPr>
      <w:lang w:val="en-GB" w:eastAsia="en-US"/>
    </w:rPr>
  </w:style>
  <w:style w:type="character" w:customStyle="1" w:styleId="87">
    <w:name w:val="批注主题 字符"/>
    <w:basedOn w:val="86"/>
    <w:link w:val="27"/>
    <w:semiHidden/>
    <w:qFormat/>
    <w:uiPriority w:val="0"/>
    <w:rPr>
      <w:b/>
      <w:bCs/>
      <w:lang w:val="en-GB" w:eastAsia="en-US"/>
    </w:rPr>
  </w:style>
  <w:style w:type="paragraph" w:customStyle="1" w:styleId="88">
    <w:name w:val="3GPP_Header"/>
    <w:basedOn w:val="1"/>
    <w:qFormat/>
    <w:uiPriority w:val="0"/>
    <w:pPr>
      <w:tabs>
        <w:tab w:val="left" w:pos="1701"/>
        <w:tab w:val="right" w:pos="9639"/>
      </w:tabs>
      <w:spacing w:after="240"/>
    </w:pPr>
    <w:rPr>
      <w:b/>
      <w:sz w:val="24"/>
    </w:rPr>
  </w:style>
  <w:style w:type="paragraph" w:customStyle="1" w:styleId="89">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1">
    <w:name w:val="0 Main text"/>
    <w:basedOn w:val="1"/>
    <w:qFormat/>
    <w:uiPriority w:val="0"/>
    <w:pPr>
      <w:overflowPunct/>
      <w:autoSpaceDE/>
      <w:autoSpaceDN/>
      <w:adjustRightInd/>
      <w:spacing w:after="100" w:afterAutospacing="1" w:line="288" w:lineRule="auto"/>
      <w:ind w:firstLine="360"/>
      <w:jc w:val="both"/>
      <w:textAlignment w:val="auto"/>
    </w:pPr>
    <w:rPr>
      <w:rFonts w:cs="Batang"/>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yjyunnicom\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0FFF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tyleName="APA" SelectedStyle="\APASixthEditionOfficeOnline.xsl" Version="6"/>
</file>

<file path=customXml/item3.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C969A-B179-44C9-9E61-F8CF0A81168B}">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2</Pages>
  <Words>428</Words>
  <Characters>2537</Characters>
  <Lines>95</Lines>
  <Paragraphs>26</Paragraphs>
  <TotalTime>9</TotalTime>
  <ScaleCrop>false</ScaleCrop>
  <LinksUpToDate>false</LinksUpToDate>
  <CharactersWithSpaces>2968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2022-08-05T21:40:00Z</dcterms:created>
  <dc:creator>Nokia</dc:creator>
  <cp:lastModifiedBy>Gen CAO</cp:lastModifiedBy>
  <dcterms:modified xsi:type="dcterms:W3CDTF">2025-09-03T13:52:53Z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2052-12.1.0.22529</vt:lpwstr>
  </property>
  <property fmtid="{D5CDD505-2E9C-101B-9397-08002B2CF9AE}" pid="9" name="ICV">
    <vt:lpwstr>3D2290BB8DBB4CC69CF7C09FD0333769_13</vt:lpwstr>
  </property>
  <property fmtid="{D5CDD505-2E9C-101B-9397-08002B2CF9AE}" pid="10" name="KSOTemplateDocerSaveRecord">
    <vt:lpwstr>eyJoZGlkIjoiZDE3NTEyYzUyZWFmNjJhYzE2ODgzNzAyMTJlZWJiNTUiLCJ1c2VySWQiOiIzODg2NDI5NzAifQ==</vt:lpwstr>
  </property>
</Properties>
</file>