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FC7F6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13910">
        <w:rPr>
          <w:b/>
          <w:noProof/>
          <w:sz w:val="24"/>
        </w:rPr>
        <w:t xml:space="preserve"> 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13910">
        <w:rPr>
          <w:b/>
          <w:noProof/>
          <w:sz w:val="24"/>
        </w:rPr>
        <w:t>165</w:t>
      </w:r>
      <w:r>
        <w:rPr>
          <w:b/>
          <w:i/>
          <w:noProof/>
          <w:sz w:val="28"/>
        </w:rPr>
        <w:tab/>
      </w:r>
      <w:r w:rsidR="00413910">
        <w:rPr>
          <w:b/>
          <w:i/>
          <w:noProof/>
          <w:sz w:val="28"/>
        </w:rPr>
        <w:t>S5-26</w:t>
      </w:r>
      <w:r w:rsidR="00D52FC2">
        <w:rPr>
          <w:b/>
          <w:i/>
          <w:noProof/>
          <w:sz w:val="28"/>
        </w:rPr>
        <w:t>0231</w:t>
      </w:r>
      <w:ins w:id="0" w:author="Huawei-20260210" w:date="2026-02-11T17:50:00Z">
        <w:r w:rsidR="00164E60">
          <w:rPr>
            <w:b/>
            <w:i/>
            <w:noProof/>
            <w:sz w:val="28"/>
          </w:rPr>
          <w:t>rev1</w:t>
        </w:r>
      </w:ins>
    </w:p>
    <w:p w14:paraId="7CB45193" w14:textId="05D361CD" w:rsidR="001E41F3" w:rsidRPr="00413910" w:rsidRDefault="00413910" w:rsidP="005E2C44">
      <w:pPr>
        <w:pStyle w:val="CRCoverPage"/>
        <w:outlineLvl w:val="0"/>
        <w:rPr>
          <w:b/>
          <w:bCs/>
          <w:noProof/>
          <w:sz w:val="24"/>
        </w:rPr>
      </w:pPr>
      <w:r w:rsidRPr="00413910">
        <w:rPr>
          <w:b/>
          <w:bCs/>
          <w:sz w:val="24"/>
        </w:rPr>
        <w:t>Goa, India, 9-13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72CCEA" w:rsidR="001E41F3" w:rsidRPr="00410371" w:rsidRDefault="000834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9FCC3E" w:rsidR="001E41F3" w:rsidRPr="00410371" w:rsidRDefault="00D52FC2" w:rsidP="00D52FC2">
            <w:pPr>
              <w:pStyle w:val="CRCoverPage"/>
              <w:spacing w:after="0"/>
              <w:ind w:firstLineChars="50" w:firstLine="141"/>
              <w:rPr>
                <w:noProof/>
              </w:rPr>
            </w:pPr>
            <w:r w:rsidRPr="00D52FC2">
              <w:rPr>
                <w:b/>
                <w:noProof/>
                <w:sz w:val="28"/>
              </w:rPr>
              <w:t>0618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CF62C6" w:rsidR="001E41F3" w:rsidRPr="00410371" w:rsidRDefault="000834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20260210" w:date="2026-02-10T23:20:00Z">
              <w:r w:rsidDel="00F46A61">
                <w:rPr>
                  <w:b/>
                  <w:noProof/>
                  <w:sz w:val="28"/>
                </w:rPr>
                <w:delText>-</w:delText>
              </w:r>
            </w:del>
            <w:ins w:id="2" w:author="Huawei-20260210" w:date="2026-02-10T23:20:00Z">
              <w:r w:rsidR="00F46A6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889A0C" w:rsidR="001E41F3" w:rsidRPr="00410371" w:rsidRDefault="00FB56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</w:t>
            </w:r>
            <w:r w:rsidR="00083476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="0008347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3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3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0BEA02" w:rsidR="00F25D98" w:rsidRDefault="00D91D4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F43613" w:rsidR="001E41F3" w:rsidRDefault="00D91D43">
            <w:pPr>
              <w:pStyle w:val="CRCoverPage"/>
              <w:spacing w:after="0"/>
              <w:ind w:left="100"/>
              <w:rPr>
                <w:noProof/>
              </w:rPr>
            </w:pPr>
            <w:r w:rsidRPr="005E31F6">
              <w:rPr>
                <w:noProof/>
              </w:rPr>
              <w:t>Rel-</w:t>
            </w:r>
            <w:r w:rsidR="00FB56B2">
              <w:rPr>
                <w:noProof/>
              </w:rPr>
              <w:t>19</w:t>
            </w:r>
            <w:r w:rsidRPr="005E31F6">
              <w:rPr>
                <w:noProof/>
              </w:rPr>
              <w:t xml:space="preserve"> CR 32.255 </w:t>
            </w:r>
            <w:r w:rsidRPr="009D2F01">
              <w:rPr>
                <w:noProof/>
              </w:rPr>
              <w:t>Correc</w:t>
            </w:r>
            <w:r>
              <w:rPr>
                <w:noProof/>
              </w:rPr>
              <w:t xml:space="preserve">t some descriptions </w:t>
            </w:r>
            <w:r w:rsidRPr="009D2F01">
              <w:rPr>
                <w:noProof/>
              </w:rPr>
              <w:t>on QoS flow Based Charging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D94993" w:rsidR="001E41F3" w:rsidRDefault="00911D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49C527" w:rsidR="001E41F3" w:rsidRDefault="00916AC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152041" w:rsidR="001E41F3" w:rsidRDefault="006C08D0">
            <w:pPr>
              <w:pStyle w:val="CRCoverPage"/>
              <w:spacing w:after="0"/>
              <w:ind w:left="100"/>
              <w:rPr>
                <w:noProof/>
              </w:rPr>
            </w:pPr>
            <w:r w:rsidRPr="006C08D0">
              <w:rPr>
                <w:noProof/>
              </w:rPr>
              <w:t>5GS_Ph1-SBI_CH</w:t>
            </w:r>
            <w:r>
              <w:rPr>
                <w:noProof/>
              </w:rPr>
              <w:t xml:space="preserve">, </w:t>
            </w:r>
            <w:r w:rsidR="00916AC0">
              <w:rPr>
                <w:noProof/>
              </w:rPr>
              <w:t>TEI</w:t>
            </w:r>
            <w:r w:rsidR="00F016A0">
              <w:rPr>
                <w:noProof/>
              </w:rP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357A88" w:rsidR="001E41F3" w:rsidRDefault="00916AC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2026-01-30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0F0E304" w:rsidR="001E41F3" w:rsidRDefault="00745C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C98E92" w:rsidR="001E41F3" w:rsidRDefault="00916AC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B56B2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D8D28A" w14:textId="10051830" w:rsidR="0077203A" w:rsidRDefault="0077203A">
            <w:pPr>
              <w:pStyle w:val="CRCoverPage"/>
              <w:spacing w:after="0"/>
              <w:ind w:left="100"/>
              <w:rPr>
                <w:rFonts w:eastAsia="Malgun Gothic"/>
                <w:lang w:bidi="ar-IQ"/>
              </w:rPr>
            </w:pPr>
            <w:r>
              <w:rPr>
                <w:lang w:bidi="ar-IQ"/>
              </w:rPr>
              <w:t xml:space="preserve">The NOTE2 in the </w:t>
            </w:r>
            <w:r w:rsidRPr="00917396">
              <w:rPr>
                <w:rFonts w:eastAsia="Malgun Gothic"/>
                <w:lang w:bidi="ar-IQ"/>
              </w:rPr>
              <w:t>Table 5.2.1.6.1</w:t>
            </w:r>
            <w:r>
              <w:rPr>
                <w:rFonts w:eastAsia="Malgun Gothic"/>
                <w:lang w:bidi="ar-IQ"/>
              </w:rPr>
              <w:t xml:space="preserve"> ‘</w:t>
            </w:r>
            <w:r w:rsidRPr="000B1BC6">
              <w:t>The columns CHF allowed to change category, and CHF allowed enable and disable are only applicable for the PDU session establishment, for other cases they are not applicable</w:t>
            </w:r>
            <w:r>
              <w:rPr>
                <w:rFonts w:eastAsia="Malgun Gothic"/>
                <w:lang w:bidi="ar-IQ"/>
              </w:rPr>
              <w:t xml:space="preserve">’ is conflict with the description in clause </w:t>
            </w:r>
            <w:r w:rsidRPr="00917396">
              <w:rPr>
                <w:rFonts w:eastAsia="Malgun Gothic"/>
                <w:lang w:bidi="ar-IQ"/>
              </w:rPr>
              <w:t>5.2.1.</w:t>
            </w:r>
            <w:r>
              <w:rPr>
                <w:rFonts w:eastAsia="Malgun Gothic"/>
                <w:lang w:bidi="ar-IQ"/>
              </w:rPr>
              <w:t>7 that:</w:t>
            </w:r>
          </w:p>
          <w:p w14:paraId="2957AB97" w14:textId="77777777" w:rsidR="0077203A" w:rsidRPr="0077203A" w:rsidRDefault="0077203A" w:rsidP="0077203A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iCs/>
                <w:lang w:val="en-US"/>
              </w:rPr>
            </w:pPr>
            <w:r w:rsidRPr="0077203A">
              <w:rPr>
                <w:rFonts w:ascii="Times New Roman" w:hAnsi="Times New Roman"/>
                <w:i/>
                <w:iCs/>
                <w:lang w:val="en-US"/>
              </w:rPr>
              <w:t xml:space="preserve">The "Roaming Charging Profile" resulting from the exchange between the VPLMN and HPLMN at PDU session establishment may be changed by the H-CHF under the following conditions: </w:t>
            </w:r>
          </w:p>
          <w:p w14:paraId="235E93B4" w14:textId="77777777" w:rsidR="0077203A" w:rsidRPr="0077203A" w:rsidRDefault="0077203A" w:rsidP="0077203A">
            <w:pPr>
              <w:pStyle w:val="B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en-US"/>
              </w:rPr>
            </w:pPr>
            <w:r w:rsidRPr="0077203A">
              <w:rPr>
                <w:i/>
                <w:iCs/>
                <w:lang w:val="en-US"/>
              </w:rPr>
              <w:t>At each V-SMF change in Home routed scenario, the</w:t>
            </w:r>
            <w:r w:rsidRPr="0077203A">
              <w:rPr>
                <w:i/>
                <w:iCs/>
              </w:rPr>
              <w:t xml:space="preserve"> "Roaming Charging Profile" </w:t>
            </w:r>
            <w:r w:rsidRPr="0077203A">
              <w:rPr>
                <w:i/>
                <w:iCs/>
                <w:lang w:val="en-US"/>
              </w:rPr>
              <w:t>may be renegotiated between the VPLMN and HPLMN.</w:t>
            </w:r>
          </w:p>
          <w:p w14:paraId="4199E216" w14:textId="3490D84E" w:rsidR="0077203A" w:rsidRPr="0077203A" w:rsidRDefault="0077203A" w:rsidP="0077203A">
            <w:pPr>
              <w:pStyle w:val="B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77203A">
              <w:rPr>
                <w:i/>
                <w:iCs/>
              </w:rPr>
              <w:t>During the PDU session lifetime if</w:t>
            </w:r>
            <w:r w:rsidRPr="0077203A">
              <w:rPr>
                <w:i/>
                <w:iCs/>
                <w:lang w:val="en-US"/>
              </w:rPr>
              <w:t xml:space="preserve"> V-SMF includes the Roaming charging profile in the Charging Data Request. T</w:t>
            </w:r>
            <w:r w:rsidRPr="0077203A">
              <w:rPr>
                <w:i/>
                <w:iCs/>
                <w:lang w:val="en-US" w:eastAsia="zh-CN"/>
              </w:rPr>
              <w:t>he updated Roaming Charging profile is valid until the next change.</w:t>
            </w:r>
            <w:r>
              <w:rPr>
                <w:lang w:val="en-US" w:eastAsia="zh-CN"/>
              </w:rPr>
              <w:t xml:space="preserve"> </w:t>
            </w:r>
          </w:p>
          <w:p w14:paraId="02AB4D2A" w14:textId="77777777" w:rsidR="001E41F3" w:rsidRDefault="0077203A">
            <w:pPr>
              <w:pStyle w:val="CRCoverPage"/>
              <w:spacing w:after="0"/>
              <w:ind w:left="100"/>
              <w:rPr>
                <w:rFonts w:eastAsia="Malgun Gothic"/>
                <w:lang w:bidi="ar-IQ"/>
              </w:rPr>
            </w:pPr>
            <w:r>
              <w:rPr>
                <w:lang w:bidi="ar-IQ"/>
              </w:rPr>
              <w:t xml:space="preserve">It described in </w:t>
            </w:r>
            <w:r>
              <w:rPr>
                <w:rFonts w:eastAsia="Malgun Gothic"/>
                <w:lang w:bidi="ar-IQ"/>
              </w:rPr>
              <w:t xml:space="preserve">clause </w:t>
            </w:r>
            <w:r w:rsidRPr="00917396">
              <w:rPr>
                <w:rFonts w:eastAsia="Malgun Gothic"/>
                <w:lang w:bidi="ar-IQ"/>
              </w:rPr>
              <w:t>5.2.1.</w:t>
            </w:r>
            <w:r>
              <w:rPr>
                <w:rFonts w:eastAsia="Malgun Gothic"/>
                <w:lang w:bidi="ar-IQ"/>
              </w:rPr>
              <w:t xml:space="preserve">7 that the </w:t>
            </w:r>
            <w:r w:rsidRPr="0071524F">
              <w:rPr>
                <w:lang w:val="x-none"/>
              </w:rPr>
              <w:t>Roaming Charging Profile</w:t>
            </w:r>
            <w:r>
              <w:rPr>
                <w:lang w:val="x-none"/>
              </w:rPr>
              <w:t xml:space="preserve"> can be changed </w:t>
            </w:r>
            <w:r>
              <w:t xml:space="preserve">during the PDU session lifetime, not only </w:t>
            </w:r>
            <w:r>
              <w:rPr>
                <w:lang w:val="en-US"/>
              </w:rPr>
              <w:t>during the PDU session establishment</w:t>
            </w:r>
            <w:r w:rsidR="00E175DD">
              <w:rPr>
                <w:rFonts w:eastAsia="Malgun Gothic"/>
                <w:lang w:bidi="ar-IQ"/>
              </w:rPr>
              <w:t>.</w:t>
            </w:r>
          </w:p>
          <w:p w14:paraId="259D551B" w14:textId="77777777" w:rsidR="0077203A" w:rsidRDefault="0077203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7B9D4092" w:rsidR="008E536E" w:rsidRDefault="008E53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rPr>
                <w:rFonts w:eastAsia="Malgun Gothic"/>
                <w:lang w:bidi="ar-IQ"/>
              </w:rPr>
              <w:t>t</w:t>
            </w:r>
            <w:r w:rsidRPr="00917396">
              <w:rPr>
                <w:rFonts w:eastAsia="Malgun Gothic"/>
                <w:lang w:bidi="ar-IQ"/>
              </w:rPr>
              <w:t>able</w:t>
            </w:r>
            <w:r>
              <w:rPr>
                <w:rFonts w:eastAsia="Malgun Gothic"/>
                <w:lang w:bidi="ar-IQ"/>
              </w:rPr>
              <w:t xml:space="preserve"> name </w:t>
            </w:r>
            <w:r w:rsidRPr="00F012E1">
              <w:rPr>
                <w:lang w:bidi="ar-IQ"/>
              </w:rPr>
              <w:t>does not match the description before the table</w:t>
            </w:r>
            <w:r>
              <w:rPr>
                <w:lang w:bidi="ar-IQ"/>
              </w:rPr>
              <w:t xml:space="preserve">, the description </w:t>
            </w:r>
            <w:r w:rsidRPr="00F012E1">
              <w:rPr>
                <w:lang w:bidi="ar-IQ"/>
              </w:rPr>
              <w:t>mentions that</w:t>
            </w:r>
            <w:r>
              <w:rPr>
                <w:lang w:bidi="ar-IQ"/>
              </w:rPr>
              <w:t xml:space="preserve"> </w:t>
            </w:r>
            <w:r w:rsidRPr="00917396">
              <w:rPr>
                <w:rFonts w:eastAsia="Malgun Gothic"/>
                <w:lang w:bidi="ar-IQ"/>
              </w:rPr>
              <w:t>Table 5.2.1.6.1 summarizes the set of</w:t>
            </w:r>
            <w:r w:rsidRPr="00F012E1">
              <w:rPr>
                <w:rFonts w:eastAsia="Malgun Gothic"/>
                <w:lang w:bidi="ar-IQ"/>
              </w:rPr>
              <w:t xml:space="preserve"> default trigger conditions</w:t>
            </w:r>
            <w:r>
              <w:rPr>
                <w:rFonts w:eastAsia="Malgun Gothic"/>
                <w:lang w:bidi="ar-IQ"/>
              </w:rPr>
              <w:t>, but the table name is default chargeable events.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0FBA2D" w14:textId="77777777" w:rsidR="001E41F3" w:rsidRPr="0077203A" w:rsidRDefault="0077203A" w:rsidP="0077203A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emove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t xml:space="preserve">nconsistent note in </w:t>
            </w:r>
            <w:r w:rsidRPr="00917396">
              <w:rPr>
                <w:rFonts w:eastAsia="Malgun Gothic"/>
                <w:lang w:bidi="ar-IQ"/>
              </w:rPr>
              <w:t>Table 5.2.1.6.1</w:t>
            </w:r>
            <w:r>
              <w:rPr>
                <w:rFonts w:eastAsia="Malgun Gothic"/>
                <w:lang w:bidi="ar-IQ"/>
              </w:rPr>
              <w:t>.</w:t>
            </w:r>
          </w:p>
          <w:p w14:paraId="31C656EC" w14:textId="5E1ECE40" w:rsidR="0077203A" w:rsidRDefault="008E536E" w:rsidP="0077203A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917396">
              <w:rPr>
                <w:rFonts w:eastAsia="Malgun Gothic"/>
                <w:lang w:bidi="ar-IQ"/>
              </w:rPr>
              <w:t>summariz</w:t>
            </w:r>
            <w:r>
              <w:rPr>
                <w:rFonts w:eastAsia="Malgun Gothic"/>
                <w:lang w:bidi="ar-IQ"/>
              </w:rPr>
              <w:t>e</w:t>
            </w:r>
            <w:r>
              <w:rPr>
                <w:noProof/>
                <w:lang w:eastAsia="zh-CN"/>
              </w:rPr>
              <w:t xml:space="preserve"> description before </w:t>
            </w:r>
            <w:r w:rsidRPr="00917396">
              <w:rPr>
                <w:rFonts w:eastAsia="Malgun Gothic"/>
                <w:lang w:bidi="ar-IQ"/>
              </w:rPr>
              <w:t>Table 5.2.1.6.1</w:t>
            </w:r>
            <w:r>
              <w:rPr>
                <w:rFonts w:eastAsia="Malgun Gothic"/>
                <w:lang w:bidi="ar-IQ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2C7354" w:rsidR="001E41F3" w:rsidRDefault="0077203A">
            <w:pPr>
              <w:pStyle w:val="CRCoverPage"/>
              <w:spacing w:after="0"/>
              <w:ind w:left="100"/>
              <w:rPr>
                <w:noProof/>
              </w:rPr>
            </w:pPr>
            <w:r>
              <w:t>Inconsistent</w:t>
            </w:r>
            <w:r w:rsidRPr="00196DF5">
              <w:t xml:space="preserve"> descriptions </w:t>
            </w:r>
            <w:r>
              <w:t>in the charging specification</w:t>
            </w:r>
            <w:r w:rsidR="008E536E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869D79" w:rsidR="001E41F3" w:rsidRDefault="00FE4D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5.2.1.6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AB856E" w:rsidR="001E41F3" w:rsidRDefault="00FE4D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FDC0AF7" w:rsidR="001E41F3" w:rsidRDefault="00FE4D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4DFC8A" w:rsidR="001E41F3" w:rsidRDefault="00FE4D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09ECD371" w14:textId="77777777" w:rsidR="005E3D3A" w:rsidRPr="005E3D3A" w:rsidRDefault="005E3D3A" w:rsidP="005E3D3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bidi="ar-IQ"/>
        </w:rPr>
      </w:pPr>
      <w:bookmarkStart w:id="4" w:name="_Toc20205484"/>
      <w:bookmarkStart w:id="5" w:name="_Toc27579460"/>
      <w:bookmarkStart w:id="6" w:name="_Toc36045401"/>
      <w:bookmarkStart w:id="7" w:name="_Toc36049281"/>
      <w:bookmarkStart w:id="8" w:name="_Toc36112500"/>
      <w:bookmarkStart w:id="9" w:name="_Toc44664245"/>
      <w:bookmarkStart w:id="10" w:name="_Toc44928702"/>
      <w:bookmarkStart w:id="11" w:name="_Toc44928892"/>
      <w:bookmarkStart w:id="12" w:name="_Toc51859597"/>
      <w:bookmarkStart w:id="13" w:name="_Toc58598752"/>
      <w:bookmarkStart w:id="14" w:name="_Toc210132627"/>
      <w:r w:rsidRPr="005E3D3A">
        <w:rPr>
          <w:rFonts w:ascii="Arial" w:hAnsi="Arial"/>
          <w:sz w:val="24"/>
          <w:lang w:bidi="ar-IQ"/>
        </w:rPr>
        <w:t>5.2.1.6</w:t>
      </w:r>
      <w:r w:rsidRPr="005E3D3A">
        <w:rPr>
          <w:rFonts w:ascii="Arial" w:hAnsi="Arial"/>
          <w:sz w:val="24"/>
          <w:lang w:bidi="ar-IQ"/>
        </w:rPr>
        <w:tab/>
        <w:t xml:space="preserve">QoS </w:t>
      </w:r>
      <w:r w:rsidRPr="005E3D3A">
        <w:rPr>
          <w:rFonts w:ascii="Arial" w:hAnsi="Arial"/>
          <w:sz w:val="24"/>
          <w:lang w:val="en-US" w:bidi="ar-IQ"/>
        </w:rPr>
        <w:t>f</w:t>
      </w:r>
      <w:r w:rsidRPr="005E3D3A">
        <w:rPr>
          <w:rFonts w:ascii="Arial" w:hAnsi="Arial"/>
          <w:sz w:val="24"/>
          <w:lang w:bidi="ar-IQ"/>
        </w:rPr>
        <w:t xml:space="preserve">low </w:t>
      </w:r>
      <w:r w:rsidRPr="005E3D3A">
        <w:rPr>
          <w:rFonts w:ascii="Arial" w:hAnsi="Arial"/>
          <w:sz w:val="24"/>
          <w:lang w:val="en-US" w:bidi="ar-IQ"/>
        </w:rPr>
        <w:t>B</w:t>
      </w:r>
      <w:proofErr w:type="spellStart"/>
      <w:r w:rsidRPr="005E3D3A">
        <w:rPr>
          <w:rFonts w:ascii="Arial" w:hAnsi="Arial"/>
          <w:sz w:val="24"/>
          <w:lang w:bidi="ar-IQ"/>
        </w:rPr>
        <w:t>ased</w:t>
      </w:r>
      <w:proofErr w:type="spellEnd"/>
      <w:r w:rsidRPr="005E3D3A">
        <w:rPr>
          <w:rFonts w:ascii="Arial" w:hAnsi="Arial"/>
          <w:sz w:val="24"/>
          <w:lang w:bidi="ar-IQ"/>
        </w:rPr>
        <w:t xml:space="preserve"> </w:t>
      </w:r>
      <w:r w:rsidRPr="005E3D3A">
        <w:rPr>
          <w:rFonts w:ascii="Arial" w:hAnsi="Arial"/>
          <w:sz w:val="24"/>
          <w:lang w:val="en-US" w:bidi="ar-IQ"/>
        </w:rPr>
        <w:t>C</w:t>
      </w:r>
      <w:proofErr w:type="spellStart"/>
      <w:r w:rsidRPr="005E3D3A">
        <w:rPr>
          <w:rFonts w:ascii="Arial" w:hAnsi="Arial"/>
          <w:sz w:val="24"/>
          <w:lang w:bidi="ar-IQ"/>
        </w:rPr>
        <w:t>harging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End"/>
      <w:r w:rsidRPr="005E3D3A">
        <w:rPr>
          <w:rFonts w:ascii="Arial" w:hAnsi="Arial"/>
          <w:sz w:val="24"/>
          <w:lang w:bidi="ar-IQ"/>
        </w:rPr>
        <w:t xml:space="preserve"> (QBC)</w:t>
      </w:r>
      <w:bookmarkEnd w:id="14"/>
    </w:p>
    <w:p w14:paraId="5D784328" w14:textId="77777777" w:rsidR="005E3D3A" w:rsidRPr="005E3D3A" w:rsidRDefault="005E3D3A" w:rsidP="005E3D3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5E3D3A">
        <w:rPr>
          <w:rFonts w:eastAsia="Malgun Gothic"/>
          <w:lang w:bidi="ar-IQ"/>
        </w:rPr>
        <w:t xml:space="preserve">QoS flow Based </w:t>
      </w:r>
      <w:r w:rsidRPr="005E3D3A">
        <w:rPr>
          <w:rFonts w:eastAsia="Malgun Gothic"/>
        </w:rPr>
        <w:t xml:space="preserve">Charging </w:t>
      </w:r>
      <w:r w:rsidRPr="005E3D3A">
        <w:rPr>
          <w:rFonts w:eastAsia="Malgun Gothic"/>
          <w:color w:val="000000"/>
          <w:lang w:bidi="ar-IQ"/>
        </w:rPr>
        <w:t xml:space="preserve">allows the </w:t>
      </w:r>
      <w:r w:rsidRPr="005E3D3A">
        <w:rPr>
          <w:rFonts w:eastAsia="Malgun Gothic"/>
          <w:lang w:bidi="ar-IQ"/>
        </w:rPr>
        <w:t>SMF</w:t>
      </w:r>
      <w:r w:rsidRPr="005E3D3A">
        <w:rPr>
          <w:rFonts w:eastAsia="Malgun Gothic"/>
          <w:color w:val="000000"/>
          <w:lang w:bidi="ar-IQ"/>
        </w:rPr>
        <w:t xml:space="preserve"> to collect charging information related to data volumes </w:t>
      </w:r>
      <w:r w:rsidRPr="005E3D3A">
        <w:rPr>
          <w:rFonts w:eastAsia="Malgun Gothic"/>
          <w:lang w:bidi="ar-IQ"/>
        </w:rPr>
        <w:t>per PDU session</w:t>
      </w:r>
      <w:r w:rsidRPr="005E3D3A">
        <w:rPr>
          <w:rFonts w:eastAsia="Malgun Gothic"/>
          <w:color w:val="000000"/>
          <w:lang w:bidi="ar-IQ"/>
        </w:rPr>
        <w:t xml:space="preserve">, categorized </w:t>
      </w:r>
      <w:r w:rsidRPr="005E3D3A">
        <w:rPr>
          <w:rFonts w:eastAsia="Malgun Gothic"/>
          <w:lang w:bidi="ar-IQ"/>
        </w:rPr>
        <w:t>per QoS Flow for roaming charging scenarios</w:t>
      </w:r>
      <w:r w:rsidRPr="005E3D3A">
        <w:rPr>
          <w:rFonts w:eastAsia="Malgun Gothic"/>
          <w:color w:val="000000"/>
          <w:lang w:bidi="ar-IQ"/>
        </w:rPr>
        <w:t xml:space="preserve">. </w:t>
      </w:r>
      <w:r w:rsidRPr="005E3D3A">
        <w:rPr>
          <w:rFonts w:eastAsia="等线"/>
          <w:color w:val="000000"/>
          <w:lang w:bidi="ar-IQ"/>
        </w:rPr>
        <w:t xml:space="preserve">Quota management is not applicable for </w:t>
      </w:r>
      <w:proofErr w:type="spellStart"/>
      <w:r w:rsidRPr="005E3D3A">
        <w:rPr>
          <w:rFonts w:eastAsia="等线"/>
          <w:color w:val="000000"/>
          <w:lang w:bidi="ar-IQ"/>
        </w:rPr>
        <w:t>QBC.</w:t>
      </w:r>
      <w:r w:rsidRPr="005E3D3A">
        <w:rPr>
          <w:rFonts w:eastAsia="Malgun Gothic"/>
          <w:lang w:bidi="ar-IQ"/>
        </w:rPr>
        <w:t>The</w:t>
      </w:r>
      <w:proofErr w:type="spellEnd"/>
      <w:r w:rsidRPr="005E3D3A">
        <w:rPr>
          <w:rFonts w:eastAsia="Malgun Gothic"/>
          <w:lang w:bidi="ar-IQ"/>
        </w:rPr>
        <w:t xml:space="preserve"> user can be identified by SUPI. </w:t>
      </w:r>
    </w:p>
    <w:p w14:paraId="69B53CB5" w14:textId="77777777" w:rsidR="005E3D3A" w:rsidRPr="005E3D3A" w:rsidRDefault="005E3D3A" w:rsidP="005E3D3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5E3D3A">
        <w:rPr>
          <w:rFonts w:eastAsia="Malgun Gothic"/>
        </w:rPr>
        <w:t xml:space="preserve">The </w:t>
      </w:r>
      <w:r w:rsidRPr="005E3D3A">
        <w:rPr>
          <w:rFonts w:eastAsia="Malgun Gothic"/>
          <w:lang w:bidi="ar-IQ"/>
        </w:rPr>
        <w:t xml:space="preserve">SMF categorizes the volume within PDU session by QoS Flow identified by QoS Flow Identifier (QFI). </w:t>
      </w:r>
    </w:p>
    <w:p w14:paraId="68E6CA29" w14:textId="77777777" w:rsidR="005E3D3A" w:rsidRPr="005E3D3A" w:rsidRDefault="005E3D3A" w:rsidP="005E3D3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5E3D3A">
        <w:rPr>
          <w:rFonts w:eastAsia="Malgun Gothic"/>
        </w:rPr>
        <w:t xml:space="preserve">The amount of data counted for the </w:t>
      </w:r>
      <w:r w:rsidRPr="005E3D3A">
        <w:rPr>
          <w:rFonts w:eastAsia="Malgun Gothic"/>
          <w:lang w:bidi="ar-IQ"/>
        </w:rPr>
        <w:t>QoS Flow</w:t>
      </w:r>
      <w:r w:rsidRPr="005E3D3A">
        <w:rPr>
          <w:rFonts w:eastAsia="Malgun Gothic"/>
        </w:rPr>
        <w:t xml:space="preserve"> shall be the user plane payload at the UPF.</w:t>
      </w:r>
    </w:p>
    <w:p w14:paraId="78E68200" w14:textId="4F63E85E" w:rsidR="005E3D3A" w:rsidRPr="005E3D3A" w:rsidRDefault="005E3D3A" w:rsidP="005E3D3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5E3D3A">
        <w:rPr>
          <w:rFonts w:eastAsia="Malgun Gothic"/>
          <w:lang w:bidi="ar-IQ"/>
        </w:rPr>
        <w:t xml:space="preserve">Table 5.2.1.6.1 summarizes the set of default </w:t>
      </w:r>
      <w:ins w:id="15" w:author="Huawei-20260129" w:date="2026-01-29T10:02:00Z">
        <w:r w:rsidR="00095C77">
          <w:rPr>
            <w:rFonts w:eastAsia="Malgun Gothic"/>
            <w:lang w:bidi="ar-IQ"/>
          </w:rPr>
          <w:t>c</w:t>
        </w:r>
        <w:r w:rsidR="00095C77" w:rsidRPr="00172127">
          <w:rPr>
            <w:rFonts w:eastAsia="Malgun Gothic"/>
            <w:lang w:bidi="ar-IQ"/>
          </w:rPr>
          <w:t>hargeable events</w:t>
        </w:r>
      </w:ins>
      <w:del w:id="16" w:author="Huawei-20260129" w:date="2026-01-29T10:02:00Z">
        <w:r w:rsidRPr="005E3D3A" w:rsidDel="00095C77">
          <w:rPr>
            <w:rFonts w:eastAsia="Malgun Gothic"/>
            <w:lang w:bidi="ar-IQ"/>
          </w:rPr>
          <w:delText>trigger conditions</w:delText>
        </w:r>
      </w:del>
      <w:r w:rsidRPr="005E3D3A">
        <w:rPr>
          <w:rFonts w:eastAsia="Malgun Gothic"/>
          <w:lang w:bidi="ar-IQ"/>
        </w:rPr>
        <w:t xml:space="preserve"> and their category which shall be supported by the SMF in QBC. For "immediate report" category, the table also provides the corresponding </w:t>
      </w:r>
      <w:r w:rsidRPr="005E3D3A">
        <w:rPr>
          <w:rFonts w:eastAsia="Malgun Gothic"/>
          <w:lang w:eastAsia="zh-CN" w:bidi="ar-IQ"/>
        </w:rPr>
        <w:t>Charging Data</w:t>
      </w:r>
      <w:r w:rsidRPr="005E3D3A">
        <w:rPr>
          <w:rFonts w:eastAsia="Malgun Gothic"/>
          <w:lang w:bidi="ar-IQ"/>
        </w:rPr>
        <w:t xml:space="preserve"> </w:t>
      </w:r>
      <w:r w:rsidRPr="005E3D3A">
        <w:rPr>
          <w:rFonts w:eastAsia="Malgun Gothic"/>
          <w:lang w:eastAsia="zh-CN" w:bidi="ar-IQ"/>
        </w:rPr>
        <w:t>R</w:t>
      </w:r>
      <w:r w:rsidRPr="005E3D3A">
        <w:rPr>
          <w:rFonts w:eastAsia="Malgun Gothic"/>
          <w:lang w:bidi="ar-IQ"/>
        </w:rPr>
        <w:t xml:space="preserve">equest </w:t>
      </w:r>
      <w:r w:rsidRPr="005E3D3A">
        <w:rPr>
          <w:rFonts w:eastAsia="Malgun Gothic"/>
          <w:lang w:eastAsia="zh-CN" w:bidi="ar-IQ"/>
        </w:rPr>
        <w:t>[Initial, Update, Termination]</w:t>
      </w:r>
      <w:r w:rsidRPr="005E3D3A">
        <w:rPr>
          <w:rFonts w:eastAsia="Malgun Gothic"/>
          <w:lang w:bidi="ar-IQ"/>
        </w:rPr>
        <w:t xml:space="preserve"> message sent from SMF towards the CHF.</w:t>
      </w:r>
    </w:p>
    <w:p w14:paraId="3E16248C" w14:textId="77777777" w:rsidR="005E3D3A" w:rsidRPr="005E3D3A" w:rsidRDefault="005E3D3A" w:rsidP="005E3D3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</w:rPr>
      </w:pPr>
      <w:bookmarkStart w:id="17" w:name="_CRTable5_2_1_6_1"/>
      <w:r w:rsidRPr="005E3D3A">
        <w:rPr>
          <w:rFonts w:ascii="Arial" w:eastAsia="Malgun Gothic" w:hAnsi="Arial"/>
          <w:b/>
        </w:rPr>
        <w:lastRenderedPageBreak/>
        <w:t xml:space="preserve">Table </w:t>
      </w:r>
      <w:bookmarkEnd w:id="17"/>
      <w:r w:rsidRPr="005E3D3A">
        <w:rPr>
          <w:rFonts w:ascii="Arial" w:eastAsia="Malgun Gothic" w:hAnsi="Arial"/>
          <w:b/>
        </w:rPr>
        <w:t xml:space="preserve">5.2.1.6.1: Default </w:t>
      </w:r>
      <w:r w:rsidRPr="005E3D3A">
        <w:rPr>
          <w:rFonts w:ascii="Arial" w:eastAsia="Malgun Gothic" w:hAnsi="Arial"/>
          <w:b/>
          <w:lang w:bidi="ar-IQ"/>
        </w:rPr>
        <w:t xml:space="preserve">Chargeable events </w:t>
      </w:r>
      <w:r w:rsidRPr="005E3D3A">
        <w:rPr>
          <w:rFonts w:ascii="Arial" w:eastAsia="Malgun Gothic" w:hAnsi="Arial"/>
          <w:b/>
        </w:rPr>
        <w:t xml:space="preserve">in SMF for QBC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107"/>
        <w:gridCol w:w="1081"/>
        <w:gridCol w:w="1174"/>
        <w:gridCol w:w="1304"/>
        <w:gridCol w:w="3084"/>
      </w:tblGrid>
      <w:tr w:rsidR="005E3D3A" w:rsidRPr="005E3D3A" w14:paraId="732EDAC8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284F41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bookmarkStart w:id="18" w:name="_Hlk520480080"/>
            <w:r w:rsidRPr="005E3D3A">
              <w:rPr>
                <w:rFonts w:ascii="Arial" w:eastAsia="Malgun Gothic" w:hAnsi="Arial"/>
                <w:b/>
                <w:sz w:val="18"/>
                <w:lang w:bidi="ar-IQ"/>
              </w:rPr>
              <w:lastRenderedPageBreak/>
              <w:t>Chargeable event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194D90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b/>
                <w:sz w:val="18"/>
                <w:lang w:bidi="ar-IQ"/>
              </w:rPr>
              <w:t>Trigger level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65747F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b/>
                <w:sz w:val="18"/>
                <w:lang w:bidi="ar-IQ"/>
              </w:rPr>
              <w:t>Default category</w:t>
            </w:r>
          </w:p>
          <w:p w14:paraId="0D6FFDB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65E1A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b/>
                <w:sz w:val="18"/>
                <w:lang w:bidi="ar-IQ"/>
              </w:rPr>
              <w:t xml:space="preserve">CHF allowed to change category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B8E7AA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b/>
                <w:sz w:val="18"/>
                <w:lang w:bidi="ar-IQ"/>
              </w:rPr>
              <w:t>CHF allowed to enable and disable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404B20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b/>
                <w:sz w:val="18"/>
                <w:lang w:bidi="ar-IQ"/>
              </w:rPr>
              <w:t>Message when "immediate reporting" category</w:t>
            </w:r>
          </w:p>
        </w:tc>
      </w:tr>
      <w:tr w:rsidR="005E3D3A" w:rsidRPr="005E3D3A" w14:paraId="7E8446FD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30D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015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PDU session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6B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6C0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16E0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F28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Charging Data Request [Initial]</w:t>
            </w:r>
          </w:p>
        </w:tc>
      </w:tr>
      <w:tr w:rsidR="005E3D3A" w:rsidRPr="005E3D3A" w14:paraId="38314D67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F7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D59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8DC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9E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highlight w:val="yellow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FF2ABB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480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[Update]</w:t>
            </w:r>
          </w:p>
          <w:p w14:paraId="07E0052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3C6AD4CF" w14:textId="77777777" w:rsidTr="00F24246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734BC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b/>
                <w:sz w:val="18"/>
                <w:lang w:bidi="ar-IQ"/>
              </w:rPr>
              <w:t>Change of Charging conditions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EBF3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5D699F8E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E0A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QoS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C7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F53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746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2A0A3E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8A2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402E5966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CE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GFBR guaranteed status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0F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A1B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C0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3C3C05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F05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16C2BBB2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6F3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User Location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CD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55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38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D9BCD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ECED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6B0F6B5A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531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Serving Node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2E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05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23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695BD6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F572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3627F156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30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Change of 3GPP PS Data off Status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033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0EA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DA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D83E12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035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6C2E9C61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EF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Tariff time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81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BF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AC9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10B14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D5A5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5538D740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5F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UE time zone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0F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949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940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70EAF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1EDB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5141ECEC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895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PLMN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4D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7F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640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840A0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0CCE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19DCBCF9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15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RAT type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3F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E99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6F6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16C11A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D90E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2BBA6D45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4D4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Session-AMBR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4A1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137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42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063D0E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2DF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1CC0CF40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24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 xml:space="preserve">Addition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23B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107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D4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5AA7BD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EED4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7C5FF22F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EA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 xml:space="preserve">Removal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BD0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13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E0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59EAF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7032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6D599158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62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H</w:t>
            </w:r>
            <w:r w:rsidRPr="005E3D3A">
              <w:rPr>
                <w:rFonts w:ascii="Arial" w:eastAsia="Malgun Gothic" w:hAnsi="Arial" w:hint="eastAsia"/>
                <w:sz w:val="18"/>
                <w:lang w:eastAsia="zh-CN"/>
              </w:rPr>
              <w:t xml:space="preserve">andover </w:t>
            </w:r>
            <w:r w:rsidRPr="005E3D3A">
              <w:rPr>
                <w:rFonts w:ascii="Arial" w:eastAsia="Malgun Gothic" w:hAnsi="Arial"/>
                <w:sz w:val="18"/>
                <w:lang w:eastAsia="zh-CN"/>
              </w:rPr>
              <w:t>cancel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4F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32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A7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A02470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BF9C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4A0C0712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F3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H</w:t>
            </w:r>
            <w:r w:rsidRPr="005E3D3A">
              <w:rPr>
                <w:rFonts w:ascii="Arial" w:eastAsia="Malgun Gothic" w:hAnsi="Arial" w:hint="eastAsia"/>
                <w:sz w:val="18"/>
                <w:lang w:eastAsia="zh-CN"/>
              </w:rPr>
              <w:t xml:space="preserve">andover </w:t>
            </w:r>
            <w:r w:rsidRPr="005E3D3A">
              <w:rPr>
                <w:rFonts w:ascii="Arial" w:eastAsia="Malgun Gothic" w:hAnsi="Arial"/>
                <w:sz w:val="18"/>
                <w:lang w:eastAsia="zh-CN"/>
              </w:rPr>
              <w:t>start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E67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C0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66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E001FF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7275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40CEF425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3A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H</w:t>
            </w:r>
            <w:r w:rsidRPr="005E3D3A">
              <w:rPr>
                <w:rFonts w:ascii="Arial" w:eastAsia="Malgun Gothic" w:hAnsi="Arial" w:hint="eastAsia"/>
                <w:sz w:val="18"/>
                <w:lang w:eastAsia="zh-CN"/>
              </w:rPr>
              <w:t xml:space="preserve">andover </w:t>
            </w:r>
            <w:r w:rsidRPr="005E3D3A">
              <w:rPr>
                <w:rFonts w:ascii="Arial" w:eastAsia="Malgun Gothic" w:hAnsi="Arial"/>
                <w:sz w:val="18"/>
                <w:lang w:eastAsia="zh-CN"/>
              </w:rPr>
              <w:t>complete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0B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5B1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9D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174445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EFC3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4C15A034" w14:textId="77777777" w:rsidTr="00F24246">
        <w:trPr>
          <w:trHeight w:val="461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65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Redundant transmission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18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81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66B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EC021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A4D5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1B2831F4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B1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5E3D3A">
              <w:rPr>
                <w:rFonts w:ascii="Arial" w:eastAsia="Malgun Gothic" w:hAnsi="Arial"/>
                <w:sz w:val="18"/>
              </w:rPr>
              <w:t xml:space="preserve">Satellite </w:t>
            </w:r>
            <w:proofErr w:type="gramStart"/>
            <w:r w:rsidRPr="005E3D3A">
              <w:rPr>
                <w:rFonts w:ascii="Arial" w:eastAsia="Malgun Gothic" w:hAnsi="Arial"/>
                <w:sz w:val="18"/>
              </w:rPr>
              <w:t>backhaul</w:t>
            </w:r>
            <w:proofErr w:type="gramEnd"/>
            <w:r w:rsidRPr="005E3D3A">
              <w:rPr>
                <w:rFonts w:ascii="Arial" w:eastAsia="Malgun Gothic" w:hAnsi="Arial"/>
                <w:sz w:val="18"/>
              </w:rPr>
              <w:t xml:space="preserve"> category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3C4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6E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0F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0150BA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D036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0FBDD5B7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59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5E3D3A">
              <w:rPr>
                <w:rFonts w:ascii="Arial" w:eastAsia="Malgun Gothic" w:hAnsi="Arial"/>
                <w:sz w:val="18"/>
                <w:lang w:eastAsia="zh-CN" w:bidi="ar-IQ"/>
              </w:rPr>
              <w:t>Satellite Backhaul QoS</w:t>
            </w:r>
            <w:r w:rsidRPr="005E3D3A">
              <w:rPr>
                <w:rFonts w:ascii="Arial" w:eastAsia="Malgun Gothic" w:hAnsi="Arial" w:hint="eastAsia"/>
                <w:sz w:val="18"/>
                <w:lang w:eastAsia="zh-CN" w:bidi="ar-IQ"/>
              </w:rPr>
              <w:t xml:space="preserve">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A4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FA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86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B26FD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87F7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64CBE10B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1C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5E3D3A">
              <w:rPr>
                <w:rFonts w:ascii="Arial" w:eastAsia="Malgun Gothic" w:hAnsi="Arial"/>
                <w:sz w:val="18"/>
                <w:lang w:eastAsia="zh-CN" w:bidi="ar-IQ"/>
              </w:rPr>
              <w:t>GEO satellite ID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A74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B0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A61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DD36F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36D1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7680FADC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41D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S-NSSAI replacement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6C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5A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793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4B3DB0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6420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5E3D3A" w:rsidRPr="005E3D3A" w14:paraId="289449F2" w14:textId="77777777" w:rsidTr="00F24246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24B9B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b/>
                <w:sz w:val="18"/>
                <w:lang w:bidi="ar-IQ"/>
              </w:rPr>
              <w:t>Limit per PDU session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57B9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46A9849F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1D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Expiry of data time limit per 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F50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81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38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</w:t>
            </w:r>
          </w:p>
          <w:p w14:paraId="01EBB3E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604CD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01A3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2D154FDA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1D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Expiry of data volume limit per 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DC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43B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90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4D87F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C63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48674DF5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1B3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Expiry of data event limit per 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D4B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F10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DB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B7EC7F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E95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4EDD1E0F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A2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Expiry of limit of number of charging condition changes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302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C5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27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CF0EBE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7928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089DF3CA" w14:textId="77777777" w:rsidTr="00F24246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D6F73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b/>
                <w:sz w:val="18"/>
                <w:lang w:bidi="ar-IQ"/>
              </w:rPr>
              <w:t>Limit per QoS Flow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198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4EA0A877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22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val="en-US"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Expiry of data time limit per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44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6A9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5C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BE00C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CFC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7F70FD92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18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val="en-US"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Expiry of data volume limit per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8C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81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AFF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3AEC11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2519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1B2C0D07" w14:textId="77777777" w:rsidTr="00F24246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BCC39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b/>
                <w:sz w:val="18"/>
                <w:lang w:eastAsia="zh-CN" w:bidi="ar-IQ"/>
              </w:rPr>
              <w:t xml:space="preserve">Others 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7A9D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084E1289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08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End of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DE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47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05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8C48A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BD24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03710F1C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BC1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lastRenderedPageBreak/>
              <w:t>Management intervention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35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7A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52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5E3D3A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CF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5BC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[Update]</w:t>
            </w:r>
          </w:p>
          <w:p w14:paraId="6F53F87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[Termination]</w:t>
            </w:r>
          </w:p>
        </w:tc>
      </w:tr>
      <w:tr w:rsidR="005E3D3A" w:rsidRPr="005E3D3A" w14:paraId="40EA5AF8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91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V-SMF </w:t>
            </w:r>
            <w:r w:rsidRPr="005E3D3A">
              <w:rPr>
                <w:rFonts w:ascii="Arial" w:eastAsia="等线" w:hAnsi="Arial" w:hint="eastAsia"/>
                <w:sz w:val="18"/>
                <w:lang w:eastAsia="zh-CN" w:bidi="ar-IQ"/>
              </w:rPr>
              <w:t>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93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08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80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49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FD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Charging Data Request [Initial]</w:t>
            </w:r>
          </w:p>
          <w:p w14:paraId="0D3EE52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[Termination]</w:t>
            </w:r>
          </w:p>
        </w:tc>
      </w:tr>
      <w:tr w:rsidR="005E3D3A" w:rsidRPr="005E3D3A" w14:paraId="27778B33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65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 xml:space="preserve">End of PDU session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E6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CF6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16D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9D6D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42B2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[Termination]</w:t>
            </w:r>
          </w:p>
        </w:tc>
      </w:tr>
      <w:tr w:rsidR="005E3D3A" w:rsidRPr="005E3D3A" w14:paraId="676D9577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0D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Abort request is received from the CHF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21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495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12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5E3D3A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0672E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3D98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5E3D3A" w:rsidRPr="005E3D3A" w14:paraId="4FF1CD6C" w14:textId="77777777" w:rsidTr="00F24246">
        <w:trPr>
          <w:tblHeader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C9D" w14:textId="77777777" w:rsidR="005E3D3A" w:rsidRPr="005E3D3A" w:rsidRDefault="005E3D3A" w:rsidP="005E3D3A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Malgun Gothic"/>
              </w:rPr>
            </w:pPr>
            <w:r w:rsidRPr="005E3D3A">
              <w:rPr>
                <w:rFonts w:eastAsia="Malgun Gothic"/>
              </w:rPr>
              <w:t>NOTE 1:</w:t>
            </w:r>
            <w:r w:rsidRPr="005E3D3A">
              <w:rPr>
                <w:rFonts w:eastAsia="Malgun Gothic"/>
              </w:rPr>
              <w:tab/>
              <w:t>If GFBR guaranteed status change is enabled, SMF needs to ensure the request for the notification from the access network (</w:t>
            </w:r>
            <w:proofErr w:type="gramStart"/>
            <w:r w:rsidRPr="005E3D3A">
              <w:rPr>
                <w:rFonts w:eastAsia="Malgun Gothic"/>
              </w:rPr>
              <w:t>i.e.</w:t>
            </w:r>
            <w:proofErr w:type="gramEnd"/>
            <w:r w:rsidRPr="005E3D3A">
              <w:rPr>
                <w:rFonts w:eastAsia="Malgun Gothic"/>
              </w:rPr>
              <w:t xml:space="preserve"> 3GPP RAN) when the GFBR can no longer (or can again) be guaranteed for a QoS Flow during the lifetime of the QoS Flow.</w:t>
            </w:r>
          </w:p>
          <w:p w14:paraId="4E8142F0" w14:textId="46982579" w:rsidR="005E3D3A" w:rsidRPr="005E3D3A" w:rsidRDefault="005E3D3A" w:rsidP="005E3D3A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Malgun Gothic"/>
              </w:rPr>
            </w:pPr>
            <w:r w:rsidRPr="005E3D3A">
              <w:rPr>
                <w:rFonts w:eastAsia="Malgun Gothic"/>
              </w:rPr>
              <w:t xml:space="preserve">NOTE 2: The columns CHF allowed to change category, and CHF allowed enable and disable are only applicable </w:t>
            </w:r>
            <w:ins w:id="19" w:author="Huawei-20260210" w:date="2026-02-10T23:20:00Z">
              <w:r w:rsidR="00F46A61" w:rsidRPr="00F46A61">
                <w:rPr>
                  <w:rFonts w:eastAsia="Malgun Gothic"/>
                </w:rPr>
                <w:t>during</w:t>
              </w:r>
            </w:ins>
            <w:del w:id="20" w:author="Huawei-20260210" w:date="2026-02-10T23:20:00Z">
              <w:r w:rsidRPr="005E3D3A" w:rsidDel="00F46A61">
                <w:rPr>
                  <w:rFonts w:eastAsia="Malgun Gothic"/>
                </w:rPr>
                <w:delText>for</w:delText>
              </w:r>
            </w:del>
            <w:r w:rsidRPr="005E3D3A">
              <w:rPr>
                <w:rFonts w:eastAsia="Malgun Gothic"/>
              </w:rPr>
              <w:t xml:space="preserve"> the PDU session establishment</w:t>
            </w:r>
            <w:ins w:id="21" w:author="Huawei-20260210" w:date="2026-02-10T23:20:00Z">
              <w:r w:rsidR="00F46A61">
                <w:rPr>
                  <w:rFonts w:eastAsia="Malgun Gothic"/>
                </w:rPr>
                <w:t xml:space="preserve"> </w:t>
              </w:r>
              <w:r w:rsidR="00F46A61" w:rsidRPr="00F46A61">
                <w:rPr>
                  <w:rFonts w:eastAsia="Malgun Gothic"/>
                </w:rPr>
                <w:t>and the PDU session lifetime</w:t>
              </w:r>
            </w:ins>
            <w:r w:rsidRPr="005E3D3A">
              <w:rPr>
                <w:rFonts w:eastAsia="Malgun Gothic"/>
              </w:rPr>
              <w:t>, for other cases they are not applicable.</w:t>
            </w:r>
          </w:p>
        </w:tc>
      </w:tr>
      <w:bookmarkEnd w:id="18"/>
    </w:tbl>
    <w:p w14:paraId="0A629914" w14:textId="77777777" w:rsidR="005E3D3A" w:rsidRPr="005E3D3A" w:rsidRDefault="005E3D3A" w:rsidP="005E3D3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</w:p>
    <w:p w14:paraId="03975CE0" w14:textId="77777777" w:rsidR="005E3D3A" w:rsidRPr="005E3D3A" w:rsidRDefault="005E3D3A" w:rsidP="005E3D3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5E3D3A">
        <w:rPr>
          <w:rFonts w:eastAsia="Malgun Gothic"/>
        </w:rPr>
        <w:t>The default "Limit" trigger</w:t>
      </w:r>
      <w:r w:rsidRPr="005E3D3A">
        <w:rPr>
          <w:rFonts w:eastAsia="Malgun Gothic"/>
          <w:lang w:bidi="ar-IQ"/>
        </w:rPr>
        <w:t xml:space="preserve"> conditions, are trigger thresholds configured in the Charging Characteristics </w:t>
      </w:r>
      <w:r w:rsidRPr="005E3D3A">
        <w:rPr>
          <w:rFonts w:eastAsia="Malgun Gothic"/>
        </w:rPr>
        <w:t xml:space="preserve">applied to the PDU session for QBC. It shall be possible for the CHF to override these default triggers when providing </w:t>
      </w:r>
      <w:r w:rsidRPr="005E3D3A">
        <w:rPr>
          <w:rFonts w:eastAsia="Malgun Gothic"/>
          <w:lang w:eastAsia="zh-CN" w:bidi="ar-IQ"/>
        </w:rPr>
        <w:t xml:space="preserve">Charging Data Response [Initial], either to disable the triggers, or </w:t>
      </w:r>
      <w:r w:rsidRPr="005E3D3A">
        <w:rPr>
          <w:rFonts w:eastAsia="Malgun Gothic"/>
        </w:rPr>
        <w:t xml:space="preserve">to enable triggers new </w:t>
      </w:r>
      <w:r w:rsidRPr="005E3D3A">
        <w:rPr>
          <w:rFonts w:eastAsia="Malgun Gothic"/>
          <w:lang w:bidi="ar-IQ"/>
        </w:rPr>
        <w:t>thresholds value.</w:t>
      </w:r>
      <w:r w:rsidRPr="005E3D3A">
        <w:rPr>
          <w:rFonts w:eastAsia="Malgun Gothic"/>
        </w:rPr>
        <w:t xml:space="preserve"> </w:t>
      </w:r>
    </w:p>
    <w:p w14:paraId="60D2B139" w14:textId="77777777" w:rsidR="005E3D3A" w:rsidRPr="005E3D3A" w:rsidRDefault="005E3D3A" w:rsidP="005E3D3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5E3D3A">
        <w:rPr>
          <w:rFonts w:eastAsia="Malgun Gothic"/>
          <w:lang w:bidi="ar-IQ"/>
        </w:rPr>
        <w:t>The "Limit" trigger conditions applied to the QoS Flow level of QBC is common for all QFIs, and applies the limit for each QFI in the PDU session.</w:t>
      </w:r>
    </w:p>
    <w:p w14:paraId="0DE5CC39" w14:textId="77777777" w:rsidR="005E3D3A" w:rsidRPr="005E3D3A" w:rsidRDefault="005E3D3A" w:rsidP="005E3D3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5E3D3A">
        <w:rPr>
          <w:rFonts w:eastAsia="Malgun Gothic"/>
          <w:lang w:bidi="ar-IQ"/>
        </w:rPr>
        <w:t>For QBC the following details of chargeable events and corresponding actions in the SMF are defined in Table 5.2.1.6.2:</w:t>
      </w:r>
    </w:p>
    <w:p w14:paraId="43D86B7E" w14:textId="77777777" w:rsidR="005E3D3A" w:rsidRPr="005E3D3A" w:rsidRDefault="005E3D3A" w:rsidP="005E3D3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</w:rPr>
      </w:pPr>
      <w:bookmarkStart w:id="22" w:name="_CRTable5_2_1_6_2"/>
      <w:r w:rsidRPr="005E3D3A">
        <w:rPr>
          <w:rFonts w:ascii="Arial" w:eastAsia="Malgun Gothic" w:hAnsi="Arial"/>
          <w:b/>
        </w:rPr>
        <w:lastRenderedPageBreak/>
        <w:t xml:space="preserve">Table </w:t>
      </w:r>
      <w:bookmarkEnd w:id="22"/>
      <w:r w:rsidRPr="005E3D3A">
        <w:rPr>
          <w:rFonts w:ascii="Arial" w:eastAsia="Malgun Gothic" w:hAnsi="Arial"/>
          <w:b/>
        </w:rPr>
        <w:t>5.2.1.6.</w:t>
      </w:r>
      <w:r w:rsidRPr="005E3D3A">
        <w:rPr>
          <w:rFonts w:ascii="Arial" w:eastAsia="Malgun Gothic" w:hAnsi="Arial"/>
          <w:b/>
          <w:lang w:val="en-US"/>
        </w:rPr>
        <w:t>2</w:t>
      </w:r>
      <w:r w:rsidRPr="005E3D3A">
        <w:rPr>
          <w:rFonts w:ascii="Arial" w:eastAsia="Malgun Gothic" w:hAnsi="Arial"/>
          <w:b/>
        </w:rPr>
        <w:t xml:space="preserve">: </w:t>
      </w:r>
      <w:r w:rsidRPr="005E3D3A">
        <w:rPr>
          <w:rFonts w:ascii="Arial" w:eastAsia="Malgun Gothic" w:hAnsi="Arial"/>
          <w:b/>
          <w:lang w:bidi="ar-IQ"/>
        </w:rPr>
        <w:t>Chargeable events and their related actions</w:t>
      </w:r>
      <w:r w:rsidRPr="005E3D3A">
        <w:rPr>
          <w:rFonts w:ascii="Arial" w:eastAsia="Malgun Gothic" w:hAnsi="Arial"/>
          <w:b/>
        </w:rPr>
        <w:t xml:space="preserve"> in SMF for QBC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5E3D3A" w:rsidRPr="005E3D3A" w14:paraId="50C12E4E" w14:textId="77777777" w:rsidTr="00F24246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0A090D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b/>
                <w:sz w:val="18"/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AE29B8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b/>
                <w:sz w:val="18"/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275155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b/>
                <w:sz w:val="18"/>
                <w:lang w:bidi="ar-IQ"/>
              </w:rPr>
              <w:t>SMF action</w:t>
            </w:r>
          </w:p>
        </w:tc>
      </w:tr>
      <w:tr w:rsidR="005E3D3A" w:rsidRPr="005E3D3A" w14:paraId="2C5D7F5C" w14:textId="77777777" w:rsidTr="00F2424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5E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 xml:space="preserve">Start of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6A8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D8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[Initial].</w:t>
            </w:r>
          </w:p>
        </w:tc>
      </w:tr>
      <w:tr w:rsidR="005E3D3A" w:rsidRPr="005E3D3A" w14:paraId="45C80F2B" w14:textId="77777777" w:rsidTr="00F24246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BA75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F6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the QoS Flow associated with the default QoS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9A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Start new counts with time stamps.</w:t>
            </w:r>
          </w:p>
        </w:tc>
      </w:tr>
      <w:tr w:rsidR="005E3D3A" w:rsidRPr="005E3D3A" w14:paraId="03CB06EB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B88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00C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34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Start new counts with time stamps.</w:t>
            </w:r>
          </w:p>
        </w:tc>
      </w:tr>
      <w:tr w:rsidR="005E3D3A" w:rsidRPr="005E3D3A" w14:paraId="557B2C27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D51CF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V-SMF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76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session is moved to the V-SMF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43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[Initial].</w:t>
            </w:r>
          </w:p>
          <w:p w14:paraId="48007AF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5E3D3A" w:rsidRPr="005E3D3A" w14:paraId="7C383CED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9B1C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0DE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session is moved from the V-SMF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54F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456CDBC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  <w:tr w:rsidR="005E3D3A" w:rsidRPr="005E3D3A" w14:paraId="4AE84818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655E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等线" w:hAnsi="Arial"/>
                <w:sz w:val="18"/>
                <w:lang w:bidi="ar-IQ"/>
              </w:rPr>
              <w:t xml:space="preserve">End of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021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37D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 xml:space="preserve">with time stamps </w:t>
            </w:r>
            <w:r w:rsidRPr="005E3D3A">
              <w:rPr>
                <w:rFonts w:ascii="Arial" w:eastAsia="Malgun Gothic" w:hAnsi="Arial"/>
                <w:sz w:val="18"/>
              </w:rPr>
              <w:t>for the QoS flows</w:t>
            </w:r>
          </w:p>
        </w:tc>
      </w:tr>
      <w:tr w:rsidR="005E3D3A" w:rsidRPr="005E3D3A" w14:paraId="63999F49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29D1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D3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A6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5E3D3A" w:rsidRPr="005E3D3A" w14:paraId="4B44257C" w14:textId="77777777" w:rsidTr="00F24246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1780A0F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 xml:space="preserve">End of PDU session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23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57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6D0DF38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  <w:tr w:rsidR="005E3D3A" w:rsidRPr="005E3D3A" w14:paraId="6884CA84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EDCB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 xml:space="preserve">Change of charging condition in the SMF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1E9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DB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and start new counts with time stamps</w:t>
            </w:r>
            <w:r w:rsidRPr="005E3D3A">
              <w:rPr>
                <w:rFonts w:ascii="Arial" w:eastAsia="Malgun Gothic" w:hAnsi="Arial"/>
                <w:sz w:val="18"/>
              </w:rPr>
              <w:t xml:space="preserve"> for all active QoS flows.</w:t>
            </w:r>
          </w:p>
        </w:tc>
      </w:tr>
      <w:tr w:rsidR="005E3D3A" w:rsidRPr="005E3D3A" w14:paraId="74BD3941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A168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41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EE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5E3D3A" w:rsidRPr="005E3D3A" w14:paraId="49936AB9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A66A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E2A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D8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 with time stamps</w:t>
            </w:r>
            <w:r w:rsidRPr="005E3D3A">
              <w:rPr>
                <w:rFonts w:ascii="Arial" w:eastAsia="Malgun Gothic" w:hAnsi="Arial"/>
                <w:sz w:val="18"/>
              </w:rPr>
              <w:t xml:space="preserve"> and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 xml:space="preserve"> start new counts with time stamps.</w:t>
            </w:r>
          </w:p>
        </w:tc>
      </w:tr>
      <w:tr w:rsidR="005E3D3A" w:rsidRPr="005E3D3A" w14:paraId="58236A29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28C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D0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B88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  <w:r w:rsidRPr="005E3D3A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5E3D3A" w:rsidRPr="005E3D3A" w14:paraId="29E5422B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C938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Handover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D8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F0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 with time stamps</w:t>
            </w:r>
            <w:r w:rsidRPr="005E3D3A">
              <w:rPr>
                <w:rFonts w:ascii="Arial" w:eastAsia="Malgun Gothic" w:hAnsi="Arial"/>
                <w:sz w:val="18"/>
              </w:rPr>
              <w:t xml:space="preserve">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and start new counts with time stamps</w:t>
            </w:r>
            <w:r w:rsidRPr="005E3D3A">
              <w:rPr>
                <w:rFonts w:ascii="Arial" w:eastAsia="Malgun Gothic" w:hAnsi="Arial"/>
                <w:sz w:val="18"/>
              </w:rPr>
              <w:t xml:space="preserve"> for active QoS flows.</w:t>
            </w:r>
          </w:p>
        </w:tc>
      </w:tr>
      <w:tr w:rsidR="005E3D3A" w:rsidRPr="005E3D3A" w14:paraId="2B2F4C87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835C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CC9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C16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  <w:r w:rsidRPr="005E3D3A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5E3D3A" w:rsidRPr="005E3D3A" w14:paraId="1AE11D29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97A9E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4BC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D07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 xml:space="preserve">Close the counts </w:t>
            </w:r>
            <w:r w:rsidRPr="005E3D3A">
              <w:rPr>
                <w:rFonts w:ascii="Arial" w:eastAsia="Malgun Gothic" w:hAnsi="Arial"/>
                <w:sz w:val="18"/>
              </w:rPr>
              <w:t>and start new counts with time stamps for active QoS flows.</w:t>
            </w:r>
          </w:p>
        </w:tc>
      </w:tr>
      <w:tr w:rsidR="005E3D3A" w:rsidRPr="005E3D3A" w14:paraId="2791EC4D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867F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3FC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9D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5E3D3A" w:rsidRPr="005E3D3A" w14:paraId="042FEC83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30EB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DB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81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Close the counts and start new counts with time stamps.</w:t>
            </w:r>
          </w:p>
        </w:tc>
      </w:tr>
      <w:tr w:rsidR="005E3D3A" w:rsidRPr="005E3D3A" w14:paraId="1FF89EFB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1074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BC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08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 xml:space="preserve">Charging Data Request [Update]. </w:t>
            </w:r>
          </w:p>
          <w:p w14:paraId="0C4DCE8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5E3D3A" w:rsidRPr="005E3D3A" w:rsidDel="002D03DD" w14:paraId="23D8C66B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7D4C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 xml:space="preserve">Satellite </w:t>
            </w:r>
            <w:proofErr w:type="gramStart"/>
            <w:r w:rsidRPr="005E3D3A">
              <w:rPr>
                <w:rFonts w:ascii="Arial" w:eastAsia="Malgun Gothic" w:hAnsi="Arial"/>
                <w:sz w:val="18"/>
                <w:lang w:eastAsia="zh-CN"/>
              </w:rPr>
              <w:t>backhaul</w:t>
            </w:r>
            <w:proofErr w:type="gramEnd"/>
            <w:r w:rsidRPr="005E3D3A">
              <w:rPr>
                <w:rFonts w:ascii="Arial" w:eastAsia="Malgun Gothic" w:hAnsi="Arial"/>
                <w:sz w:val="18"/>
                <w:lang w:eastAsia="zh-CN"/>
              </w:rPr>
              <w:t xml:space="preserve"> category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F1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49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5E3D3A" w:rsidRPr="005E3D3A" w:rsidDel="002D03DD" w14:paraId="2342099C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0B70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42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E94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5E3D3A" w:rsidRPr="005E3D3A" w:rsidDel="002D03DD" w14:paraId="34A8C5DD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775DB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GEO satellite ID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309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50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5E3D3A" w:rsidRPr="005E3D3A" w:rsidDel="002D03DD" w14:paraId="543B1A92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71F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2A4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06C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5E3D3A" w:rsidRPr="005E3D3A" w14:paraId="1A28903A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772CC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eastAsia="zh-CN"/>
              </w:rPr>
              <w:t>Satellite backhaul</w:t>
            </w:r>
            <w:r w:rsidRPr="005E3D3A">
              <w:rPr>
                <w:rFonts w:ascii="Arial" w:eastAsia="Malgun Gothic" w:hAnsi="Arial" w:hint="eastAsia"/>
                <w:sz w:val="18"/>
                <w:lang w:val="en-US" w:eastAsia="zh-CN"/>
              </w:rPr>
              <w:t xml:space="preserve"> QoS</w:t>
            </w:r>
            <w:r w:rsidRPr="005E3D3A">
              <w:rPr>
                <w:rFonts w:ascii="Arial" w:eastAsia="Malgun Gothic" w:hAnsi="Arial"/>
                <w:sz w:val="18"/>
                <w:lang w:eastAsia="zh-CN"/>
              </w:rPr>
              <w:t xml:space="preserve">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C8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4F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5E3D3A" w:rsidRPr="005E3D3A" w14:paraId="7B7BADC3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1D06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06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8A1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5E3D3A" w:rsidRPr="005E3D3A" w:rsidDel="002D03DD" w14:paraId="1CC8E22E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C5FE43" w14:textId="77777777" w:rsidR="005E3D3A" w:rsidRPr="005E3D3A" w:rsidDel="002D03DD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Addition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23E3" w14:textId="77777777" w:rsidR="005E3D3A" w:rsidRPr="005E3D3A" w:rsidDel="002D03DD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8340" w14:textId="77777777" w:rsidR="005E3D3A" w:rsidRPr="005E3D3A" w:rsidDel="002D03DD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  <w:r w:rsidRPr="005E3D3A">
              <w:rPr>
                <w:rFonts w:ascii="Arial" w:eastAsia="Malgun Gothic" w:hAnsi="Arial"/>
                <w:sz w:val="18"/>
              </w:rPr>
              <w:t xml:space="preserve"> for the added UPF</w:t>
            </w:r>
            <w:r w:rsidRPr="005E3D3A" w:rsidDel="000D51FF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5E3D3A" w:rsidRPr="005E3D3A" w:rsidDel="002D03DD" w14:paraId="5D9C7632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9AD7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AC42" w14:textId="77777777" w:rsidR="005E3D3A" w:rsidRPr="005E3D3A" w:rsidDel="002D03DD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4DB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5E3D3A" w:rsidRPr="005E3D3A" w14:paraId="328F7C9B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6F45E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Removal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FA9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17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 with time stamps for</w:t>
            </w:r>
            <w:r w:rsidRPr="005E3D3A">
              <w:rPr>
                <w:rFonts w:ascii="Arial" w:eastAsia="Malgun Gothic" w:hAnsi="Arial"/>
                <w:sz w:val="18"/>
              </w:rPr>
              <w:t xml:space="preserve"> the removed UPF</w:t>
            </w:r>
          </w:p>
        </w:tc>
      </w:tr>
      <w:tr w:rsidR="005E3D3A" w:rsidRPr="005E3D3A" w14:paraId="15351E43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C26B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81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F1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5E3D3A" w:rsidRPr="005E3D3A" w14:paraId="2BFED320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D6C01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S-NSSAI replacement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9D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69C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5E3D3A" w:rsidRPr="005E3D3A" w14:paraId="18AEC490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64D7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A13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hAnsi="Arial"/>
                <w:sz w:val="18"/>
              </w:rPr>
              <w:t xml:space="preserve">If the corresponding trigger is enabled </w:t>
            </w:r>
            <w:r w:rsidRPr="005E3D3A">
              <w:rPr>
                <w:rFonts w:ascii="Arial" w:eastAsia="Malgun Gothic" w:hAnsi="Arial"/>
                <w:sz w:val="18"/>
              </w:rPr>
              <w:t>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D1E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5E3D3A" w:rsidRPr="005E3D3A" w14:paraId="2708F42B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78CA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Expiry of data time limit per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8F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1D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  <w:r w:rsidRPr="005E3D3A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5E3D3A" w:rsidRPr="005E3D3A" w14:paraId="0243F6E2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EB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4D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B9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5E3D3A" w:rsidRPr="005E3D3A" w14:paraId="4379DCC0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E5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BA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If 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E6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5E3D3A" w:rsidRPr="005E3D3A" w14:paraId="0E6ECD1C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167F9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Expiry of data volume limit per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63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2E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Close the counts with time stamps</w:t>
            </w:r>
          </w:p>
        </w:tc>
      </w:tr>
      <w:tr w:rsidR="005E3D3A" w:rsidRPr="005E3D3A" w14:paraId="3A912619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6AE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42C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14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5E3D3A" w:rsidRPr="005E3D3A" w14:paraId="1DE8B228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56B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595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If 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3FF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5E3D3A" w:rsidRPr="005E3D3A" w14:paraId="0737B320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07657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lastRenderedPageBreak/>
              <w:t>Expiry of data time limit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BA1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62AC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3269283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with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5E3D3A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5E3D3A" w:rsidRPr="005E3D3A" w14:paraId="1660683B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F857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662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A5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5E3D3A" w:rsidRPr="005E3D3A" w14:paraId="2BF7520B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58C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C3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E4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Start new counts with time stamps for all active QoS flows</w:t>
            </w:r>
          </w:p>
        </w:tc>
      </w:tr>
      <w:tr w:rsidR="005E3D3A" w:rsidRPr="005E3D3A" w14:paraId="75DB68E3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33C93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Expiry of data volume limit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F4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D4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with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5E3D3A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5E3D3A" w:rsidRPr="005E3D3A" w14:paraId="09076A3A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3C81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5D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29F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5E3D3A" w:rsidRPr="005E3D3A" w14:paraId="124C4B58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C1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10F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88B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Start new counts with time stamps for all active QoS flows</w:t>
            </w:r>
          </w:p>
        </w:tc>
      </w:tr>
      <w:tr w:rsidR="005E3D3A" w:rsidRPr="005E3D3A" w14:paraId="546D2F61" w14:textId="77777777" w:rsidTr="00F24246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C4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Expiry of data event limit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8BB0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75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5A5A474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with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5E3D3A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5E3D3A" w:rsidRPr="005E3D3A" w14:paraId="795FF774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F8C1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Expiry of a limit of number of charging condition changes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8E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26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614A45AD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with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5E3D3A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5E3D3A" w:rsidRPr="005E3D3A" w14:paraId="6C4F9D7D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515C6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7D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7D4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5E3D3A" w:rsidRPr="005E3D3A" w14:paraId="7430B17F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D92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58F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34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Start new counts with time stamps for all active QoS flows</w:t>
            </w:r>
          </w:p>
        </w:tc>
      </w:tr>
      <w:tr w:rsidR="005E3D3A" w:rsidRPr="005E3D3A" w14:paraId="068A8F3E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6396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8CAA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If the management intervention causes an update e.g., a reauthorization request.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3FB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7959D69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with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 xml:space="preserve"> time stamps for all QoS Flows</w:t>
            </w:r>
          </w:p>
        </w:tc>
      </w:tr>
      <w:tr w:rsidR="005E3D3A" w:rsidRPr="005E3D3A" w14:paraId="2180859E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5E11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A1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50E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5E3D3A" w:rsidRPr="005E3D3A" w14:paraId="01D1084A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2B57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9D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If the management intervention causes a termination e.g., an abort charging request.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081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6FF0BEB5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  <w:tr w:rsidR="005E3D3A" w:rsidRPr="005E3D3A" w14:paraId="6C4459AC" w14:textId="77777777" w:rsidTr="00F24246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CF7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Abort request is received from the CHF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E69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1FB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5E3D3A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396B8118" w14:textId="77777777" w:rsidR="005E3D3A" w:rsidRPr="005E3D3A" w:rsidRDefault="005E3D3A" w:rsidP="005E3D3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5E3D3A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5E3D3A">
              <w:rPr>
                <w:rFonts w:ascii="Arial" w:eastAsia="Malgun Gothic" w:hAnsi="Arial"/>
                <w:sz w:val="18"/>
              </w:rPr>
              <w:t xml:space="preserve"> </w:t>
            </w:r>
            <w:r w:rsidRPr="005E3D3A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</w:tbl>
    <w:p w14:paraId="1531012A" w14:textId="77777777" w:rsidR="005E3D3A" w:rsidRPr="005E3D3A" w:rsidRDefault="005E3D3A" w:rsidP="005E3D3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</w:p>
    <w:p w14:paraId="14066E78" w14:textId="77777777" w:rsidR="005E3D3A" w:rsidRPr="005E3D3A" w:rsidRDefault="005E3D3A" w:rsidP="005E3D3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5E3D3A">
        <w:rPr>
          <w:rFonts w:eastAsia="Malgun Gothic"/>
        </w:rPr>
        <w:t xml:space="preserve">The CDR generation mechanism processed by the CHF upon </w:t>
      </w:r>
      <w:r w:rsidRPr="005E3D3A">
        <w:rPr>
          <w:rFonts w:eastAsia="Malgun Gothic"/>
          <w:lang w:bidi="ar-IQ"/>
        </w:rPr>
        <w:t>receiving Charging Data Request [Initial, Update, Termination] issued by the SMF for these chargeable events in QBC, is specified in clause 5.2.3.</w:t>
      </w:r>
    </w:p>
    <w:p w14:paraId="0A2C4469" w14:textId="77777777" w:rsidR="00480365" w:rsidRPr="005E3D3A" w:rsidRDefault="00480365" w:rsidP="00A264C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102A" w14:textId="77777777" w:rsidR="000A050F" w:rsidRDefault="000A050F">
      <w:r>
        <w:separator/>
      </w:r>
    </w:p>
  </w:endnote>
  <w:endnote w:type="continuationSeparator" w:id="0">
    <w:p w14:paraId="3F47DD56" w14:textId="77777777" w:rsidR="000A050F" w:rsidRDefault="000A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5694" w14:textId="77777777" w:rsidR="000A050F" w:rsidRDefault="000A050F">
      <w:r>
        <w:separator/>
      </w:r>
    </w:p>
  </w:footnote>
  <w:footnote w:type="continuationSeparator" w:id="0">
    <w:p w14:paraId="5137B3EB" w14:textId="77777777" w:rsidR="000A050F" w:rsidRDefault="000A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1D7E"/>
    <w:multiLevelType w:val="hybridMultilevel"/>
    <w:tmpl w:val="1E90D800"/>
    <w:lvl w:ilvl="0" w:tplc="DF7A0BF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5441079"/>
    <w:multiLevelType w:val="hybridMultilevel"/>
    <w:tmpl w:val="7B1C7774"/>
    <w:lvl w:ilvl="0" w:tplc="27D09B62">
      <w:start w:val="1"/>
      <w:numFmt w:val="decimal"/>
      <w:lvlText w:val="%1．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9">
    <w15:presenceInfo w15:providerId="None" w15:userId="Huawei-20260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43"/>
    <w:rsid w:val="00022299"/>
    <w:rsid w:val="00022E4A"/>
    <w:rsid w:val="00070E09"/>
    <w:rsid w:val="00083476"/>
    <w:rsid w:val="00095C77"/>
    <w:rsid w:val="00097A99"/>
    <w:rsid w:val="000A050F"/>
    <w:rsid w:val="000A6394"/>
    <w:rsid w:val="000B7FED"/>
    <w:rsid w:val="000C038A"/>
    <w:rsid w:val="000C6598"/>
    <w:rsid w:val="000D44B3"/>
    <w:rsid w:val="00116874"/>
    <w:rsid w:val="00145D43"/>
    <w:rsid w:val="00164E60"/>
    <w:rsid w:val="00172127"/>
    <w:rsid w:val="00192C46"/>
    <w:rsid w:val="001A08B3"/>
    <w:rsid w:val="001A7B60"/>
    <w:rsid w:val="001B52F0"/>
    <w:rsid w:val="001B7A65"/>
    <w:rsid w:val="001E3F01"/>
    <w:rsid w:val="001E41F3"/>
    <w:rsid w:val="0026004D"/>
    <w:rsid w:val="002640DD"/>
    <w:rsid w:val="00275D12"/>
    <w:rsid w:val="00284FEB"/>
    <w:rsid w:val="002860C4"/>
    <w:rsid w:val="002869E9"/>
    <w:rsid w:val="002B5741"/>
    <w:rsid w:val="002E2D30"/>
    <w:rsid w:val="002E472E"/>
    <w:rsid w:val="00305409"/>
    <w:rsid w:val="00320850"/>
    <w:rsid w:val="003609EF"/>
    <w:rsid w:val="0036231A"/>
    <w:rsid w:val="00374DD4"/>
    <w:rsid w:val="003B444E"/>
    <w:rsid w:val="003D057B"/>
    <w:rsid w:val="003E1A36"/>
    <w:rsid w:val="003E68F2"/>
    <w:rsid w:val="003F5280"/>
    <w:rsid w:val="00410371"/>
    <w:rsid w:val="00413910"/>
    <w:rsid w:val="004242F1"/>
    <w:rsid w:val="00480365"/>
    <w:rsid w:val="004B75B7"/>
    <w:rsid w:val="004D5E28"/>
    <w:rsid w:val="005137CD"/>
    <w:rsid w:val="005141D9"/>
    <w:rsid w:val="0051580D"/>
    <w:rsid w:val="00547111"/>
    <w:rsid w:val="00592D74"/>
    <w:rsid w:val="005956CF"/>
    <w:rsid w:val="005E2C44"/>
    <w:rsid w:val="005E3D3A"/>
    <w:rsid w:val="005E5002"/>
    <w:rsid w:val="00621188"/>
    <w:rsid w:val="006257ED"/>
    <w:rsid w:val="00653DE4"/>
    <w:rsid w:val="00656F3C"/>
    <w:rsid w:val="00665C47"/>
    <w:rsid w:val="00695808"/>
    <w:rsid w:val="006B46FB"/>
    <w:rsid w:val="006C08D0"/>
    <w:rsid w:val="006E21FB"/>
    <w:rsid w:val="00745CAC"/>
    <w:rsid w:val="0077203A"/>
    <w:rsid w:val="00792342"/>
    <w:rsid w:val="007977A8"/>
    <w:rsid w:val="007B2B6C"/>
    <w:rsid w:val="007B512A"/>
    <w:rsid w:val="007C2097"/>
    <w:rsid w:val="007C72EB"/>
    <w:rsid w:val="007D0F18"/>
    <w:rsid w:val="007D6A07"/>
    <w:rsid w:val="007F0200"/>
    <w:rsid w:val="007F7259"/>
    <w:rsid w:val="008040A8"/>
    <w:rsid w:val="008279FA"/>
    <w:rsid w:val="008626E7"/>
    <w:rsid w:val="0086325B"/>
    <w:rsid w:val="00870EE7"/>
    <w:rsid w:val="008863B9"/>
    <w:rsid w:val="0088692D"/>
    <w:rsid w:val="008A005E"/>
    <w:rsid w:val="008A45A6"/>
    <w:rsid w:val="008D2C5B"/>
    <w:rsid w:val="008D3CCC"/>
    <w:rsid w:val="008D5B68"/>
    <w:rsid w:val="008E536E"/>
    <w:rsid w:val="008F3789"/>
    <w:rsid w:val="008F5635"/>
    <w:rsid w:val="008F686C"/>
    <w:rsid w:val="00901A83"/>
    <w:rsid w:val="00911DE5"/>
    <w:rsid w:val="009148DE"/>
    <w:rsid w:val="00916AC0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264CD"/>
    <w:rsid w:val="00A30353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33402"/>
    <w:rsid w:val="00C43A45"/>
    <w:rsid w:val="00C47F1D"/>
    <w:rsid w:val="00C66BA2"/>
    <w:rsid w:val="00C851A0"/>
    <w:rsid w:val="00C870F6"/>
    <w:rsid w:val="00C95985"/>
    <w:rsid w:val="00CB7538"/>
    <w:rsid w:val="00CC5026"/>
    <w:rsid w:val="00CC68D0"/>
    <w:rsid w:val="00D03F9A"/>
    <w:rsid w:val="00D06D51"/>
    <w:rsid w:val="00D24991"/>
    <w:rsid w:val="00D50255"/>
    <w:rsid w:val="00D52FC2"/>
    <w:rsid w:val="00D66520"/>
    <w:rsid w:val="00D84AE9"/>
    <w:rsid w:val="00D9124E"/>
    <w:rsid w:val="00D91D43"/>
    <w:rsid w:val="00DE34CF"/>
    <w:rsid w:val="00E13F3D"/>
    <w:rsid w:val="00E175DD"/>
    <w:rsid w:val="00E34898"/>
    <w:rsid w:val="00E81AA4"/>
    <w:rsid w:val="00E94B21"/>
    <w:rsid w:val="00EB09B7"/>
    <w:rsid w:val="00EE7D7C"/>
    <w:rsid w:val="00F016A0"/>
    <w:rsid w:val="00F25D98"/>
    <w:rsid w:val="00F300FB"/>
    <w:rsid w:val="00F46A61"/>
    <w:rsid w:val="00F72ADD"/>
    <w:rsid w:val="00FB56B2"/>
    <w:rsid w:val="00FB6386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qFormat/>
    <w:locked/>
    <w:rsid w:val="0077203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73</TotalTime>
  <Pages>9</Pages>
  <Words>1948</Words>
  <Characters>11105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Huawei-20260210</cp:lastModifiedBy>
  <cp:revision>49</cp:revision>
  <cp:lastPrinted>1899-12-31T23:00:00Z</cp:lastPrinted>
  <dcterms:created xsi:type="dcterms:W3CDTF">2020-02-03T08:32:00Z</dcterms:created>
  <dcterms:modified xsi:type="dcterms:W3CDTF">2026-02-11T09:50:00Z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