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34B5C3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304369" w:rsidRPr="00304369">
          <w:rPr>
            <w:b/>
            <w:i/>
            <w:noProof/>
            <w:sz w:val="28"/>
          </w:rPr>
          <w:t>S4-252003</w:t>
        </w:r>
      </w:fldSimple>
    </w:p>
    <w:p w14:paraId="7CB45193" w14:textId="418A18CF" w:rsidR="001E41F3" w:rsidRPr="00F861EA" w:rsidRDefault="003609EF" w:rsidP="00F861EA">
      <w:pPr>
        <w:pStyle w:val="CRCoverPage"/>
        <w:tabs>
          <w:tab w:val="right" w:pos="9639"/>
        </w:tabs>
        <w:outlineLvl w:val="0"/>
        <w:rPr>
          <w:b/>
          <w:i/>
          <w:iCs/>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F861EA">
        <w:rPr>
          <w:b/>
          <w:noProof/>
          <w:sz w:val="24"/>
        </w:rPr>
        <w:tab/>
      </w:r>
      <w:r w:rsidR="00F861EA">
        <w:rPr>
          <w:b/>
          <w:i/>
          <w:iCs/>
          <w:noProof/>
          <w:sz w:val="24"/>
        </w:rPr>
        <w:t>Revision of S4-251888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B90ADB" w:rsidR="001E41F3" w:rsidRPr="00410371" w:rsidRDefault="008542A8" w:rsidP="00547111">
            <w:pPr>
              <w:pStyle w:val="CRCoverPage"/>
              <w:spacing w:after="0"/>
              <w:rPr>
                <w:noProof/>
              </w:rPr>
            </w:pPr>
            <w:fldSimple w:instr=" DOCPROPERTY  Cr#  \* MERGEFORMAT ">
              <w:r w:rsidRPr="008542A8">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62E94B" w:rsidR="001E41F3" w:rsidRPr="00410371" w:rsidRDefault="00BD4A72" w:rsidP="00E13F3D">
            <w:pPr>
              <w:pStyle w:val="CRCoverPage"/>
              <w:spacing w:after="0"/>
              <w:jc w:val="center"/>
              <w:rPr>
                <w:b/>
                <w:noProof/>
              </w:rPr>
            </w:pPr>
            <w:fldSimple w:instr=" DOCPROPERTY  Revision  \* MERGEFORMAT ">
              <w:r w:rsidRPr="00BD4A7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980EE7" w:rsidR="00F25D98" w:rsidRDefault="002F04F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Addition of missing descriptions to IVAS rendering specification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Nokia, NTT, Orange, Panasonic Holdings Corporation, Philips International B.V., Qualcomm Inc.,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6430B" w:rsidR="001E41F3" w:rsidRDefault="0030436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FD4A0A" w:rsidR="001E41F3" w:rsidRDefault="00304369">
            <w:pPr>
              <w:pStyle w:val="CRCoverPage"/>
              <w:spacing w:after="0"/>
              <w:ind w:left="100"/>
              <w:rPr>
                <w:noProof/>
              </w:rPr>
            </w:pPr>
            <w:fldSimple w:instr=" DOCPROPERTY  RelatedWis  \* MERGEFORMAT ">
              <w:r>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3117F5" w:rsidR="001E41F3" w:rsidRDefault="00304369">
            <w:pPr>
              <w:pStyle w:val="CRCoverPage"/>
              <w:spacing w:after="0"/>
              <w:ind w:left="100"/>
              <w:rPr>
                <w:noProof/>
              </w:rPr>
            </w:pPr>
            <w:fldSimple w:instr=" DOCPROPERTY  ResDate  \* MERGEFORMAT ">
              <w:r>
                <w:rPr>
                  <w:noProof/>
                </w:rPr>
                <w:t>2025-11-19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FF486" w:rsidR="001E41F3" w:rsidRDefault="008542A8">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246987" w:rsidR="001E41F3" w:rsidRDefault="00CA192A">
            <w:pPr>
              <w:pStyle w:val="CRCoverPage"/>
              <w:spacing w:after="0"/>
              <w:ind w:left="100"/>
              <w:rPr>
                <w:noProof/>
              </w:rPr>
            </w:pPr>
            <w:r>
              <w:rPr>
                <w:noProof/>
              </w:rPr>
              <w:t>IVAS rendering supports features that are currently missing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2B810" w:rsidR="001E41F3" w:rsidRDefault="00A463F1">
            <w:pPr>
              <w:pStyle w:val="CRCoverPage"/>
              <w:spacing w:after="0"/>
              <w:ind w:left="100"/>
              <w:rPr>
                <w:noProof/>
              </w:rPr>
            </w:pPr>
            <w:r>
              <w:rPr>
                <w:noProof/>
              </w:rPr>
              <w:t>Adds description of rendering features: object editing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90B93B" w:rsidR="001E41F3" w:rsidRDefault="002D6BA5">
            <w:pPr>
              <w:pStyle w:val="CRCoverPage"/>
              <w:spacing w:after="0"/>
              <w:ind w:left="100"/>
              <w:rPr>
                <w:noProof/>
              </w:rPr>
            </w:pPr>
            <w:r>
              <w:rPr>
                <w:noProof/>
              </w:rPr>
              <w:t>Implementers can miss essential IVAS rendering features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37D68F" w:rsidR="001E41F3" w:rsidRDefault="00304369">
            <w:pPr>
              <w:pStyle w:val="CRCoverPage"/>
              <w:spacing w:after="0"/>
              <w:ind w:left="100"/>
              <w:rPr>
                <w:noProof/>
              </w:rPr>
            </w:pPr>
            <w:r>
              <w:rPr>
                <w:noProof/>
              </w:rPr>
              <w:t>3.3, 4.2, 7.1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44793C" w:rsidR="001E41F3" w:rsidRDefault="002D6BA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EBCE83" w:rsidR="001E41F3" w:rsidRDefault="002D6B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37A7" w:rsidR="001E41F3" w:rsidRDefault="002D6B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C58D4B4" w14:textId="77777777" w:rsidR="00D342C7" w:rsidRPr="006639B1" w:rsidRDefault="00D342C7" w:rsidP="00D342C7">
      <w:pPr>
        <w:keepNext/>
        <w:keepLines/>
        <w:spacing w:before="180"/>
        <w:ind w:left="1134" w:hanging="1134"/>
        <w:textAlignment w:val="auto"/>
        <w:outlineLvl w:val="1"/>
        <w:rPr>
          <w:rFonts w:ascii="Arial" w:hAnsi="Arial" w:cs="Arial"/>
          <w:sz w:val="32"/>
          <w:lang w:val="en-US"/>
        </w:rPr>
      </w:pPr>
      <w:bookmarkStart w:id="1" w:name="_Toc129708873"/>
      <w:bookmarkStart w:id="2" w:name="_Toc156922632"/>
      <w:bookmarkStart w:id="3" w:name="_Toc170978861"/>
      <w:r w:rsidRPr="006639B1">
        <w:rPr>
          <w:rFonts w:ascii="Arial" w:hAnsi="Arial" w:cs="Arial"/>
          <w:sz w:val="32"/>
          <w:lang w:val="en-US"/>
        </w:rPr>
        <w:t>3.3</w:t>
      </w:r>
      <w:r w:rsidRPr="006639B1">
        <w:rPr>
          <w:rFonts w:ascii="Arial" w:hAnsi="Arial" w:cs="Arial"/>
          <w:sz w:val="32"/>
          <w:lang w:val="en-US"/>
        </w:rPr>
        <w:tab/>
        <w:t>Abbreviations</w:t>
      </w:r>
      <w:bookmarkEnd w:id="1"/>
      <w:bookmarkEnd w:id="2"/>
      <w:bookmarkEnd w:id="3"/>
    </w:p>
    <w:p w14:paraId="56E4F221" w14:textId="77777777" w:rsidR="00D342C7" w:rsidRPr="00BD4A72" w:rsidRDefault="00D342C7" w:rsidP="00D342C7">
      <w:pPr>
        <w:keepNext/>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For the purposes of the present document, the abbreviations given in TR 21.905 and the following apply. An abbreviation defined in the present document takes precedence over the definition of the same abbreviation, if any, in TR 21.905 [1].</w:t>
      </w:r>
    </w:p>
    <w:p w14:paraId="2829C125"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BRIR</w:t>
      </w:r>
      <w:r w:rsidRPr="00BD4A72">
        <w:rPr>
          <w:rFonts w:eastAsia="Calibri"/>
          <w:kern w:val="2"/>
          <w:lang w:val="en-US"/>
          <w14:ligatures w14:val="standardContextual"/>
        </w:rPr>
        <w:tab/>
        <w:t>Binaural Room Impulse Response</w:t>
      </w:r>
    </w:p>
    <w:p w14:paraId="64E36428"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CPE</w:t>
      </w:r>
      <w:r w:rsidRPr="00BD4A72">
        <w:rPr>
          <w:rFonts w:eastAsia="Calibri"/>
          <w:kern w:val="2"/>
          <w:lang w:val="en-US"/>
          <w14:ligatures w14:val="standardContextual"/>
        </w:rPr>
        <w:tab/>
        <w:t>Channel Pair Element</w:t>
      </w:r>
    </w:p>
    <w:p w14:paraId="028649D2"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EVS</w:t>
      </w:r>
      <w:r w:rsidRPr="00BD4A72">
        <w:rPr>
          <w:rFonts w:eastAsia="Calibri"/>
          <w:kern w:val="2"/>
          <w:lang w:val="en-US"/>
          <w14:ligatures w14:val="standardContextual"/>
        </w:rPr>
        <w:tab/>
        <w:t>Enhanced Voice Services</w:t>
      </w:r>
    </w:p>
    <w:p w14:paraId="74CAB75B"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HRIR</w:t>
      </w:r>
      <w:r w:rsidRPr="00BD4A72">
        <w:rPr>
          <w:rFonts w:eastAsia="Calibri"/>
          <w:kern w:val="2"/>
          <w:lang w:val="en-US"/>
          <w14:ligatures w14:val="standardContextual"/>
        </w:rPr>
        <w:tab/>
        <w:t>Head-Related Impulse Response</w:t>
      </w:r>
    </w:p>
    <w:p w14:paraId="1FE91580"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HRTF</w:t>
      </w:r>
      <w:r w:rsidRPr="00BD4A72">
        <w:rPr>
          <w:rFonts w:eastAsia="Calibri"/>
          <w:kern w:val="2"/>
          <w:lang w:val="en-US"/>
          <w14:ligatures w14:val="standardContextual"/>
        </w:rPr>
        <w:tab/>
        <w:t>Head-Related Transfer Function</w:t>
      </w:r>
    </w:p>
    <w:p w14:paraId="4BEA8838" w14:textId="1C8646AA"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ISM</w:t>
      </w:r>
      <w:r w:rsidRPr="00BD4A72">
        <w:rPr>
          <w:rFonts w:eastAsia="Calibri"/>
          <w:kern w:val="2"/>
          <w:lang w:val="en-US"/>
          <w14:ligatures w14:val="standardContextual"/>
        </w:rPr>
        <w:tab/>
      </w:r>
      <w:del w:id="4" w:author="Szczerba, Marek" w:date="2025-11-10T11:19:00Z" w16du:dateUtc="2025-11-10T10:19:00Z">
        <w:r w:rsidRPr="00BD4A72" w:rsidDel="00D342C7">
          <w:rPr>
            <w:rFonts w:eastAsia="Calibri"/>
            <w:kern w:val="2"/>
            <w:lang w:val="en-US"/>
            <w14:ligatures w14:val="standardContextual"/>
          </w:rPr>
          <w:delText xml:space="preserve">Individual </w:delText>
        </w:r>
      </w:del>
      <w:ins w:id="5" w:author="Szczerba, Marek" w:date="2025-11-10T11:19:00Z" w16du:dateUtc="2025-11-10T10:19:00Z">
        <w:r w:rsidRPr="00BD4A72">
          <w:rPr>
            <w:rFonts w:eastAsia="Calibri"/>
            <w:kern w:val="2"/>
            <w:lang w:val="en-US"/>
            <w14:ligatures w14:val="standardContextual"/>
          </w:rPr>
          <w:t xml:space="preserve">Independent </w:t>
        </w:r>
      </w:ins>
      <w:r w:rsidRPr="00BD4A72">
        <w:rPr>
          <w:rFonts w:eastAsia="Calibri"/>
          <w:kern w:val="2"/>
          <w:lang w:val="en-US"/>
          <w14:ligatures w14:val="standardContextual"/>
        </w:rPr>
        <w:t>Stream with Metadata</w:t>
      </w:r>
    </w:p>
    <w:p w14:paraId="7F78B970"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IVAS</w:t>
      </w:r>
      <w:r w:rsidRPr="00BD4A72">
        <w:rPr>
          <w:rFonts w:eastAsia="Calibri"/>
          <w:kern w:val="2"/>
          <w:lang w:val="en-US"/>
          <w14:ligatures w14:val="standardContextual"/>
        </w:rPr>
        <w:tab/>
        <w:t>Immersive Voice and Audio Services</w:t>
      </w:r>
    </w:p>
    <w:p w14:paraId="556EE982"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MASA</w:t>
      </w:r>
      <w:r w:rsidRPr="00BD4A72">
        <w:rPr>
          <w:rFonts w:eastAsia="Calibri"/>
          <w:kern w:val="2"/>
          <w:lang w:val="en-US"/>
          <w14:ligatures w14:val="standardContextual"/>
        </w:rPr>
        <w:tab/>
        <w:t>Metadata Assisted Spatial Audio</w:t>
      </w:r>
    </w:p>
    <w:p w14:paraId="1B0108C1"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MCT</w:t>
      </w:r>
      <w:r w:rsidRPr="00BD4A72">
        <w:rPr>
          <w:rFonts w:eastAsia="Calibri"/>
          <w:kern w:val="2"/>
          <w:lang w:val="en-US"/>
          <w14:ligatures w14:val="standardContextual"/>
        </w:rPr>
        <w:tab/>
        <w:t>Multi-channel Coding Tool</w:t>
      </w:r>
    </w:p>
    <w:p w14:paraId="279499FA" w14:textId="77777777" w:rsidR="00D342C7" w:rsidRPr="00BD4A72" w:rsidRDefault="00D342C7" w:rsidP="00D342C7">
      <w:pPr>
        <w:keepLines/>
        <w:spacing w:after="0" w:line="276" w:lineRule="auto"/>
        <w:ind w:left="1702" w:hanging="1418"/>
        <w:textAlignment w:val="auto"/>
        <w:rPr>
          <w:ins w:id="6" w:author="Szczerba, Marek" w:date="2025-11-10T11:19:00Z" w16du:dateUtc="2025-11-10T10:19:00Z"/>
          <w:rFonts w:eastAsia="Calibri"/>
          <w:kern w:val="2"/>
          <w:lang w:val="en-US"/>
          <w14:ligatures w14:val="standardContextual"/>
        </w:rPr>
      </w:pPr>
      <w:ins w:id="7" w:author="Szczerba, Marek" w:date="2025-11-10T11:19:00Z" w16du:dateUtc="2025-11-10T10:19:00Z">
        <w:r w:rsidRPr="00BD4A72">
          <w:rPr>
            <w:rFonts w:eastAsia="Calibri"/>
            <w:kern w:val="2"/>
            <w:lang w:val="en-US"/>
            <w14:ligatures w14:val="standardContextual"/>
          </w:rPr>
          <w:t>OMASA</w:t>
        </w:r>
        <w:r w:rsidRPr="00BD4A72">
          <w:rPr>
            <w:rFonts w:eastAsia="Calibri"/>
            <w:kern w:val="2"/>
            <w:lang w:val="en-US"/>
            <w14:ligatures w14:val="standardContextual"/>
          </w:rPr>
          <w:tab/>
          <w:t>Objects with MASA</w:t>
        </w:r>
      </w:ins>
    </w:p>
    <w:p w14:paraId="2E1FEBA0" w14:textId="77777777" w:rsidR="00D342C7" w:rsidRPr="00BD4A72" w:rsidRDefault="00D342C7" w:rsidP="00D342C7">
      <w:pPr>
        <w:keepLines/>
        <w:spacing w:after="0" w:line="276" w:lineRule="auto"/>
        <w:ind w:left="1702" w:hanging="1418"/>
        <w:textAlignment w:val="auto"/>
        <w:rPr>
          <w:ins w:id="8" w:author="Szczerba, Marek" w:date="2025-11-10T11:19:00Z" w16du:dateUtc="2025-11-10T10:19:00Z"/>
          <w:rFonts w:eastAsia="Calibri"/>
          <w:kern w:val="2"/>
          <w:lang w:val="en-US"/>
          <w14:ligatures w14:val="standardContextual"/>
        </w:rPr>
      </w:pPr>
      <w:ins w:id="9" w:author="Szczerba, Marek" w:date="2025-11-10T11:19:00Z" w16du:dateUtc="2025-11-10T10:19:00Z">
        <w:r w:rsidRPr="00BD4A72">
          <w:rPr>
            <w:rFonts w:eastAsia="Calibri"/>
            <w:kern w:val="2"/>
            <w:lang w:val="en-US"/>
            <w14:ligatures w14:val="standardContextual"/>
          </w:rPr>
          <w:t>OSBA</w:t>
        </w:r>
        <w:r w:rsidRPr="00BD4A72">
          <w:rPr>
            <w:rFonts w:eastAsia="Calibri"/>
            <w:kern w:val="2"/>
            <w:lang w:val="en-US"/>
            <w14:ligatures w14:val="standardContextual"/>
          </w:rPr>
          <w:tab/>
          <w:t>Objects with SBA</w:t>
        </w:r>
      </w:ins>
    </w:p>
    <w:p w14:paraId="0EFFCDAD"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RTP</w:t>
      </w:r>
      <w:r w:rsidRPr="00BD4A72">
        <w:rPr>
          <w:rFonts w:eastAsia="Calibri"/>
          <w:kern w:val="2"/>
          <w:lang w:val="en-US"/>
          <w14:ligatures w14:val="standardContextual"/>
        </w:rPr>
        <w:tab/>
        <w:t>Real-Time Protocol</w:t>
      </w:r>
    </w:p>
    <w:p w14:paraId="275C8B8A" w14:textId="77777777" w:rsidR="00D342C7" w:rsidRPr="00BD4A72" w:rsidRDefault="00D342C7" w:rsidP="00D342C7">
      <w:pPr>
        <w:keepLines/>
        <w:spacing w:after="0" w:line="276" w:lineRule="auto"/>
        <w:ind w:left="1702" w:hanging="1418"/>
        <w:textAlignment w:val="auto"/>
        <w:rPr>
          <w:ins w:id="10" w:author="Szczerba, Marek" w:date="2025-11-10T11:19:00Z" w16du:dateUtc="2025-11-10T10:19:00Z"/>
          <w:rFonts w:eastAsia="Calibri"/>
          <w:kern w:val="2"/>
          <w:lang w:val="en-US"/>
          <w14:ligatures w14:val="standardContextual"/>
        </w:rPr>
      </w:pPr>
      <w:ins w:id="11" w:author="Szczerba, Marek" w:date="2025-11-10T11:19:00Z" w16du:dateUtc="2025-11-10T10:19:00Z">
        <w:r w:rsidRPr="00BD4A72">
          <w:rPr>
            <w:rFonts w:eastAsia="Calibri"/>
            <w:kern w:val="2"/>
            <w:lang w:val="en-US"/>
            <w14:ligatures w14:val="standardContextual"/>
          </w:rPr>
          <w:t>SBA</w:t>
        </w:r>
        <w:r w:rsidRPr="00BD4A72">
          <w:rPr>
            <w:rFonts w:eastAsia="Calibri"/>
            <w:kern w:val="2"/>
            <w:lang w:val="en-US"/>
            <w14:ligatures w14:val="standardContextual"/>
          </w:rPr>
          <w:tab/>
          <w:t>Scene-Based Audio</w:t>
        </w:r>
      </w:ins>
    </w:p>
    <w:p w14:paraId="4BC12C68"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SCE</w:t>
      </w:r>
      <w:r w:rsidRPr="00BD4A72">
        <w:rPr>
          <w:rFonts w:eastAsia="Calibri"/>
          <w:kern w:val="2"/>
          <w:lang w:val="en-US"/>
          <w14:ligatures w14:val="standardContextual"/>
        </w:rPr>
        <w:tab/>
        <w:t>Single Channel Element</w:t>
      </w:r>
    </w:p>
    <w:p w14:paraId="4CD1622E" w14:textId="77777777" w:rsidR="00D342C7" w:rsidRPr="00BD4A72" w:rsidRDefault="00D342C7" w:rsidP="00D342C7">
      <w:pPr>
        <w:keepLines/>
        <w:spacing w:after="0" w:line="276" w:lineRule="auto"/>
        <w:ind w:left="1702" w:hanging="1418"/>
        <w:textAlignment w:val="auto"/>
        <w:rPr>
          <w:rFonts w:eastAsia="Calibri"/>
          <w:kern w:val="2"/>
          <w:lang w:val="en-US"/>
          <w14:ligatures w14:val="standardContextual"/>
        </w:rPr>
      </w:pPr>
      <w:r w:rsidRPr="00BD4A72">
        <w:rPr>
          <w:rFonts w:eastAsia="Calibri"/>
          <w:kern w:val="2"/>
          <w:lang w:val="en-US"/>
          <w14:ligatures w14:val="standardContextual"/>
        </w:rPr>
        <w:t>UE</w:t>
      </w:r>
      <w:r w:rsidRPr="00BD4A72">
        <w:rPr>
          <w:rFonts w:eastAsia="Calibri"/>
          <w:kern w:val="2"/>
          <w:lang w:val="en-US"/>
          <w14:ligatures w14:val="standardContextual"/>
        </w:rPr>
        <w:tab/>
        <w:t>User Equipment</w:t>
      </w:r>
    </w:p>
    <w:p w14:paraId="2B5EB612" w14:textId="77777777" w:rsidR="00255E62" w:rsidRDefault="00255E62" w:rsidP="00255E62">
      <w:pPr>
        <w:pStyle w:val="CRSeparator"/>
        <w:jc w:val="left"/>
      </w:pPr>
    </w:p>
    <w:p w14:paraId="1FD10212" w14:textId="5FED3D8A" w:rsidR="00907550" w:rsidRPr="00CE4669" w:rsidRDefault="00907550" w:rsidP="00907550">
      <w:pPr>
        <w:pStyle w:val="CRSeparator"/>
      </w:pPr>
      <w:r w:rsidRPr="00CE4669">
        <w:t>==============Next change==============</w:t>
      </w:r>
    </w:p>
    <w:p w14:paraId="540C8DBA" w14:textId="77777777" w:rsidR="009B1E63" w:rsidRPr="006639B1" w:rsidRDefault="009B1E63" w:rsidP="009B1E63">
      <w:pPr>
        <w:keepNext/>
        <w:keepLines/>
        <w:spacing w:before="180"/>
        <w:ind w:left="1134" w:hanging="1134"/>
        <w:textAlignment w:val="auto"/>
        <w:outlineLvl w:val="1"/>
        <w:rPr>
          <w:rFonts w:ascii="Arial" w:hAnsi="Arial" w:cs="Arial"/>
          <w:sz w:val="32"/>
          <w:lang w:val="en-US"/>
        </w:rPr>
      </w:pPr>
      <w:bookmarkStart w:id="12" w:name="_Toc156922635"/>
      <w:bookmarkStart w:id="13" w:name="_Toc170978864"/>
      <w:r w:rsidRPr="006639B1">
        <w:rPr>
          <w:rFonts w:ascii="Arial" w:hAnsi="Arial" w:cs="Arial"/>
          <w:sz w:val="32"/>
          <w:lang w:val="en-US"/>
        </w:rPr>
        <w:t>4.2</w:t>
      </w:r>
      <w:r w:rsidRPr="006639B1">
        <w:rPr>
          <w:rFonts w:ascii="Arial" w:hAnsi="Arial" w:cs="Arial"/>
          <w:sz w:val="32"/>
          <w:lang w:val="en-US"/>
        </w:rPr>
        <w:tab/>
        <w:t>IVAS rendering</w:t>
      </w:r>
      <w:bookmarkEnd w:id="12"/>
      <w:bookmarkEnd w:id="13"/>
    </w:p>
    <w:p w14:paraId="00A5F064"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Rendering is the process of generating digital audio output from the decoded digital audio signal. Rendering is used when output format is different than input format. In case output format is the same as input format, the decoded audio channels are simply passed through to the output channels. Binaural rendering is a special case, where binaural output channels are prepared for headphone reproduction. This process includes head-tracking and scene orientation control, head-related transfer function processing, and room acoustic synthesis. Rendering for loudspeaker reproduction is also supported for preset or custom loudspeaker configurations.</w:t>
      </w:r>
    </w:p>
    <w:p w14:paraId="7903DB4E"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IVAS rendering is available as an integral component of the IVAS decoder (internal renderer) or can be operated standalone as external rendering. The external renderer can be applied, e.g., in the case of rendering outputs originating from multiple sources, such as decoders or audio streams.</w:t>
      </w:r>
    </w:p>
    <w:p w14:paraId="24013B45" w14:textId="713318C3"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 xml:space="preserve">IVAS rendering </w:t>
      </w:r>
      <w:del w:id="14" w:author="Szczerba, Marek" w:date="2025-11-10T12:42:00Z" w16du:dateUtc="2025-11-10T11:42:00Z">
        <w:r w:rsidR="00465087" w:rsidRPr="00BD4A72" w:rsidDel="00C7723F">
          <w:rPr>
            <w:rFonts w:eastAsia="Calibri"/>
            <w:kern w:val="2"/>
            <w:lang w:val="en-US" w:eastAsia="en-US"/>
            <w14:ligatures w14:val="standardContextual"/>
          </w:rPr>
          <w:delText xml:space="preserve">reflect related design constraints, </w:delText>
        </w:r>
      </w:del>
      <w:r w:rsidRPr="00BD4A72">
        <w:rPr>
          <w:rFonts w:eastAsia="Calibri"/>
          <w:kern w:val="2"/>
          <w:lang w:val="en-US" w:eastAsia="en-US"/>
          <w14:ligatures w14:val="standardContextual"/>
        </w:rPr>
        <w:t>includ</w:t>
      </w:r>
      <w:del w:id="15" w:author="Szczerba, Marek" w:date="2025-11-10T12:42:00Z" w16du:dateUtc="2025-11-10T11:42:00Z">
        <w:r w:rsidR="00465087" w:rsidRPr="00BD4A72" w:rsidDel="00C7723F">
          <w:rPr>
            <w:rFonts w:eastAsia="Calibri"/>
            <w:kern w:val="2"/>
            <w:lang w:val="en-US" w:eastAsia="en-US"/>
            <w14:ligatures w14:val="standardContextual"/>
          </w:rPr>
          <w:delText>ing</w:delText>
        </w:r>
      </w:del>
      <w:ins w:id="16" w:author="Szczerba, Marek" w:date="2025-11-10T12:42:00Z" w16du:dateUtc="2025-11-10T11:42:00Z">
        <w:r w:rsidR="00C7723F" w:rsidRPr="00BD4A72">
          <w:rPr>
            <w:rFonts w:eastAsia="Calibri"/>
            <w:kern w:val="2"/>
            <w:lang w:val="en-US" w:eastAsia="en-US"/>
            <w14:ligatures w14:val="standardContextual"/>
          </w:rPr>
          <w:t>e</w:t>
        </w:r>
      </w:ins>
      <w:r w:rsidRPr="00BD4A72">
        <w:rPr>
          <w:rFonts w:eastAsia="Calibri"/>
          <w:kern w:val="2"/>
          <w:lang w:val="en-US" w:eastAsia="en-US"/>
          <w14:ligatures w14:val="standardContextual"/>
        </w:rPr>
        <w:t>:</w:t>
      </w:r>
    </w:p>
    <w:p w14:paraId="7218EA63" w14:textId="77777777" w:rsidR="00916287" w:rsidRPr="00BD4A72" w:rsidRDefault="009B1E63" w:rsidP="00756E05">
      <w:pPr>
        <w:pStyle w:val="ListParagraph"/>
        <w:numPr>
          <w:ilvl w:val="0"/>
          <w:numId w:val="2"/>
        </w:numPr>
        <w:spacing w:after="160" w:line="276" w:lineRule="auto"/>
        <w:textAlignment w:val="auto"/>
        <w:rPr>
          <w:rFonts w:eastAsia="Calibri"/>
          <w:kern w:val="2"/>
          <w:lang w:val="en-US"/>
          <w14:ligatures w14:val="standardContextual"/>
        </w:rPr>
      </w:pPr>
      <w:r w:rsidRPr="00BD4A72">
        <w:rPr>
          <w:rFonts w:eastAsia="Calibri"/>
          <w:kern w:val="2"/>
          <w:lang w:val="en-US"/>
          <w14:ligatures w14:val="standardContextual"/>
        </w:rPr>
        <w:t>support for provisioning of HRIR/BRIR filter sets as control data for binaural rendering. The format of HRIR/BRIR data is provided in clause 5.10 of [5],</w:t>
      </w:r>
    </w:p>
    <w:p w14:paraId="5669D6E3" w14:textId="77777777" w:rsidR="004F45C6" w:rsidRPr="00BD4A72" w:rsidRDefault="009B1E63" w:rsidP="00916287">
      <w:pPr>
        <w:pStyle w:val="ListParagraph"/>
        <w:numPr>
          <w:ilvl w:val="0"/>
          <w:numId w:val="2"/>
        </w:numPr>
        <w:spacing w:after="160" w:line="276" w:lineRule="auto"/>
        <w:textAlignment w:val="auto"/>
        <w:rPr>
          <w:rFonts w:eastAsia="Calibri"/>
          <w:kern w:val="2"/>
          <w:lang w:val="en-US"/>
          <w14:ligatures w14:val="standardContextual"/>
        </w:rPr>
      </w:pPr>
      <w:r w:rsidRPr="00BD4A72">
        <w:rPr>
          <w:rFonts w:eastAsia="Calibri"/>
          <w:kern w:val="2"/>
          <w:lang w:val="en-US"/>
          <w14:ligatures w14:val="standardContextual"/>
        </w:rPr>
        <w:t>support for default HRIR/BRIR sets for binaural rendering,</w:t>
      </w:r>
    </w:p>
    <w:p w14:paraId="36F6DC36" w14:textId="77777777" w:rsidR="00777A50" w:rsidRPr="00BD4A72" w:rsidRDefault="005A6DA3" w:rsidP="00777A50">
      <w:pPr>
        <w:pStyle w:val="ListParagraph"/>
        <w:numPr>
          <w:ilvl w:val="0"/>
          <w:numId w:val="2"/>
        </w:numPr>
        <w:spacing w:after="160" w:line="276" w:lineRule="auto"/>
        <w:textAlignment w:val="auto"/>
        <w:rPr>
          <w:ins w:id="17" w:author="Szczerba, Marek" w:date="2025-11-10T13:25:00Z" w16du:dateUtc="2025-11-10T12:25:00Z"/>
          <w:rFonts w:eastAsia="Calibri"/>
          <w:kern w:val="2"/>
          <w:lang w:val="en-US"/>
          <w14:ligatures w14:val="standardContextual"/>
        </w:rPr>
      </w:pPr>
      <w:ins w:id="18" w:author="Szczerba, Marek" w:date="2025-11-10T13:06:00Z" w16du:dateUtc="2025-11-10T12:06:00Z">
        <w:r w:rsidRPr="00BD4A72">
          <w:rPr>
            <w:rFonts w:eastAsia="Calibri"/>
            <w:kern w:val="2"/>
            <w:lang w:val="en-US"/>
            <w14:ligatures w14:val="standardContextual"/>
          </w:rPr>
          <w:t>support for rendering control feature</w:t>
        </w:r>
      </w:ins>
      <w:ins w:id="19" w:author="Szczerba, Marek" w:date="2025-11-10T13:19:00Z" w16du:dateUtc="2025-11-10T12:19:00Z">
        <w:r w:rsidR="00EC1C7D" w:rsidRPr="00BD4A72">
          <w:rPr>
            <w:rFonts w:eastAsia="Calibri"/>
            <w:kern w:val="2"/>
            <w:lang w:val="en-US"/>
            <w14:ligatures w14:val="standardContextual"/>
          </w:rPr>
          <w:t>s</w:t>
        </w:r>
      </w:ins>
      <w:ins w:id="20" w:author="Szczerba, Marek" w:date="2025-11-10T13:06:00Z" w16du:dateUtc="2025-11-10T12:06:00Z">
        <w:r w:rsidRPr="00BD4A72">
          <w:rPr>
            <w:rFonts w:eastAsia="Calibri"/>
            <w:kern w:val="2"/>
            <w:lang w:val="en-US"/>
            <w14:ligatures w14:val="standardContextual"/>
          </w:rPr>
          <w:t>:</w:t>
        </w:r>
      </w:ins>
    </w:p>
    <w:p w14:paraId="432E5106" w14:textId="25ABAB89" w:rsidR="00483D62" w:rsidRPr="00BD4A72" w:rsidRDefault="0019519C" w:rsidP="00B028B4">
      <w:pPr>
        <w:pStyle w:val="ListParagraph"/>
        <w:numPr>
          <w:ilvl w:val="1"/>
          <w:numId w:val="2"/>
        </w:numPr>
        <w:spacing w:after="160" w:line="276" w:lineRule="auto"/>
        <w:ind w:left="993"/>
        <w:textAlignment w:val="auto"/>
        <w:rPr>
          <w:ins w:id="21" w:author="Szczerba, Marek" w:date="2025-11-10T13:26:00Z" w16du:dateUtc="2025-11-10T12:26:00Z"/>
          <w:rFonts w:eastAsia="Calibri"/>
          <w:kern w:val="2"/>
          <w:lang w:val="en-US"/>
          <w14:ligatures w14:val="standardContextual"/>
        </w:rPr>
      </w:pPr>
      <w:del w:id="22" w:author="Szczerba, Marek" w:date="2025-11-10T13:23:00Z" w16du:dateUtc="2025-11-10T12:23:00Z">
        <w:r w:rsidRPr="00BD4A72" w:rsidDel="00ED7271">
          <w:rPr>
            <w:rFonts w:eastAsia="Calibri"/>
            <w:kern w:val="2"/>
            <w:lang w:val="en-US"/>
            <w14:ligatures w14:val="standardContextual"/>
          </w:rPr>
          <w:delText xml:space="preserve">support for </w:delText>
        </w:r>
      </w:del>
      <w:r w:rsidR="009B1E63" w:rsidRPr="00BD4A72">
        <w:rPr>
          <w:rFonts w:eastAsia="Calibri"/>
          <w:kern w:val="2"/>
          <w:lang w:val="en-US"/>
          <w14:ligatures w14:val="standardContextual"/>
        </w:rPr>
        <w:t xml:space="preserve">head-tracking data as control data </w:t>
      </w:r>
      <w:ins w:id="23" w:author="Szczerba, Marek" w:date="2025-11-10T13:23:00Z" w16du:dateUtc="2025-11-10T12:23:00Z">
        <w:r w:rsidR="00ED7271" w:rsidRPr="00BD4A72">
          <w:rPr>
            <w:rFonts w:eastAsia="Calibri"/>
            <w:kern w:val="2"/>
            <w:lang w:val="en-US"/>
            <w14:ligatures w14:val="standardContextual"/>
          </w:rPr>
          <w:t xml:space="preserve">and external orientation data </w:t>
        </w:r>
      </w:ins>
      <w:r w:rsidR="009B1E63" w:rsidRPr="00BD4A72">
        <w:rPr>
          <w:rFonts w:eastAsia="Calibri"/>
          <w:kern w:val="2"/>
          <w:lang w:val="en-US"/>
          <w14:ligatures w14:val="standardContextual"/>
        </w:rPr>
        <w:t xml:space="preserve">for binaural audio rendering in quaternions </w:t>
      </w:r>
      <w:ins w:id="24" w:author="Szczerba, Marek" w:date="2025-11-10T13:23:00Z" w16du:dateUtc="2025-11-10T12:23:00Z">
        <w:r w:rsidR="00ED7271" w:rsidRPr="00BD4A72">
          <w:rPr>
            <w:rFonts w:eastAsia="Calibri"/>
            <w:kern w:val="2"/>
            <w:lang w:val="en-US"/>
            <w14:ligatures w14:val="standardContextual"/>
          </w:rPr>
          <w:t>(</w:t>
        </w:r>
      </w:ins>
      <w:r w:rsidR="009B1E63" w:rsidRPr="00BD4A72">
        <w:rPr>
          <w:rFonts w:eastAsia="Calibri"/>
          <w:kern w:val="2"/>
          <w:lang w:val="en-US"/>
          <w14:ligatures w14:val="standardContextual"/>
        </w:rPr>
        <w:t xml:space="preserve">and </w:t>
      </w:r>
      <w:ins w:id="25" w:author="Szczerba, Marek" w:date="2025-11-10T13:23:00Z" w16du:dateUtc="2025-11-10T12:23:00Z">
        <w:r w:rsidR="00ED7271" w:rsidRPr="00BD4A72">
          <w:rPr>
            <w:rFonts w:eastAsia="Calibri"/>
            <w:kern w:val="2"/>
            <w:lang w:val="en-US"/>
            <w14:ligatures w14:val="standardContextual"/>
          </w:rPr>
          <w:t>for head-tra</w:t>
        </w:r>
      </w:ins>
      <w:ins w:id="26" w:author="Szczerba, Marek" w:date="2025-11-10T13:24:00Z" w16du:dateUtc="2025-11-10T12:24:00Z">
        <w:r w:rsidR="00ED7271" w:rsidRPr="00BD4A72">
          <w:rPr>
            <w:rFonts w:eastAsia="Calibri"/>
            <w:kern w:val="2"/>
            <w:lang w:val="en-US"/>
            <w14:ligatures w14:val="standardContextual"/>
          </w:rPr>
          <w:t xml:space="preserve">cking also </w:t>
        </w:r>
      </w:ins>
      <w:r w:rsidR="009B1E63" w:rsidRPr="00BD4A72">
        <w:rPr>
          <w:rFonts w:eastAsia="Calibri"/>
          <w:kern w:val="2"/>
          <w:lang w:val="en-US"/>
          <w14:ligatures w14:val="standardContextual"/>
        </w:rPr>
        <w:t>in Euler notation</w:t>
      </w:r>
      <w:ins w:id="27" w:author="Szczerba, Marek" w:date="2025-11-10T13:24:00Z" w16du:dateUtc="2025-11-10T12:24:00Z">
        <w:r w:rsidR="00D547C0" w:rsidRPr="00BD4A72">
          <w:rPr>
            <w:rFonts w:eastAsia="Calibri"/>
            <w:kern w:val="2"/>
            <w:lang w:val="en-US"/>
            <w14:ligatures w14:val="standardContextual"/>
          </w:rPr>
          <w:t>)</w:t>
        </w:r>
      </w:ins>
      <w:r w:rsidR="009B1E63" w:rsidRPr="00BD4A72">
        <w:rPr>
          <w:rFonts w:eastAsia="Calibri"/>
          <w:kern w:val="2"/>
          <w:lang w:val="en-US"/>
          <w14:ligatures w14:val="standardContextual"/>
        </w:rPr>
        <w:t xml:space="preserve">. The format of </w:t>
      </w:r>
      <w:del w:id="28" w:author="Szczerba, Marek" w:date="2025-11-10T13:24:00Z" w16du:dateUtc="2025-11-10T12:24:00Z">
        <w:r w:rsidR="008706DD" w:rsidRPr="00BD4A72" w:rsidDel="00777A50">
          <w:rPr>
            <w:rFonts w:eastAsia="Calibri"/>
            <w:kern w:val="2"/>
            <w:lang w:val="en-US"/>
            <w14:ligatures w14:val="standardContextual"/>
          </w:rPr>
          <w:delText>head-tracking</w:delText>
        </w:r>
      </w:del>
      <w:ins w:id="29" w:author="Szczerba, Marek" w:date="2025-11-10T13:24:00Z" w16du:dateUtc="2025-11-10T12:24:00Z">
        <w:r w:rsidR="00777A50" w:rsidRPr="00BD4A72">
          <w:rPr>
            <w:rFonts w:eastAsia="Calibri"/>
            <w:kern w:val="2"/>
            <w:lang w:val="en-US"/>
            <w14:ligatures w14:val="standardContextual"/>
          </w:rPr>
          <w:t>orientation</w:t>
        </w:r>
      </w:ins>
      <w:r w:rsidR="008706DD" w:rsidRPr="00BD4A72">
        <w:rPr>
          <w:rFonts w:eastAsia="Calibri"/>
          <w:kern w:val="2"/>
          <w:lang w:val="en-US"/>
          <w14:ligatures w14:val="standardContextual"/>
        </w:rPr>
        <w:t xml:space="preserve"> </w:t>
      </w:r>
      <w:r w:rsidR="009B1E63" w:rsidRPr="00BD4A72">
        <w:rPr>
          <w:rFonts w:eastAsia="Calibri"/>
          <w:kern w:val="2"/>
          <w:lang w:val="en-US"/>
          <w14:ligatures w14:val="standardContextual"/>
        </w:rPr>
        <w:t xml:space="preserve">data is provided in clause 5.11 of </w:t>
      </w:r>
      <w:ins w:id="30" w:author="Szczerba, Marek" w:date="2025-11-11T20:40:00Z" w16du:dateUtc="2025-11-11T19:40:00Z">
        <w:r w:rsidR="008D46CD" w:rsidRPr="00BD4A72">
          <w:rPr>
            <w:rFonts w:eastAsia="Calibri"/>
            <w:kern w:val="2"/>
            <w:lang w:val="en-US"/>
            <w14:ligatures w14:val="standardContextual"/>
          </w:rPr>
          <w:t xml:space="preserve">[3] and </w:t>
        </w:r>
      </w:ins>
      <w:r w:rsidR="009B1E63" w:rsidRPr="00BD4A72">
        <w:rPr>
          <w:rFonts w:eastAsia="Calibri"/>
          <w:kern w:val="2"/>
          <w:lang w:val="en-US"/>
          <w14:ligatures w14:val="standardContextual"/>
        </w:rPr>
        <w:t>[5],</w:t>
      </w:r>
    </w:p>
    <w:p w14:paraId="14C0068D" w14:textId="37D57153" w:rsidR="00892D6D" w:rsidRPr="00BD4A72" w:rsidRDefault="00557B3F" w:rsidP="00141D7A">
      <w:pPr>
        <w:pStyle w:val="ListParagraph"/>
        <w:numPr>
          <w:ilvl w:val="1"/>
          <w:numId w:val="2"/>
        </w:numPr>
        <w:spacing w:after="160" w:line="276" w:lineRule="auto"/>
        <w:ind w:left="993"/>
        <w:textAlignment w:val="auto"/>
        <w:rPr>
          <w:ins w:id="31" w:author="Szczerba, Marek" w:date="2025-11-11T20:57:00Z" w16du:dateUtc="2025-11-11T19:57:00Z"/>
          <w:lang w:val="en-US"/>
        </w:rPr>
      </w:pPr>
      <w:del w:id="32" w:author="Szczerba, Marek" w:date="2025-11-10T13:26:00Z" w16du:dateUtc="2025-11-10T12:26:00Z">
        <w:r w:rsidRPr="00BD4A72" w:rsidDel="00483D62">
          <w:rPr>
            <w:rFonts w:eastAsia="Calibri"/>
            <w:kern w:val="2"/>
            <w:lang w:val="en-US"/>
            <w14:ligatures w14:val="standardContextual"/>
          </w:rPr>
          <w:delText xml:space="preserve">support for </w:delText>
        </w:r>
      </w:del>
      <w:r w:rsidR="009B1E63" w:rsidRPr="00BD4A72">
        <w:rPr>
          <w:rFonts w:eastAsia="Calibri"/>
          <w:kern w:val="2"/>
          <w:lang w:val="en-US"/>
          <w14:ligatures w14:val="standardContextual"/>
        </w:rPr>
        <w:t xml:space="preserve">binaural reverb and early reflections controlled by reverb parameters, the format of reverb parameters is provided in clause 5.14.1, and in Annex B of </w:t>
      </w:r>
      <w:ins w:id="33" w:author="Szczerba, Marek" w:date="2025-11-11T20:40:00Z" w16du:dateUtc="2025-11-11T19:40:00Z">
        <w:r w:rsidR="008D46CD" w:rsidRPr="00BD4A72">
          <w:rPr>
            <w:rFonts w:eastAsia="Calibri"/>
            <w:kern w:val="2"/>
            <w:lang w:val="en-US"/>
            <w14:ligatures w14:val="standardContextual"/>
          </w:rPr>
          <w:t xml:space="preserve">[3] and </w:t>
        </w:r>
      </w:ins>
      <w:r w:rsidR="009B1E63" w:rsidRPr="00BD4A72">
        <w:rPr>
          <w:rFonts w:eastAsia="Calibri"/>
          <w:kern w:val="2"/>
          <w:lang w:val="en-US"/>
          <w14:ligatures w14:val="standardContextual"/>
        </w:rPr>
        <w:t>[5]</w:t>
      </w:r>
      <w:del w:id="34" w:author="Szczerba, Marek" w:date="2025-11-10T13:26:00Z" w16du:dateUtc="2025-11-10T12:26:00Z">
        <w:r w:rsidR="009B1E63" w:rsidRPr="00BD4A72" w:rsidDel="00483D62">
          <w:rPr>
            <w:rFonts w:eastAsia="Calibri"/>
            <w:kern w:val="2"/>
            <w:lang w:val="en-US"/>
            <w14:ligatures w14:val="standardContextual"/>
          </w:rPr>
          <w:delText>.</w:delText>
        </w:r>
      </w:del>
      <w:ins w:id="35" w:author="Szczerba, Marek" w:date="2025-11-10T13:26:00Z" w16du:dateUtc="2025-11-10T12:26:00Z">
        <w:r w:rsidR="00483D62" w:rsidRPr="00BD4A72">
          <w:rPr>
            <w:rFonts w:eastAsia="Calibri"/>
            <w:kern w:val="2"/>
            <w:lang w:val="en-US"/>
            <w14:ligatures w14:val="standardContextual"/>
          </w:rPr>
          <w:t>,</w:t>
        </w:r>
      </w:ins>
    </w:p>
    <w:p w14:paraId="7782846E" w14:textId="68EADA27" w:rsidR="000E3C03" w:rsidRPr="00BD4A72" w:rsidRDefault="002C07F4" w:rsidP="00141D7A">
      <w:pPr>
        <w:pStyle w:val="ListParagraph"/>
        <w:numPr>
          <w:ilvl w:val="1"/>
          <w:numId w:val="2"/>
        </w:numPr>
        <w:spacing w:after="160" w:line="276" w:lineRule="auto"/>
        <w:ind w:left="993"/>
        <w:textAlignment w:val="auto"/>
        <w:rPr>
          <w:ins w:id="36" w:author="Szczerba, Marek" w:date="2025-11-10T13:29:00Z" w16du:dateUtc="2025-11-10T12:29:00Z"/>
          <w:lang w:val="en-US"/>
        </w:rPr>
      </w:pPr>
      <w:ins w:id="37" w:author="Szczerba, Marek" w:date="2025-11-11T20:57:00Z" w16du:dateUtc="2025-11-11T19:57:00Z">
        <w:r w:rsidRPr="00BD4A72">
          <w:rPr>
            <w:rFonts w:eastAsia="Calibri"/>
            <w:kern w:val="2"/>
            <w:lang w:val="en-US"/>
            <w14:ligatures w14:val="standardContextual"/>
          </w:rPr>
          <w:t>object editing of decoded ISM, OMASA, and OSBA bitstreams in internal IVAS renderer (clause 5) according to interface provided in clause 5.18 of [3] and [5].</w:t>
        </w:r>
      </w:ins>
    </w:p>
    <w:p w14:paraId="009447B1" w14:textId="32D966A2" w:rsidR="00483D62" w:rsidRPr="00BD4A72" w:rsidDel="0091417A" w:rsidRDefault="00483D62" w:rsidP="00141D7A">
      <w:pPr>
        <w:pStyle w:val="ListParagraph"/>
        <w:numPr>
          <w:ilvl w:val="1"/>
          <w:numId w:val="2"/>
        </w:numPr>
        <w:spacing w:after="160" w:line="276" w:lineRule="auto"/>
        <w:ind w:left="993"/>
        <w:textAlignment w:val="auto"/>
        <w:rPr>
          <w:del w:id="38" w:author="Szczerba, Marek" w:date="2025-11-10T13:28:00Z" w16du:dateUtc="2025-11-10T12:28:00Z"/>
          <w:lang w:val="en-US"/>
        </w:rPr>
      </w:pPr>
    </w:p>
    <w:p w14:paraId="63A410E5" w14:textId="77777777" w:rsidR="009B1E63" w:rsidRPr="00BD4A72" w:rsidRDefault="009B1E63" w:rsidP="009B1E63">
      <w:pPr>
        <w:overflowPunct/>
        <w:autoSpaceDE/>
        <w:autoSpaceDN/>
        <w:adjustRightInd/>
        <w:spacing w:after="160" w:line="276" w:lineRule="auto"/>
        <w:textAlignment w:val="auto"/>
        <w:rPr>
          <w:rFonts w:eastAsia="Calibri"/>
          <w:kern w:val="2"/>
          <w:lang w:val="en-NL" w:eastAsia="en-US"/>
          <w14:ligatures w14:val="standardContextual"/>
        </w:rPr>
      </w:pPr>
      <w:bookmarkStart w:id="39" w:name="_Hlk162468918"/>
      <w:r w:rsidRPr="00BD4A72">
        <w:rPr>
          <w:rFonts w:eastAsia="Calibri"/>
          <w:kern w:val="2"/>
          <w:lang w:val="en-NL" w:eastAsia="en-US"/>
          <w14:ligatures w14:val="standardContextual"/>
        </w:rPr>
        <w:lastRenderedPageBreak/>
        <w:t>A special feature of the renderer is that it supports split operation with pre-rendering and transcoding to a head-trackable intermediate representation that can be transmitted to a post-rendering end-device. This enables moving a large part of the processing load and memory requirements for IVAS decoding and rendering to a (more) capable node/UE while offloading the final rendering end-device.</w:t>
      </w:r>
      <w:bookmarkEnd w:id="39"/>
      <w:r w:rsidRPr="00BD4A72">
        <w:rPr>
          <w:rFonts w:eastAsia="Calibri"/>
          <w:kern w:val="2"/>
          <w:lang w:val="en-NL" w:eastAsia="en-US"/>
          <w14:ligatures w14:val="standardContextual"/>
        </w:rPr>
        <w:t xml:space="preserve"> </w:t>
      </w:r>
      <w:bookmarkStart w:id="40" w:name="_Hlk162963652"/>
      <w:r w:rsidRPr="00BD4A72">
        <w:rPr>
          <w:rFonts w:eastAsia="Calibri"/>
          <w:kern w:val="2"/>
          <w:lang w:val="en-NL" w:eastAsia="en-US"/>
          <w14:ligatures w14:val="standardContextual"/>
        </w:rPr>
        <w:t>The IVAS specific split rendering functionality is mostly described in TS 26.253 [4] whereas more generic split rendering functionality is specified in TS 26.249 [6].</w:t>
      </w:r>
      <w:bookmarkEnd w:id="40"/>
    </w:p>
    <w:p w14:paraId="282905E6" w14:textId="77777777" w:rsidR="009B1E63" w:rsidRPr="00BD4A72" w:rsidRDefault="009B1E63" w:rsidP="009B1E63">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This document provides a high-level specification of the internal (clause 5) and external renderer (clause 6). Furthermore, the rendering library interface is provided (clause 7). Split rendering is described on high level in clause 8. Specific rendering algorithms and processing paths are out of scope of this specification and are provided in TS 26.253 [4].</w:t>
      </w:r>
    </w:p>
    <w:p w14:paraId="13D9881C" w14:textId="77777777" w:rsidR="00DE05C3" w:rsidRPr="00CE4669" w:rsidRDefault="00DE05C3" w:rsidP="00DE05C3">
      <w:pPr>
        <w:pStyle w:val="CRSeparator"/>
      </w:pPr>
      <w:r w:rsidRPr="00CE4669">
        <w:t>==============Next change==============</w:t>
      </w:r>
    </w:p>
    <w:p w14:paraId="3FAB1FD7" w14:textId="77777777" w:rsidR="00E22A4C" w:rsidRPr="006639B1" w:rsidRDefault="00E22A4C" w:rsidP="00E22A4C">
      <w:pPr>
        <w:keepNext/>
        <w:keepLines/>
        <w:spacing w:before="180"/>
        <w:ind w:left="1134" w:hanging="1134"/>
        <w:textAlignment w:val="auto"/>
        <w:outlineLvl w:val="1"/>
        <w:rPr>
          <w:rFonts w:ascii="Arial" w:hAnsi="Arial" w:cs="Arial"/>
          <w:sz w:val="32"/>
          <w:lang w:val="en-US"/>
        </w:rPr>
      </w:pPr>
      <w:bookmarkStart w:id="41" w:name="_Toc156922649"/>
      <w:bookmarkStart w:id="42" w:name="_Toc170978878"/>
      <w:r w:rsidRPr="006639B1">
        <w:rPr>
          <w:rFonts w:ascii="Arial" w:hAnsi="Arial" w:cs="Arial"/>
          <w:sz w:val="32"/>
          <w:lang w:val="en-US"/>
        </w:rPr>
        <w:t>7.1</w:t>
      </w:r>
      <w:r w:rsidRPr="006639B1">
        <w:rPr>
          <w:rFonts w:ascii="Arial" w:hAnsi="Arial" w:cs="Arial"/>
          <w:sz w:val="32"/>
          <w:lang w:val="en-US"/>
        </w:rPr>
        <w:tab/>
        <w:t>High-level rendering interface description</w:t>
      </w:r>
      <w:bookmarkEnd w:id="41"/>
      <w:bookmarkEnd w:id="42"/>
    </w:p>
    <w:p w14:paraId="22F1516D" w14:textId="77777777" w:rsidR="00E22A4C" w:rsidRPr="00BD4A72"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IVAS renderer and its interface provide support to IVAS codec design constraints. The rendering modes and rendering control mechanisms are discussed in clause of TS 26.253 [4].</w:t>
      </w:r>
    </w:p>
    <w:p w14:paraId="1ECD7FAB" w14:textId="02CFDC05" w:rsidR="00E22A4C" w:rsidRPr="00BD4A72" w:rsidRDefault="00E22A4C" w:rsidP="00E22A4C">
      <w:pPr>
        <w:overflowPunct/>
        <w:autoSpaceDE/>
        <w:autoSpaceDN/>
        <w:adjustRightInd/>
        <w:spacing w:after="160" w:line="276" w:lineRule="auto"/>
        <w:textAlignment w:val="auto"/>
        <w:rPr>
          <w:rFonts w:eastAsia="Calibri"/>
          <w:kern w:val="2"/>
          <w:lang w:val="en-US" w:eastAsia="en-US"/>
          <w14:ligatures w14:val="standardContextual"/>
        </w:rPr>
      </w:pPr>
      <w:r w:rsidRPr="00BD4A72">
        <w:rPr>
          <w:rFonts w:eastAsia="Calibri"/>
          <w:kern w:val="2"/>
          <w:lang w:val="en-US" w:eastAsia="en-US"/>
          <w14:ligatures w14:val="standardContextual"/>
        </w:rPr>
        <w:t>The details of the rendering library API are provided in TS 26.251 [3] for the fixed-point code and TS 26.258 [5] for the floating-point code. The API functions of the IVAS rendering library provide access to the following groups of functionalities:</w:t>
      </w:r>
    </w:p>
    <w:p w14:paraId="636A705E" w14:textId="77777777" w:rsidR="00461BFC" w:rsidRPr="00BD4A72" w:rsidRDefault="00E22A4C" w:rsidP="00461BFC">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Initialization,</w:t>
      </w:r>
    </w:p>
    <w:p w14:paraId="459E6E2C" w14:textId="46DC7CC1" w:rsidR="00461BFC" w:rsidRPr="00BD4A72" w:rsidRDefault="00E22A4C" w:rsidP="005D149D">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Configuration (input/output),</w:t>
      </w:r>
    </w:p>
    <w:p w14:paraId="71DF9EB9" w14:textId="5E07E257" w:rsidR="00887402" w:rsidRPr="00BD4A72" w:rsidRDefault="00E22A4C" w:rsidP="004E794A">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Metadata (input/output),</w:t>
      </w:r>
    </w:p>
    <w:p w14:paraId="6DC0DA58" w14:textId="77777777" w:rsidR="00887402" w:rsidRPr="00BD4A72" w:rsidRDefault="00E22A4C" w:rsidP="00CE5705">
      <w:pPr>
        <w:pStyle w:val="ListParagraph"/>
        <w:numPr>
          <w:ilvl w:val="0"/>
          <w:numId w:val="3"/>
        </w:numPr>
        <w:spacing w:after="160" w:line="276" w:lineRule="auto"/>
        <w:ind w:left="644"/>
        <w:textAlignment w:val="auto"/>
        <w:rPr>
          <w:rFonts w:eastAsia="Calibri"/>
          <w:kern w:val="2"/>
          <w:lang w:val="en-US"/>
          <w14:ligatures w14:val="standardContextual"/>
        </w:rPr>
      </w:pPr>
      <w:r w:rsidRPr="00BD4A72">
        <w:rPr>
          <w:rFonts w:eastAsia="Calibri"/>
          <w:kern w:val="2"/>
          <w:lang w:val="en-US"/>
          <w14:ligatures w14:val="standardContextual"/>
        </w:rPr>
        <w:t>Audio (input/output),</w:t>
      </w:r>
    </w:p>
    <w:p w14:paraId="6F5B3C10" w14:textId="77777777" w:rsidR="00BC79B3" w:rsidRPr="00BD4A72" w:rsidRDefault="00E22A4C" w:rsidP="00BC79B3">
      <w:pPr>
        <w:pStyle w:val="ListParagraph"/>
        <w:numPr>
          <w:ilvl w:val="0"/>
          <w:numId w:val="3"/>
        </w:numPr>
        <w:spacing w:after="160" w:line="276" w:lineRule="auto"/>
        <w:ind w:left="644"/>
        <w:textAlignment w:val="auto"/>
        <w:rPr>
          <w:ins w:id="43" w:author="Szczerba, Marek" w:date="2025-11-10T13:33:00Z" w16du:dateUtc="2025-11-10T12:33:00Z"/>
          <w:rFonts w:eastAsia="Calibri"/>
          <w:kern w:val="2"/>
          <w:lang w:val="en-US"/>
          <w14:ligatures w14:val="standardContextual"/>
        </w:rPr>
      </w:pPr>
      <w:r w:rsidRPr="00BD4A72">
        <w:rPr>
          <w:rFonts w:eastAsia="Calibri"/>
          <w:kern w:val="2"/>
          <w:lang w:val="en-US"/>
          <w14:ligatures w14:val="standardContextual"/>
        </w:rPr>
        <w:t>Head tracking and orientation tracking (input/output)</w:t>
      </w:r>
      <w:ins w:id="44" w:author="Szczerba, Marek" w:date="2025-11-10T13:33:00Z" w16du:dateUtc="2025-11-10T12:33:00Z">
        <w:r w:rsidR="00BC79B3" w:rsidRPr="00BD4A72">
          <w:rPr>
            <w:rFonts w:eastAsia="Calibri"/>
            <w:kern w:val="2"/>
            <w:lang w:val="en-US"/>
            <w14:ligatures w14:val="standardContextual"/>
          </w:rPr>
          <w:t>,</w:t>
        </w:r>
      </w:ins>
    </w:p>
    <w:p w14:paraId="0B53AC9F" w14:textId="7D630DC5" w:rsidR="00E22A4C" w:rsidRPr="00BD4A72" w:rsidRDefault="00BC79B3" w:rsidP="00BC79B3">
      <w:pPr>
        <w:pStyle w:val="ListParagraph"/>
        <w:numPr>
          <w:ilvl w:val="0"/>
          <w:numId w:val="3"/>
        </w:numPr>
        <w:spacing w:after="160" w:line="276" w:lineRule="auto"/>
        <w:ind w:left="644"/>
        <w:textAlignment w:val="auto"/>
        <w:rPr>
          <w:rFonts w:eastAsia="Calibri"/>
          <w:kern w:val="2"/>
          <w:lang w:val="en-US"/>
          <w14:ligatures w14:val="standardContextual"/>
        </w:rPr>
      </w:pPr>
      <w:ins w:id="45" w:author="Szczerba, Marek" w:date="2025-11-10T13:33:00Z" w16du:dateUtc="2025-11-10T12:33:00Z">
        <w:r w:rsidRPr="00BD4A72">
          <w:rPr>
            <w:rFonts w:eastAsia="Calibri"/>
            <w:kern w:val="2"/>
            <w:lang w:val="en-US"/>
            <w14:ligatures w14:val="standardContextual"/>
          </w:rPr>
          <w:t>Object editing</w:t>
        </w:r>
      </w:ins>
      <w:del w:id="46" w:author="Szczerba, Marek" w:date="2025-11-10T13:33:00Z" w16du:dateUtc="2025-11-10T12:33:00Z">
        <w:r w:rsidRPr="00BD4A72" w:rsidDel="00BC79B3">
          <w:rPr>
            <w:rFonts w:eastAsia="Calibri"/>
            <w:kern w:val="2"/>
            <w:lang w:val="en-US"/>
            <w14:ligatures w14:val="standardContextual"/>
          </w:rPr>
          <w:delText>.</w:delText>
        </w:r>
      </w:del>
    </w:p>
    <w:p w14:paraId="053D9300" w14:textId="381A2FC9"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F174" w14:textId="77777777" w:rsidR="00A75674" w:rsidRDefault="00A75674">
      <w:r>
        <w:separator/>
      </w:r>
    </w:p>
  </w:endnote>
  <w:endnote w:type="continuationSeparator" w:id="0">
    <w:p w14:paraId="222D85DD" w14:textId="77777777" w:rsidR="00A75674" w:rsidRDefault="00A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5440D" w14:textId="77777777" w:rsidR="00A75674" w:rsidRDefault="00A75674">
      <w:r>
        <w:separator/>
      </w:r>
    </w:p>
  </w:footnote>
  <w:footnote w:type="continuationSeparator" w:id="0">
    <w:p w14:paraId="178C040C" w14:textId="77777777" w:rsidR="00A75674" w:rsidRDefault="00A7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38A"/>
    <w:multiLevelType w:val="hybridMultilevel"/>
    <w:tmpl w:val="39C222BA"/>
    <w:lvl w:ilvl="0" w:tplc="0CE4DB32">
      <w:numFmt w:val="bullet"/>
      <w:lvlText w:val="-"/>
      <w:lvlJc w:val="left"/>
      <w:pPr>
        <w:ind w:left="1004" w:hanging="360"/>
      </w:pPr>
      <w:rPr>
        <w:rFonts w:ascii="Calibri" w:eastAsia="Calibri" w:hAnsi="Calibri" w:cs="Calibri"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 w15:restartNumberingAfterBreak="0">
    <w:nsid w:val="18CE43EC"/>
    <w:multiLevelType w:val="hybridMultilevel"/>
    <w:tmpl w:val="CD3C0FE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79F62101"/>
    <w:multiLevelType w:val="hybridMultilevel"/>
    <w:tmpl w:val="E3108650"/>
    <w:lvl w:ilvl="0" w:tplc="0CE4DB32">
      <w:numFmt w:val="bullet"/>
      <w:lvlText w:val="-"/>
      <w:lvlJc w:val="left"/>
      <w:pPr>
        <w:ind w:left="644" w:hanging="360"/>
      </w:pPr>
      <w:rPr>
        <w:rFonts w:ascii="Calibri" w:eastAsia="Calibri" w:hAnsi="Calibri" w:cs="Calibri" w:hint="default"/>
      </w:rPr>
    </w:lvl>
    <w:lvl w:ilvl="1" w:tplc="0CE4DB32">
      <w:numFmt w:val="bullet"/>
      <w:lvlText w:val="-"/>
      <w:lvlJc w:val="left"/>
      <w:pPr>
        <w:ind w:left="1364" w:hanging="360"/>
      </w:pPr>
      <w:rPr>
        <w:rFonts w:ascii="Calibri" w:eastAsia="Calibri" w:hAnsi="Calibri" w:cs="Calibri"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192227210">
    <w:abstractNumId w:val="1"/>
  </w:num>
  <w:num w:numId="2" w16cid:durableId="166680798">
    <w:abstractNumId w:val="2"/>
  </w:num>
  <w:num w:numId="3" w16cid:durableId="15568115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87"/>
    <w:rsid w:val="00022E4A"/>
    <w:rsid w:val="00070E09"/>
    <w:rsid w:val="000A6394"/>
    <w:rsid w:val="000B4DF6"/>
    <w:rsid w:val="000B7FED"/>
    <w:rsid w:val="000C038A"/>
    <w:rsid w:val="000C6598"/>
    <w:rsid w:val="000D44B3"/>
    <w:rsid w:val="000E3C03"/>
    <w:rsid w:val="001270B4"/>
    <w:rsid w:val="00145D43"/>
    <w:rsid w:val="00147ABF"/>
    <w:rsid w:val="00192C46"/>
    <w:rsid w:val="0019519C"/>
    <w:rsid w:val="001A08B3"/>
    <w:rsid w:val="001A49C8"/>
    <w:rsid w:val="001A7B60"/>
    <w:rsid w:val="001B52F0"/>
    <w:rsid w:val="001B7A65"/>
    <w:rsid w:val="001E41F3"/>
    <w:rsid w:val="00243135"/>
    <w:rsid w:val="00255E62"/>
    <w:rsid w:val="0026004D"/>
    <w:rsid w:val="002640DD"/>
    <w:rsid w:val="00275D12"/>
    <w:rsid w:val="00284FEB"/>
    <w:rsid w:val="002860C4"/>
    <w:rsid w:val="002B5741"/>
    <w:rsid w:val="002C07F4"/>
    <w:rsid w:val="002D6BA5"/>
    <w:rsid w:val="002E472E"/>
    <w:rsid w:val="002E5590"/>
    <w:rsid w:val="002F04FB"/>
    <w:rsid w:val="00304369"/>
    <w:rsid w:val="00305409"/>
    <w:rsid w:val="003609EF"/>
    <w:rsid w:val="0036231A"/>
    <w:rsid w:val="00374DD4"/>
    <w:rsid w:val="00384324"/>
    <w:rsid w:val="00386332"/>
    <w:rsid w:val="003E1A36"/>
    <w:rsid w:val="003F6DC3"/>
    <w:rsid w:val="0040599E"/>
    <w:rsid w:val="0040675A"/>
    <w:rsid w:val="00410371"/>
    <w:rsid w:val="004242F1"/>
    <w:rsid w:val="00455609"/>
    <w:rsid w:val="00461BFC"/>
    <w:rsid w:val="00465087"/>
    <w:rsid w:val="00483D62"/>
    <w:rsid w:val="004B75B7"/>
    <w:rsid w:val="004C7320"/>
    <w:rsid w:val="004D23A4"/>
    <w:rsid w:val="004D5E28"/>
    <w:rsid w:val="004F45C6"/>
    <w:rsid w:val="0050622E"/>
    <w:rsid w:val="005141D9"/>
    <w:rsid w:val="0051580D"/>
    <w:rsid w:val="0051596F"/>
    <w:rsid w:val="00526386"/>
    <w:rsid w:val="00547111"/>
    <w:rsid w:val="00557B3F"/>
    <w:rsid w:val="00585AD9"/>
    <w:rsid w:val="00592D74"/>
    <w:rsid w:val="005A6DA3"/>
    <w:rsid w:val="005E2C44"/>
    <w:rsid w:val="005E5BA1"/>
    <w:rsid w:val="00621188"/>
    <w:rsid w:val="006257ED"/>
    <w:rsid w:val="00653DE4"/>
    <w:rsid w:val="00661C9C"/>
    <w:rsid w:val="006639B1"/>
    <w:rsid w:val="00665C47"/>
    <w:rsid w:val="006842AE"/>
    <w:rsid w:val="00695808"/>
    <w:rsid w:val="006B46FB"/>
    <w:rsid w:val="006E21FB"/>
    <w:rsid w:val="006F157B"/>
    <w:rsid w:val="00740333"/>
    <w:rsid w:val="00775EBD"/>
    <w:rsid w:val="00777A50"/>
    <w:rsid w:val="00792342"/>
    <w:rsid w:val="007977A8"/>
    <w:rsid w:val="007A4EFC"/>
    <w:rsid w:val="007B512A"/>
    <w:rsid w:val="007C2097"/>
    <w:rsid w:val="007D6A07"/>
    <w:rsid w:val="007F7259"/>
    <w:rsid w:val="008040A8"/>
    <w:rsid w:val="008279FA"/>
    <w:rsid w:val="0084581E"/>
    <w:rsid w:val="008542A8"/>
    <w:rsid w:val="008626E7"/>
    <w:rsid w:val="008706DD"/>
    <w:rsid w:val="00870EE7"/>
    <w:rsid w:val="0088426E"/>
    <w:rsid w:val="008863B9"/>
    <w:rsid w:val="0088692D"/>
    <w:rsid w:val="00887402"/>
    <w:rsid w:val="00892D6D"/>
    <w:rsid w:val="008A45A6"/>
    <w:rsid w:val="008A66D6"/>
    <w:rsid w:val="008B7CB3"/>
    <w:rsid w:val="008C2092"/>
    <w:rsid w:val="008D3CCC"/>
    <w:rsid w:val="008D46CD"/>
    <w:rsid w:val="008F3789"/>
    <w:rsid w:val="008F686C"/>
    <w:rsid w:val="00907550"/>
    <w:rsid w:val="0091417A"/>
    <w:rsid w:val="009148DE"/>
    <w:rsid w:val="00916287"/>
    <w:rsid w:val="00941E30"/>
    <w:rsid w:val="009531B0"/>
    <w:rsid w:val="009741B3"/>
    <w:rsid w:val="009777D9"/>
    <w:rsid w:val="00991B88"/>
    <w:rsid w:val="009A5753"/>
    <w:rsid w:val="009A579D"/>
    <w:rsid w:val="009B1E63"/>
    <w:rsid w:val="009E3297"/>
    <w:rsid w:val="009F734F"/>
    <w:rsid w:val="00A0618A"/>
    <w:rsid w:val="00A246B6"/>
    <w:rsid w:val="00A463F1"/>
    <w:rsid w:val="00A47E70"/>
    <w:rsid w:val="00A50CF0"/>
    <w:rsid w:val="00A75674"/>
    <w:rsid w:val="00A7671C"/>
    <w:rsid w:val="00AA2CBC"/>
    <w:rsid w:val="00AC5820"/>
    <w:rsid w:val="00AD1CD8"/>
    <w:rsid w:val="00AE4FF1"/>
    <w:rsid w:val="00B028B4"/>
    <w:rsid w:val="00B06F48"/>
    <w:rsid w:val="00B134B6"/>
    <w:rsid w:val="00B258BB"/>
    <w:rsid w:val="00B50287"/>
    <w:rsid w:val="00B67B97"/>
    <w:rsid w:val="00B87AC9"/>
    <w:rsid w:val="00B968C8"/>
    <w:rsid w:val="00BA3EC5"/>
    <w:rsid w:val="00BA51D9"/>
    <w:rsid w:val="00BB5DFC"/>
    <w:rsid w:val="00BC79B3"/>
    <w:rsid w:val="00BD279D"/>
    <w:rsid w:val="00BD4A72"/>
    <w:rsid w:val="00BD6BB8"/>
    <w:rsid w:val="00C667AA"/>
    <w:rsid w:val="00C66BA2"/>
    <w:rsid w:val="00C7723F"/>
    <w:rsid w:val="00C870F6"/>
    <w:rsid w:val="00C907B5"/>
    <w:rsid w:val="00C95985"/>
    <w:rsid w:val="00CA192A"/>
    <w:rsid w:val="00CA45F8"/>
    <w:rsid w:val="00CC5026"/>
    <w:rsid w:val="00CC68D0"/>
    <w:rsid w:val="00D03F9A"/>
    <w:rsid w:val="00D06D51"/>
    <w:rsid w:val="00D24991"/>
    <w:rsid w:val="00D342C7"/>
    <w:rsid w:val="00D50255"/>
    <w:rsid w:val="00D547C0"/>
    <w:rsid w:val="00D66520"/>
    <w:rsid w:val="00D84AE9"/>
    <w:rsid w:val="00D9124E"/>
    <w:rsid w:val="00D962A7"/>
    <w:rsid w:val="00DA4A74"/>
    <w:rsid w:val="00DE05C3"/>
    <w:rsid w:val="00DE34CF"/>
    <w:rsid w:val="00E13F3D"/>
    <w:rsid w:val="00E22A4C"/>
    <w:rsid w:val="00E34898"/>
    <w:rsid w:val="00E632D6"/>
    <w:rsid w:val="00E93B20"/>
    <w:rsid w:val="00EB09B7"/>
    <w:rsid w:val="00EB2E3F"/>
    <w:rsid w:val="00EB37D9"/>
    <w:rsid w:val="00EC1C7D"/>
    <w:rsid w:val="00ED7271"/>
    <w:rsid w:val="00EE7D7C"/>
    <w:rsid w:val="00F25D98"/>
    <w:rsid w:val="00F300FB"/>
    <w:rsid w:val="00F370D2"/>
    <w:rsid w:val="00F43D2E"/>
    <w:rsid w:val="00F861EA"/>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uiPriority w:val="9"/>
    <w:qFormat/>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uiPriority w:val="7"/>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D342C7"/>
    <w:rPr>
      <w:rFonts w:ascii="Times New Roman" w:hAnsi="Times New Roman"/>
      <w:lang w:val="en-GB" w:eastAsia="en-GB"/>
    </w:rPr>
  </w:style>
  <w:style w:type="paragraph" w:styleId="ListParagraph">
    <w:name w:val="List Paragraph"/>
    <w:basedOn w:val="Normal"/>
    <w:uiPriority w:val="34"/>
    <w:qFormat/>
    <w:rsid w:val="00B0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885">
      <w:bodyDiv w:val="1"/>
      <w:marLeft w:val="0"/>
      <w:marRight w:val="0"/>
      <w:marTop w:val="0"/>
      <w:marBottom w:val="0"/>
      <w:divBdr>
        <w:top w:val="none" w:sz="0" w:space="0" w:color="auto"/>
        <w:left w:val="none" w:sz="0" w:space="0" w:color="auto"/>
        <w:bottom w:val="none" w:sz="0" w:space="0" w:color="auto"/>
        <w:right w:val="none" w:sz="0" w:space="0" w:color="auto"/>
      </w:divBdr>
    </w:div>
    <w:div w:id="246960135">
      <w:bodyDiv w:val="1"/>
      <w:marLeft w:val="0"/>
      <w:marRight w:val="0"/>
      <w:marTop w:val="0"/>
      <w:marBottom w:val="0"/>
      <w:divBdr>
        <w:top w:val="none" w:sz="0" w:space="0" w:color="auto"/>
        <w:left w:val="none" w:sz="0" w:space="0" w:color="auto"/>
        <w:bottom w:val="none" w:sz="0" w:space="0" w:color="auto"/>
        <w:right w:val="none" w:sz="0" w:space="0" w:color="auto"/>
      </w:divBdr>
    </w:div>
    <w:div w:id="562058361">
      <w:bodyDiv w:val="1"/>
      <w:marLeft w:val="0"/>
      <w:marRight w:val="0"/>
      <w:marTop w:val="0"/>
      <w:marBottom w:val="0"/>
      <w:divBdr>
        <w:top w:val="none" w:sz="0" w:space="0" w:color="auto"/>
        <w:left w:val="none" w:sz="0" w:space="0" w:color="auto"/>
        <w:bottom w:val="none" w:sz="0" w:space="0" w:color="auto"/>
        <w:right w:val="none" w:sz="0" w:space="0" w:color="auto"/>
      </w:divBdr>
    </w:div>
    <w:div w:id="735394741">
      <w:bodyDiv w:val="1"/>
      <w:marLeft w:val="0"/>
      <w:marRight w:val="0"/>
      <w:marTop w:val="0"/>
      <w:marBottom w:val="0"/>
      <w:divBdr>
        <w:top w:val="none" w:sz="0" w:space="0" w:color="auto"/>
        <w:left w:val="none" w:sz="0" w:space="0" w:color="auto"/>
        <w:bottom w:val="none" w:sz="0" w:space="0" w:color="auto"/>
        <w:right w:val="none" w:sz="0" w:space="0" w:color="auto"/>
      </w:divBdr>
    </w:div>
    <w:div w:id="880943093">
      <w:bodyDiv w:val="1"/>
      <w:marLeft w:val="0"/>
      <w:marRight w:val="0"/>
      <w:marTop w:val="0"/>
      <w:marBottom w:val="0"/>
      <w:divBdr>
        <w:top w:val="none" w:sz="0" w:space="0" w:color="auto"/>
        <w:left w:val="none" w:sz="0" w:space="0" w:color="auto"/>
        <w:bottom w:val="none" w:sz="0" w:space="0" w:color="auto"/>
        <w:right w:val="none" w:sz="0" w:space="0" w:color="auto"/>
      </w:divBdr>
    </w:div>
    <w:div w:id="967661647">
      <w:bodyDiv w:val="1"/>
      <w:marLeft w:val="0"/>
      <w:marRight w:val="0"/>
      <w:marTop w:val="0"/>
      <w:marBottom w:val="0"/>
      <w:divBdr>
        <w:top w:val="none" w:sz="0" w:space="0" w:color="auto"/>
        <w:left w:val="none" w:sz="0" w:space="0" w:color="auto"/>
        <w:bottom w:val="none" w:sz="0" w:space="0" w:color="auto"/>
        <w:right w:val="none" w:sz="0" w:space="0" w:color="auto"/>
      </w:divBdr>
    </w:div>
    <w:div w:id="1077484810">
      <w:bodyDiv w:val="1"/>
      <w:marLeft w:val="0"/>
      <w:marRight w:val="0"/>
      <w:marTop w:val="0"/>
      <w:marBottom w:val="0"/>
      <w:divBdr>
        <w:top w:val="none" w:sz="0" w:space="0" w:color="auto"/>
        <w:left w:val="none" w:sz="0" w:space="0" w:color="auto"/>
        <w:bottom w:val="none" w:sz="0" w:space="0" w:color="auto"/>
        <w:right w:val="none" w:sz="0" w:space="0" w:color="auto"/>
      </w:divBdr>
    </w:div>
    <w:div w:id="1364360614">
      <w:bodyDiv w:val="1"/>
      <w:marLeft w:val="0"/>
      <w:marRight w:val="0"/>
      <w:marTop w:val="0"/>
      <w:marBottom w:val="0"/>
      <w:divBdr>
        <w:top w:val="none" w:sz="0" w:space="0" w:color="auto"/>
        <w:left w:val="none" w:sz="0" w:space="0" w:color="auto"/>
        <w:bottom w:val="none" w:sz="0" w:space="0" w:color="auto"/>
        <w:right w:val="none" w:sz="0" w:space="0" w:color="auto"/>
      </w:divBdr>
    </w:div>
    <w:div w:id="1477606399">
      <w:bodyDiv w:val="1"/>
      <w:marLeft w:val="0"/>
      <w:marRight w:val="0"/>
      <w:marTop w:val="0"/>
      <w:marBottom w:val="0"/>
      <w:divBdr>
        <w:top w:val="none" w:sz="0" w:space="0" w:color="auto"/>
        <w:left w:val="none" w:sz="0" w:space="0" w:color="auto"/>
        <w:bottom w:val="none" w:sz="0" w:space="0" w:color="auto"/>
        <w:right w:val="none" w:sz="0" w:space="0" w:color="auto"/>
      </w:divBdr>
    </w:div>
    <w:div w:id="1639334338">
      <w:bodyDiv w:val="1"/>
      <w:marLeft w:val="0"/>
      <w:marRight w:val="0"/>
      <w:marTop w:val="0"/>
      <w:marBottom w:val="0"/>
      <w:divBdr>
        <w:top w:val="none" w:sz="0" w:space="0" w:color="auto"/>
        <w:left w:val="none" w:sz="0" w:space="0" w:color="auto"/>
        <w:bottom w:val="none" w:sz="0" w:space="0" w:color="auto"/>
        <w:right w:val="none" w:sz="0" w:space="0" w:color="auto"/>
      </w:divBdr>
    </w:div>
    <w:div w:id="1762485842">
      <w:bodyDiv w:val="1"/>
      <w:marLeft w:val="0"/>
      <w:marRight w:val="0"/>
      <w:marTop w:val="0"/>
      <w:marBottom w:val="0"/>
      <w:divBdr>
        <w:top w:val="none" w:sz="0" w:space="0" w:color="auto"/>
        <w:left w:val="none" w:sz="0" w:space="0" w:color="auto"/>
        <w:bottom w:val="none" w:sz="0" w:space="0" w:color="auto"/>
        <w:right w:val="none" w:sz="0" w:space="0" w:color="auto"/>
      </w:divBdr>
    </w:div>
    <w:div w:id="200122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871</Words>
  <Characters>5074</Characters>
  <Application>Microsoft Office Word</Application>
  <DocSecurity>0</DocSecurity>
  <Lines>194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Szczerba, Marek</cp:lastModifiedBy>
  <cp:revision>9</cp:revision>
  <cp:lastPrinted>1900-01-01T06:00:00Z</cp:lastPrinted>
  <dcterms:created xsi:type="dcterms:W3CDTF">2025-11-19T14:47:00Z</dcterms:created>
  <dcterms:modified xsi:type="dcterms:W3CDTF">2025-11-20T17:13:00Z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S4-252003</vt:lpwstr>
  </property>
  <property fmtid="{D5CDD505-2E9C-101B-9397-08002B2CF9AE}" pid="10" name="Spec#">
    <vt:lpwstr>26.254</vt:lpwstr>
  </property>
  <property fmtid="{D5CDD505-2E9C-101B-9397-08002B2CF9AE}" pid="11" name="Cr#">
    <vt:lpwstr>0004</vt:lpwstr>
  </property>
  <property fmtid="{D5CDD505-2E9C-101B-9397-08002B2CF9AE}" pid="12" name="Revision">
    <vt:lpwstr>1</vt:lpwstr>
  </property>
  <property fmtid="{D5CDD505-2E9C-101B-9397-08002B2CF9AE}" pid="13" name="Version">
    <vt:lpwstr>18.1.0</vt:lpwstr>
  </property>
  <property fmtid="{D5CDD505-2E9C-101B-9397-08002B2CF9AE}" pid="14" name="CrTitle">
    <vt:lpwstr>Addition of missing descriptions to IVAS rendering specification</vt:lpwstr>
  </property>
  <property fmtid="{D5CDD505-2E9C-101B-9397-08002B2CF9AE}" pid="15" name="SourceIfWg">
    <vt:lpwstr>Dolby Laboratories Inc., Ericsson LM, Fraunhofer IIS, Huawei, Nokia, NTT, Orange, Panasonic Holdings Corporation, Philips International B.V., Qualcomm Inc., VoiceAge Corporation</vt:lpwstr>
  </property>
  <property fmtid="{D5CDD505-2E9C-101B-9397-08002B2CF9AE}" pid="16" name="SourceIfTsg">
    <vt:lpwstr/>
  </property>
  <property fmtid="{D5CDD505-2E9C-101B-9397-08002B2CF9AE}" pid="17" name="RelatedWis">
    <vt:lpwstr>IVAS_Codec_Ph2</vt:lpwstr>
  </property>
  <property fmtid="{D5CDD505-2E9C-101B-9397-08002B2CF9AE}" pid="18" name="Cat">
    <vt:lpwstr>F</vt:lpwstr>
  </property>
  <property fmtid="{D5CDD505-2E9C-101B-9397-08002B2CF9AE}" pid="19" name="ResDate">
    <vt:lpwstr>2025-11-19</vt:lpwstr>
  </property>
  <property fmtid="{D5CDD505-2E9C-101B-9397-08002B2CF9AE}" pid="20" name="Release">
    <vt:lpwstr>Rel-19</vt:lpwstr>
  </property>
</Properties>
</file>