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229F">
      <w:pPr>
        <w:pStyle w:val="2"/>
      </w:pPr>
      <w:r>
        <w:t xml:space="preserve">sensing skeleton overview:  </w:t>
      </w:r>
    </w:p>
    <w:tbl>
      <w:tblPr>
        <w:tblStyle w:val="5"/>
        <w:tblW w:w="10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558"/>
        <w:gridCol w:w="3544"/>
        <w:gridCol w:w="2410"/>
      </w:tblGrid>
      <w:tr w14:paraId="54F1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0D8FF4F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宋体"/>
                <w:b/>
                <w:sz w:val="20"/>
              </w:rPr>
              <w:t>Clause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66B54D4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宋体"/>
                <w:b/>
                <w:sz w:val="20"/>
              </w:rPr>
              <w:t xml:space="preserve">Title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6229FB">
            <w:pPr>
              <w:spacing w:after="0" w:line="240" w:lineRule="auto"/>
              <w:rPr>
                <w:rFonts w:ascii="Times New Roman" w:hAnsi="Times New Roman" w:eastAsia="宋体"/>
                <w:b/>
                <w:sz w:val="20"/>
              </w:rPr>
            </w:pPr>
            <w:r>
              <w:rPr>
                <w:rFonts w:ascii="Times New Roman" w:hAnsi="Times New Roman" w:eastAsia="宋体"/>
                <w:b/>
                <w:sz w:val="20"/>
              </w:rPr>
              <w:t>Description</w:t>
            </w:r>
          </w:p>
        </w:tc>
        <w:tc>
          <w:tcPr>
            <w:tcW w:w="2410" w:type="dxa"/>
          </w:tcPr>
          <w:p w14:paraId="2AE2EE2B">
            <w:pPr>
              <w:spacing w:after="0" w:line="240" w:lineRule="auto"/>
              <w:rPr>
                <w:rFonts w:ascii="Times New Roman" w:hAnsi="Times New Roman" w:eastAsia="宋体"/>
                <w:b/>
                <w:sz w:val="20"/>
              </w:rPr>
            </w:pPr>
            <w:r>
              <w:rPr>
                <w:rFonts w:ascii="Times New Roman" w:hAnsi="Times New Roman" w:eastAsia="宋体"/>
                <w:b/>
                <w:sz w:val="20"/>
              </w:rPr>
              <w:t>Companies planning to contribute</w:t>
            </w:r>
          </w:p>
        </w:tc>
      </w:tr>
      <w:tr w14:paraId="3F19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10" w:type="dxa"/>
            <w:shd w:val="clear" w:color="auto" w:fill="auto"/>
            <w:vAlign w:val="center"/>
          </w:tcPr>
          <w:p w14:paraId="4A3625E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1A599D56">
            <w:pPr>
              <w:spacing w:after="0" w:line="240" w:lineRule="auto"/>
              <w:rPr>
                <w:rFonts w:ascii="Times New Roman" w:hAnsi="Times New Roman" w:eastAsia="宋体"/>
                <w:b/>
                <w:sz w:val="20"/>
                <w:lang w:eastAsia="ko-KR"/>
              </w:rPr>
            </w:pPr>
            <w:r>
              <w:rPr>
                <w:rFonts w:ascii="Times New Roman" w:hAnsi="Times New Roman" w:eastAsia="BatangChe"/>
                <w:b/>
                <w:sz w:val="20"/>
                <w:lang w:eastAsia="ko-KR"/>
              </w:rPr>
              <w:t>Scope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F5B478">
            <w:pPr>
              <w:spacing w:after="0" w:line="240" w:lineRule="auto"/>
              <w:rPr>
                <w:rFonts w:ascii="Times New Roman" w:hAnsi="Times New Roman" w:eastAsiaTheme="minorEastAsia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clause 1 of TR 23.700-14</w:t>
            </w:r>
          </w:p>
        </w:tc>
        <w:tc>
          <w:tcPr>
            <w:tcW w:w="2410" w:type="dxa"/>
          </w:tcPr>
          <w:p w14:paraId="147F108E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350E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4C126021">
            <w:pPr>
              <w:spacing w:after="0" w:line="240" w:lineRule="auto"/>
              <w:rPr>
                <w:rFonts w:ascii="Times New Roman" w:hAnsi="Times New Roman" w:eastAsia="Malgun Gothic"/>
                <w:b/>
                <w:sz w:val="20"/>
                <w:lang w:eastAsia="ko-KR"/>
              </w:rPr>
            </w:pPr>
            <w:r>
              <w:rPr>
                <w:rFonts w:ascii="Times New Roman" w:hAnsi="Times New Roman" w:eastAsia="Malgun Gothic"/>
                <w:b/>
                <w:sz w:val="20"/>
                <w:lang w:eastAsia="ko-KR"/>
              </w:rPr>
              <w:t>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77FEC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References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6E2F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56F8251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14:paraId="4C4F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10" w:type="dxa"/>
            <w:shd w:val="clear" w:color="auto" w:fill="auto"/>
            <w:vAlign w:val="center"/>
          </w:tcPr>
          <w:p w14:paraId="0E44C33E">
            <w:pPr>
              <w:spacing w:after="0" w:line="240" w:lineRule="auto"/>
              <w:rPr>
                <w:rFonts w:ascii="Times New Roman" w:hAnsi="Times New Roman" w:eastAsia="Malgun Gothic"/>
                <w:b/>
                <w:sz w:val="20"/>
                <w:lang w:eastAsia="ko-KR"/>
              </w:rPr>
            </w:pPr>
            <w:r>
              <w:rPr>
                <w:rFonts w:ascii="Times New Roman" w:hAnsi="Times New Roman" w:eastAsia="Malgun Gothic"/>
                <w:b/>
                <w:sz w:val="20"/>
                <w:lang w:eastAsia="ko-KR"/>
              </w:rPr>
              <w:t>3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7F02D7F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Definitions and abbreviations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B252D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7EA84BF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14:paraId="51A9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1A95AC74">
            <w:pPr>
              <w:spacing w:after="0" w:line="240" w:lineRule="auto"/>
              <w:rPr>
                <w:rFonts w:ascii="Times New Roman" w:hAnsi="Times New Roman" w:eastAsia="Malgun Gothic"/>
                <w:bCs/>
                <w:sz w:val="20"/>
                <w:lang w:eastAsia="ko-KR"/>
              </w:rPr>
            </w:pPr>
            <w:r>
              <w:rPr>
                <w:rFonts w:ascii="Times New Roman" w:hAnsi="Times New Roman" w:eastAsia="Malgun Gothic"/>
                <w:bCs/>
                <w:sz w:val="20"/>
                <w:lang w:eastAsia="ko-KR"/>
              </w:rPr>
              <w:t>3.1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7C3241AB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Definitions</w:t>
            </w:r>
          </w:p>
          <w:p w14:paraId="7B05AE3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3FA3AAB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Could be from clause 3.1 of TR 23.700-14, and the terms defined in TS 22.137</w:t>
            </w:r>
          </w:p>
        </w:tc>
        <w:tc>
          <w:tcPr>
            <w:tcW w:w="2410" w:type="dxa"/>
          </w:tcPr>
          <w:p w14:paraId="3D562A64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6DBE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70263124">
            <w:pPr>
              <w:spacing w:after="0" w:line="240" w:lineRule="auto"/>
              <w:rPr>
                <w:rFonts w:ascii="Times New Roman" w:hAnsi="Times New Roman" w:eastAsia="Malgun Gothic"/>
                <w:bCs/>
                <w:sz w:val="20"/>
                <w:lang w:eastAsia="ko-KR"/>
              </w:rPr>
            </w:pPr>
            <w:r>
              <w:rPr>
                <w:rFonts w:ascii="Times New Roman" w:hAnsi="Times New Roman" w:eastAsia="Malgun Gothic"/>
                <w:bCs/>
                <w:sz w:val="20"/>
                <w:lang w:eastAsia="ko-KR"/>
              </w:rPr>
              <w:t>3.2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043821A6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Abbreviations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86FA29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2FB1716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3840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10" w:type="dxa"/>
            <w:shd w:val="clear" w:color="auto" w:fill="auto"/>
            <w:vAlign w:val="center"/>
          </w:tcPr>
          <w:p w14:paraId="35FF53E2">
            <w:pPr>
              <w:spacing w:after="0" w:line="240" w:lineRule="auto"/>
              <w:rPr>
                <w:rFonts w:ascii="Times New Roman" w:hAnsi="Times New Roman" w:eastAsia="宋体"/>
                <w:b/>
                <w:sz w:val="20"/>
              </w:rPr>
            </w:pPr>
            <w:r>
              <w:rPr>
                <w:rFonts w:ascii="Times New Roman" w:hAnsi="Times New Roman" w:eastAsia="宋体"/>
                <w:b/>
                <w:sz w:val="20"/>
              </w:rPr>
              <w:t>4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1F41DFD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Architecture model and concepts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3513A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70BFB9C4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545F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0" w:type="dxa"/>
            <w:shd w:val="clear" w:color="auto" w:fill="auto"/>
            <w:vAlign w:val="center"/>
          </w:tcPr>
          <w:p w14:paraId="1CD9A0BE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t>4.1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63F860E1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General concept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A978FF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General description, e.g., sensing principles, architectural requirements/assumptions from clause 4 of TR 23.700-14</w:t>
            </w:r>
          </w:p>
          <w:p w14:paraId="62939FA2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58DE37D0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2D97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7FB71790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t>4.2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E0FDE0F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 xml:space="preserve">Architecture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C6AAE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Architecture description, e.g., based on conclusions from clause 8.1 to clause 8.6 of TR 23.700-14</w:t>
            </w:r>
          </w:p>
        </w:tc>
        <w:tc>
          <w:tcPr>
            <w:tcW w:w="2410" w:type="dxa"/>
          </w:tcPr>
          <w:p w14:paraId="5FF7EC15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487A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257FDDB8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t>4.3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56990E5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Reference points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E86BBF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475C1460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0DE26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10" w:type="dxa"/>
            <w:shd w:val="clear" w:color="auto" w:fill="auto"/>
            <w:vAlign w:val="center"/>
          </w:tcPr>
          <w:p w14:paraId="170DAC76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t>4.4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029DF965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Service-based interfaces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7558F5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6F85C14F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59DC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421C8384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t>4.5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AEE2F8E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Functional entities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A34D5F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conclusions from clause 8.1 to clause 8.6 of TR 23.700-14, e.g., including SE (i.e., gNB), SF, NEF, NRF, AF, etc.</w:t>
            </w:r>
          </w:p>
        </w:tc>
        <w:tc>
          <w:tcPr>
            <w:tcW w:w="2410" w:type="dxa"/>
          </w:tcPr>
          <w:p w14:paraId="71AB9463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7460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10" w:type="dxa"/>
            <w:shd w:val="clear" w:color="auto" w:fill="auto"/>
            <w:vAlign w:val="center"/>
          </w:tcPr>
          <w:p w14:paraId="7197ED1E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t>4.6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6C709D1E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Protocol stacks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48869A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6EE0AA80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389C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1F5F5316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t>4.6.1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70329D7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 xml:space="preserve">Protocol stack for </w:t>
            </w:r>
            <w:r>
              <w:rPr>
                <w:rFonts w:hint="eastAsia" w:ascii="Times New Roman" w:hAnsi="Times New Roman"/>
                <w:bCs/>
                <w:sz w:val="20"/>
                <w:lang w:val="en-GB"/>
              </w:rPr>
              <w:t>s</w:t>
            </w:r>
            <w:r>
              <w:rPr>
                <w:rFonts w:ascii="Times New Roman" w:hAnsi="Times New Roman"/>
                <w:bCs/>
                <w:sz w:val="20"/>
                <w:lang w:val="en-GB"/>
              </w:rPr>
              <w:t xml:space="preserve">ensing control signalling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68F572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RAN3 inputs and conclusion from clause 8.1 of TR 23.700-14,</w:t>
            </w:r>
          </w:p>
        </w:tc>
        <w:tc>
          <w:tcPr>
            <w:tcW w:w="2410" w:type="dxa"/>
          </w:tcPr>
          <w:p w14:paraId="7F6B915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4961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10" w:type="dxa"/>
            <w:shd w:val="clear" w:color="auto" w:fill="auto"/>
            <w:vAlign w:val="center"/>
          </w:tcPr>
          <w:p w14:paraId="789CD511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t>4.6.2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3A6DA46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Protocol stack for sensing data transfer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1074E4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RAN 3 inputs and conclusion from clause 8.1 of TR 23.700-14,</w:t>
            </w:r>
          </w:p>
        </w:tc>
        <w:tc>
          <w:tcPr>
            <w:tcW w:w="2410" w:type="dxa"/>
          </w:tcPr>
          <w:p w14:paraId="11D30E54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5DB8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0" w:type="dxa"/>
            <w:shd w:val="clear" w:color="auto" w:fill="auto"/>
            <w:vAlign w:val="center"/>
          </w:tcPr>
          <w:p w14:paraId="2BD2C2CA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/>
                <w:sz w:val="20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F879ACB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</w:rPr>
              <w:t>High level functionality and features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4A4EAA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74D195A0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3BE0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0EC555FA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t>5.1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37FFFFB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Authorization and revocation aspects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8C27D0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12502168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21C0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1E218578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5</w:t>
            </w:r>
            <w:r>
              <w:rPr>
                <w:rFonts w:ascii="Times New Roman" w:hAnsi="Times New Roman" w:eastAsia="宋体"/>
                <w:bCs/>
                <w:sz w:val="20"/>
              </w:rPr>
              <w:t>.1.1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E2D73E1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Authorization and revocation of sensing service consumer</w:t>
            </w:r>
          </w:p>
          <w:p w14:paraId="070A1308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888C37E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clause 8.2 of TR 23.700-14</w:t>
            </w:r>
          </w:p>
        </w:tc>
        <w:tc>
          <w:tcPr>
            <w:tcW w:w="2410" w:type="dxa"/>
          </w:tcPr>
          <w:p w14:paraId="5234A43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00B7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0" w:type="dxa"/>
            <w:shd w:val="clear" w:color="auto" w:fill="auto"/>
            <w:vAlign w:val="center"/>
          </w:tcPr>
          <w:p w14:paraId="72AE8F40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5</w:t>
            </w:r>
            <w:r>
              <w:rPr>
                <w:rFonts w:ascii="Times New Roman" w:hAnsi="Times New Roman" w:eastAsia="宋体"/>
                <w:bCs/>
                <w:sz w:val="20"/>
              </w:rPr>
              <w:t>.1.2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DBA73C0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Authorization and revocation of sensing service request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F75CFF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clause 8.2 of TR 23.700-14</w:t>
            </w:r>
          </w:p>
        </w:tc>
        <w:tc>
          <w:tcPr>
            <w:tcW w:w="2410" w:type="dxa"/>
          </w:tcPr>
          <w:p w14:paraId="627E4C2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65F6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0" w:type="dxa"/>
            <w:shd w:val="clear" w:color="auto" w:fill="auto"/>
            <w:vAlign w:val="center"/>
          </w:tcPr>
          <w:p w14:paraId="1D45A26E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5</w:t>
            </w:r>
            <w:r>
              <w:rPr>
                <w:rFonts w:ascii="Times New Roman" w:hAnsi="Times New Roman" w:eastAsia="宋体"/>
                <w:bCs/>
                <w:sz w:val="20"/>
              </w:rPr>
              <w:t>.2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13751A9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Discovery and selection aspects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8A2D40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0BE8FA60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74E1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0" w:type="dxa"/>
            <w:shd w:val="clear" w:color="auto" w:fill="auto"/>
            <w:vAlign w:val="center"/>
          </w:tcPr>
          <w:p w14:paraId="45C94DF8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5</w:t>
            </w:r>
            <w:r>
              <w:rPr>
                <w:rFonts w:ascii="Times New Roman" w:hAnsi="Times New Roman" w:eastAsia="宋体"/>
                <w:bCs/>
                <w:sz w:val="20"/>
              </w:rPr>
              <w:t>.2.1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6C0FA9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SF discovery and selection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5B1281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clause 8.3 of TR 23.700-14</w:t>
            </w:r>
          </w:p>
        </w:tc>
        <w:tc>
          <w:tcPr>
            <w:tcW w:w="2410" w:type="dxa"/>
          </w:tcPr>
          <w:p w14:paraId="59FB7322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0B20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0" w:type="dxa"/>
            <w:shd w:val="clear" w:color="auto" w:fill="auto"/>
            <w:vAlign w:val="center"/>
          </w:tcPr>
          <w:p w14:paraId="40A22770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5</w:t>
            </w:r>
            <w:r>
              <w:rPr>
                <w:rFonts w:ascii="Times New Roman" w:hAnsi="Times New Roman" w:eastAsia="宋体"/>
                <w:bCs/>
                <w:sz w:val="20"/>
              </w:rPr>
              <w:t>.2.2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7CFD1CD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SE discovery and (re-)selection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B05E57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clause 8.3 of TR 23.700-14</w:t>
            </w:r>
          </w:p>
        </w:tc>
        <w:tc>
          <w:tcPr>
            <w:tcW w:w="2410" w:type="dxa"/>
          </w:tcPr>
          <w:p w14:paraId="3396EA6E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28DD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0" w:type="dxa"/>
            <w:shd w:val="clear" w:color="auto" w:fill="auto"/>
            <w:vAlign w:val="center"/>
          </w:tcPr>
          <w:p w14:paraId="6C1092CB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5</w:t>
            </w:r>
            <w:r>
              <w:rPr>
                <w:rFonts w:ascii="Times New Roman" w:hAnsi="Times New Roman" w:eastAsia="宋体"/>
                <w:bCs/>
                <w:sz w:val="20"/>
              </w:rPr>
              <w:t>.3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2DC5EF2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Sensing data collection and transport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3344A6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clause 8.4 of TR 23.700-14</w:t>
            </w:r>
          </w:p>
        </w:tc>
        <w:tc>
          <w:tcPr>
            <w:tcW w:w="2410" w:type="dxa"/>
          </w:tcPr>
          <w:p w14:paraId="4DE2B0F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3B25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10" w:type="dxa"/>
            <w:shd w:val="clear" w:color="auto" w:fill="auto"/>
            <w:vAlign w:val="center"/>
          </w:tcPr>
          <w:p w14:paraId="5766333F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5</w:t>
            </w:r>
            <w:r>
              <w:rPr>
                <w:rFonts w:ascii="Times New Roman" w:hAnsi="Times New Roman" w:eastAsia="宋体"/>
                <w:bCs/>
                <w:sz w:val="20"/>
              </w:rPr>
              <w:t>.4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06C8D88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Sensing result calculation and exposure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28327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clause 8.5 of TR 23.700-14</w:t>
            </w:r>
          </w:p>
        </w:tc>
        <w:tc>
          <w:tcPr>
            <w:tcW w:w="2410" w:type="dxa"/>
          </w:tcPr>
          <w:p w14:paraId="550BE5DE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6DD8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0" w:type="dxa"/>
            <w:shd w:val="clear" w:color="auto" w:fill="auto"/>
            <w:vAlign w:val="center"/>
          </w:tcPr>
          <w:p w14:paraId="1C6126B0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5</w:t>
            </w:r>
            <w:r>
              <w:rPr>
                <w:rFonts w:ascii="Times New Roman" w:hAnsi="Times New Roman" w:eastAsia="宋体"/>
                <w:bCs/>
                <w:sz w:val="20"/>
              </w:rPr>
              <w:t>.5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615EC21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Configuration of parameters for SE(s)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107EB0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clause 8.6 of TR 23.700-14</w:t>
            </w:r>
          </w:p>
        </w:tc>
        <w:tc>
          <w:tcPr>
            <w:tcW w:w="2410" w:type="dxa"/>
          </w:tcPr>
          <w:p w14:paraId="3B4F3082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61D9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0" w:type="dxa"/>
            <w:shd w:val="clear" w:color="auto" w:fill="auto"/>
            <w:vAlign w:val="center"/>
          </w:tcPr>
          <w:p w14:paraId="6B706E0E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5</w:t>
            </w:r>
            <w:r>
              <w:rPr>
                <w:rFonts w:ascii="Times New Roman" w:hAnsi="Times New Roman" w:eastAsia="宋体"/>
                <w:bCs/>
                <w:sz w:val="20"/>
              </w:rPr>
              <w:t>.6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33B0B17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Sensing QoS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2562E0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044EE5F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5CEB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0" w:type="dxa"/>
            <w:shd w:val="clear" w:color="auto" w:fill="auto"/>
            <w:vAlign w:val="center"/>
          </w:tcPr>
          <w:p w14:paraId="5CDD2FE9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t>5.7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2C83DEAE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Charging and security aspects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02754D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2B5AFEBD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1E0B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10" w:type="dxa"/>
            <w:shd w:val="clear" w:color="auto" w:fill="auto"/>
            <w:vAlign w:val="center"/>
          </w:tcPr>
          <w:p w14:paraId="36B43FAB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Malgun Gothic"/>
                <w:b/>
                <w:sz w:val="20"/>
                <w:lang w:eastAsia="ko-KR"/>
              </w:rPr>
              <w:t>6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BFB4A14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 w:eastAsia="Malgun Gothic"/>
                <w:b/>
                <w:sz w:val="20"/>
                <w:lang w:eastAsia="ko-KR"/>
              </w:rPr>
              <w:t>Sensing procedures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55BBA1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17E9A74B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6E47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10" w:type="dxa"/>
            <w:shd w:val="clear" w:color="auto" w:fill="auto"/>
            <w:vAlign w:val="center"/>
          </w:tcPr>
          <w:p w14:paraId="4A59494F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6</w:t>
            </w:r>
            <w:r>
              <w:rPr>
                <w:rFonts w:ascii="Times New Roman" w:hAnsi="Times New Roman" w:eastAsia="宋体"/>
                <w:bCs/>
                <w:sz w:val="20"/>
              </w:rPr>
              <w:t>.1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5E5E2C8C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 xml:space="preserve">Overview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DFD052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 xml:space="preserve">General description </w:t>
            </w:r>
          </w:p>
        </w:tc>
        <w:tc>
          <w:tcPr>
            <w:tcW w:w="2410" w:type="dxa"/>
          </w:tcPr>
          <w:p w14:paraId="61E6269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20C2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0" w:type="dxa"/>
            <w:shd w:val="clear" w:color="auto" w:fill="auto"/>
            <w:vAlign w:val="center"/>
          </w:tcPr>
          <w:p w14:paraId="0C4680A7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6</w:t>
            </w:r>
            <w:r>
              <w:rPr>
                <w:rFonts w:ascii="Times New Roman" w:hAnsi="Times New Roman" w:eastAsia="宋体"/>
                <w:bCs/>
                <w:sz w:val="20"/>
              </w:rPr>
              <w:t>.2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07C2472F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Procedures for E2E sensing service operations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331989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60B87DE6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09B9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10" w:type="dxa"/>
            <w:shd w:val="clear" w:color="auto" w:fill="auto"/>
            <w:vAlign w:val="center"/>
          </w:tcPr>
          <w:p w14:paraId="6BADA6A6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6</w:t>
            </w:r>
            <w:r>
              <w:rPr>
                <w:rFonts w:ascii="Times New Roman" w:hAnsi="Times New Roman" w:eastAsia="宋体"/>
                <w:bCs/>
                <w:sz w:val="20"/>
              </w:rPr>
              <w:t xml:space="preserve">.3 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7FDF1B3F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 xml:space="preserve">Procedures for sensing data connection management between SF and SE 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25444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79905C4B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59E5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01C9FF8E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6</w:t>
            </w:r>
            <w:r>
              <w:rPr>
                <w:rFonts w:ascii="Times New Roman" w:hAnsi="Times New Roman" w:eastAsia="宋体"/>
                <w:bCs/>
                <w:sz w:val="20"/>
              </w:rPr>
              <w:t>.4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D5DA495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 xml:space="preserve">Procedures for sensing result exposure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7FB23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751D9BE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17CA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4E184BB9">
            <w:pPr>
              <w:spacing w:after="0" w:line="240" w:lineRule="auto"/>
              <w:rPr>
                <w:rFonts w:hint="eastAsia" w:ascii="Times New Roman" w:hAnsi="Times New Roman" w:eastAsia="宋体"/>
                <w:bCs/>
                <w:sz w:val="20"/>
                <w:highlight w:val="cyan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Times New Roman" w:hAnsi="Times New Roman" w:eastAsia="宋体"/>
                <w:bCs/>
                <w:sz w:val="20"/>
                <w:highlight w:val="cyan"/>
              </w:rPr>
              <w:t>6</w:t>
            </w:r>
            <w:r>
              <w:rPr>
                <w:rFonts w:ascii="Times New Roman" w:hAnsi="Times New Roman" w:eastAsia="宋体"/>
                <w:bCs/>
                <w:sz w:val="20"/>
                <w:highlight w:val="cyan"/>
              </w:rPr>
              <w:t>.</w:t>
            </w:r>
            <w:r>
              <w:rPr>
                <w:rFonts w:hint="eastAsia" w:ascii="Times New Roman" w:hAnsi="Times New Roman" w:eastAsia="宋体"/>
                <w:bCs/>
                <w:sz w:val="20"/>
                <w:highlight w:val="cyan"/>
                <w:lang w:val="en-US" w:eastAsia="zh-CN"/>
              </w:rPr>
              <w:t>5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3CD132EE">
            <w:pPr>
              <w:spacing w:after="0" w:line="240" w:lineRule="auto"/>
              <w:rPr>
                <w:rFonts w:ascii="Times New Roman" w:hAnsi="Times New Roman"/>
                <w:bCs/>
                <w:sz w:val="20"/>
                <w:highlight w:val="cyan"/>
                <w:lang w:val="en-GB"/>
              </w:rPr>
            </w:pPr>
            <w:r>
              <w:rPr>
                <w:rFonts w:hint="eastAsia" w:ascii="Times New Roman" w:hAnsi="Times New Roman"/>
                <w:bCs/>
                <w:sz w:val="20"/>
                <w:highlight w:val="cyan"/>
                <w:lang w:val="en-GB"/>
              </w:rPr>
              <w:t>Sensing Configuration Parameter Update Procedure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5636354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1225D49A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bookmarkEnd w:id="0"/>
      <w:tr w14:paraId="4BD3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110" w:type="dxa"/>
            <w:shd w:val="clear" w:color="auto" w:fill="auto"/>
            <w:vAlign w:val="center"/>
          </w:tcPr>
          <w:p w14:paraId="7D0C6A3B">
            <w:pPr>
              <w:spacing w:after="0" w:line="240" w:lineRule="auto"/>
              <w:rPr>
                <w:rFonts w:ascii="Times New Roman" w:hAnsi="Times New Roman" w:eastAsia="宋体"/>
                <w:b/>
                <w:sz w:val="20"/>
              </w:rPr>
            </w:pPr>
            <w:r>
              <w:rPr>
                <w:rFonts w:ascii="Times New Roman" w:hAnsi="Times New Roman" w:eastAsia="宋体"/>
                <w:b/>
                <w:sz w:val="20"/>
              </w:rPr>
              <w:t>7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60545BCF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Network Function Services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52F023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  <w:tc>
          <w:tcPr>
            <w:tcW w:w="2410" w:type="dxa"/>
          </w:tcPr>
          <w:p w14:paraId="66865D33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701D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4D70DC51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7</w:t>
            </w:r>
            <w:r>
              <w:rPr>
                <w:rFonts w:ascii="Times New Roman" w:hAnsi="Times New Roman" w:eastAsia="宋体"/>
                <w:bCs/>
                <w:sz w:val="20"/>
              </w:rPr>
              <w:t>.1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7DC0E225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 xml:space="preserve">General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B093A9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General description for NF services</w:t>
            </w:r>
          </w:p>
        </w:tc>
        <w:tc>
          <w:tcPr>
            <w:tcW w:w="2410" w:type="dxa"/>
          </w:tcPr>
          <w:p w14:paraId="13263EC7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03ED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02D869AB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 w:eastAsia="宋体"/>
                <w:bCs/>
                <w:sz w:val="20"/>
              </w:rPr>
              <w:t>7.2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435A777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SF services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A63933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conclusions from clause 8.1 to clause 8.6 of TR 23.700-14,</w:t>
            </w:r>
          </w:p>
        </w:tc>
        <w:tc>
          <w:tcPr>
            <w:tcW w:w="2410" w:type="dxa"/>
          </w:tcPr>
          <w:p w14:paraId="52189FDD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2A22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10" w:type="dxa"/>
            <w:shd w:val="clear" w:color="auto" w:fill="auto"/>
            <w:vAlign w:val="center"/>
          </w:tcPr>
          <w:p w14:paraId="393DE3D9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hint="eastAsia" w:ascii="Times New Roman" w:hAnsi="Times New Roman" w:eastAsia="宋体"/>
                <w:bCs/>
                <w:sz w:val="20"/>
              </w:rPr>
              <w:t>7</w:t>
            </w:r>
            <w:r>
              <w:rPr>
                <w:rFonts w:ascii="Times New Roman" w:hAnsi="Times New Roman" w:eastAsia="宋体"/>
                <w:bCs/>
                <w:sz w:val="20"/>
              </w:rPr>
              <w:t>.3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165ABC02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NEF services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EB477C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conclusions from clause 8.2/8.5 of TR 23.700-14,</w:t>
            </w:r>
          </w:p>
        </w:tc>
        <w:tc>
          <w:tcPr>
            <w:tcW w:w="2410" w:type="dxa"/>
          </w:tcPr>
          <w:p w14:paraId="139F9188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  <w:tr w14:paraId="39CC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1110" w:type="dxa"/>
            <w:shd w:val="clear" w:color="auto" w:fill="auto"/>
            <w:vAlign w:val="center"/>
          </w:tcPr>
          <w:p w14:paraId="64E6D97B">
            <w:pPr>
              <w:spacing w:after="0" w:line="240" w:lineRule="auto"/>
              <w:rPr>
                <w:rFonts w:ascii="Times New Roman" w:hAnsi="Times New Roman" w:eastAsia="宋体"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Annex A</w:t>
            </w:r>
          </w:p>
        </w:tc>
        <w:tc>
          <w:tcPr>
            <w:tcW w:w="3558" w:type="dxa"/>
            <w:shd w:val="clear" w:color="auto" w:fill="auto"/>
            <w:vAlign w:val="center"/>
          </w:tcPr>
          <w:p w14:paraId="07323BB9">
            <w:pPr>
              <w:spacing w:after="0" w:line="240" w:lineRule="auto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Deployment options for sensing service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D29DB3C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0E31E2"/>
                <w:sz w:val="20"/>
              </w:rPr>
              <w:t>Description, e.g., based on conclusions from clause 8.1 of TR 23.700-14,</w:t>
            </w:r>
          </w:p>
        </w:tc>
        <w:tc>
          <w:tcPr>
            <w:tcW w:w="2410" w:type="dxa"/>
          </w:tcPr>
          <w:p w14:paraId="3A2CAB22">
            <w:pPr>
              <w:spacing w:after="0" w:line="240" w:lineRule="auto"/>
              <w:rPr>
                <w:rFonts w:ascii="Times New Roman" w:hAnsi="Times New Roman"/>
                <w:i/>
                <w:iCs/>
                <w:color w:val="0E31E2"/>
                <w:sz w:val="20"/>
              </w:rPr>
            </w:pPr>
          </w:p>
        </w:tc>
      </w:tr>
    </w:tbl>
    <w:p w14:paraId="15843FCA"/>
    <w:p w14:paraId="6FE4910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5B"/>
    <w:rsid w:val="0003575D"/>
    <w:rsid w:val="0007243C"/>
    <w:rsid w:val="000847CD"/>
    <w:rsid w:val="000F2300"/>
    <w:rsid w:val="00190CCA"/>
    <w:rsid w:val="001B2E8E"/>
    <w:rsid w:val="00254B63"/>
    <w:rsid w:val="002B238A"/>
    <w:rsid w:val="002E1DCB"/>
    <w:rsid w:val="002F33BD"/>
    <w:rsid w:val="00354F69"/>
    <w:rsid w:val="003636E3"/>
    <w:rsid w:val="003849D8"/>
    <w:rsid w:val="00391BEA"/>
    <w:rsid w:val="003934CB"/>
    <w:rsid w:val="003C4C09"/>
    <w:rsid w:val="003D6559"/>
    <w:rsid w:val="003F42C3"/>
    <w:rsid w:val="0045245B"/>
    <w:rsid w:val="00460934"/>
    <w:rsid w:val="00574028"/>
    <w:rsid w:val="005B129F"/>
    <w:rsid w:val="005D0498"/>
    <w:rsid w:val="00680C7F"/>
    <w:rsid w:val="00684341"/>
    <w:rsid w:val="00775595"/>
    <w:rsid w:val="0078084E"/>
    <w:rsid w:val="007A5549"/>
    <w:rsid w:val="007F539E"/>
    <w:rsid w:val="00805F8F"/>
    <w:rsid w:val="00820379"/>
    <w:rsid w:val="008C2AD6"/>
    <w:rsid w:val="008F24D3"/>
    <w:rsid w:val="009A5492"/>
    <w:rsid w:val="009B7412"/>
    <w:rsid w:val="00A00EEE"/>
    <w:rsid w:val="00A03676"/>
    <w:rsid w:val="00A45597"/>
    <w:rsid w:val="00A952E3"/>
    <w:rsid w:val="00AA361D"/>
    <w:rsid w:val="00AB635B"/>
    <w:rsid w:val="00AE7439"/>
    <w:rsid w:val="00B213B6"/>
    <w:rsid w:val="00B3398F"/>
    <w:rsid w:val="00BA52D0"/>
    <w:rsid w:val="00BE444F"/>
    <w:rsid w:val="00C30D1D"/>
    <w:rsid w:val="00D16955"/>
    <w:rsid w:val="00D574D9"/>
    <w:rsid w:val="00D61D94"/>
    <w:rsid w:val="00DA7BBF"/>
    <w:rsid w:val="00E874FE"/>
    <w:rsid w:val="00EC4CEC"/>
    <w:rsid w:val="00ED5B85"/>
    <w:rsid w:val="00EE243F"/>
    <w:rsid w:val="00F77E86"/>
    <w:rsid w:val="00F91673"/>
    <w:rsid w:val="00F92240"/>
    <w:rsid w:val="712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等线" w:cs="Times New Roman"/>
      <w:kern w:val="0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Revision"/>
    <w:hidden/>
    <w:semiHidden/>
    <w:qFormat/>
    <w:uiPriority w:val="99"/>
    <w:rPr>
      <w:rFonts w:ascii="Calibri" w:hAnsi="Calibri" w:eastAsia="等线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75E6-B302-4FCB-8171-EFE96A2549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402</Words>
  <Characters>2293</Characters>
  <Lines>19</Lines>
  <Paragraphs>5</Paragraphs>
  <TotalTime>0</TotalTime>
  <ScaleCrop>false</ScaleCrop>
  <LinksUpToDate>false</LinksUpToDate>
  <CharactersWithSpaces>2690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2026-01-22T13:51:00Z</dcterms:created>
  <dc:creator>xm111</dc:creator>
  <cp:lastModifiedBy>CMCC</cp:lastModifiedBy>
  <dcterms:modified xsi:type="dcterms:W3CDTF">2026-01-23T09:27:20Z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c11f5f0f22a11f08000313800003138">
    <vt:lpwstr>CWMIYQAHzWzBnwgQpvI+3aU90Hn7K8idgN7U6aEGmyxCFqQ+yzQaWI1OWXGgmc7gJmRDJZ9huj/h2KegcXat/TpNQ==</vt:lpwstr>
  </property>
  <property fmtid="{D5CDD505-2E9C-101B-9397-08002B2CF9AE}" pid="3" name="KSOProductBuildVer">
    <vt:lpwstr>2052-12.8.2.21555</vt:lpwstr>
  </property>
  <property fmtid="{D5CDD505-2E9C-101B-9397-08002B2CF9AE}" pid="4" name="ICV">
    <vt:lpwstr>07139DD30E84422CB01C7A40FF764145_13</vt:lpwstr>
  </property>
</Properties>
</file>