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344D">
      <w:pPr>
        <w:pStyle w:val="15"/>
        <w:tabs>
          <w:tab w:val="right" w:pos="7088"/>
          <w:tab w:val="right" w:pos="9781"/>
          <w:tab w:val="clear" w:pos="8306"/>
        </w:tabs>
        <w:rPr>
          <w:rFonts w:hint="default" w:ascii="Arial" w:hAnsi="Arial" w:eastAsia="宋体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TSG/WGRef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RAN5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Meeting #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MtgSeq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1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R5-2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6</w:t>
      </w:r>
      <w:r>
        <w:rPr>
          <w:rFonts w:hint="eastAsia" w:ascii="Arial" w:hAnsi="Arial" w:eastAsia="宋体" w:cs="Arial"/>
          <w:b/>
          <w:bCs/>
          <w:sz w:val="22"/>
          <w:highlight w:val="yellow"/>
          <w:lang w:val="en-US" w:eastAsia="zh-CN"/>
        </w:rPr>
        <w:t>XXXX</w:t>
      </w:r>
    </w:p>
    <w:p w14:paraId="1D5A85ED">
      <w:pPr>
        <w:pStyle w:val="15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Location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Country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StartDate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19th May 2025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-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EndDate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23rd May 2025</w:t>
      </w:r>
      <w:r>
        <w:rPr>
          <w:rFonts w:ascii="Arial" w:hAnsi="Arial" w:cs="Arial"/>
          <w:b/>
          <w:bCs/>
          <w:sz w:val="22"/>
        </w:rPr>
        <w:fldChar w:fldCharType="end"/>
      </w:r>
    </w:p>
    <w:p w14:paraId="4E510B6D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cs="Arial"/>
          <w:b/>
          <w:bCs/>
          <w:sz w:val="22"/>
        </w:rPr>
      </w:pPr>
    </w:p>
    <w:p w14:paraId="16303D0D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eastAsia="Times New Roman" w:cs="Arial"/>
          <w:bCs/>
        </w:rPr>
        <w:t xml:space="preserve">LS on </w:t>
      </w:r>
      <w:r>
        <w:rPr>
          <w:rFonts w:hint="eastAsia" w:ascii="Arial" w:hAnsi="Arial" w:eastAsia="Times New Roman" w:cs="Arial"/>
          <w:bCs/>
          <w:lang w:val="en-US" w:eastAsia="zh-CN"/>
        </w:rPr>
        <w:t xml:space="preserve">A-IoT </w:t>
      </w:r>
      <w:r>
        <w:rPr>
          <w:rFonts w:hint="eastAsia" w:ascii="Arial" w:hAnsi="Arial" w:eastAsia="Times New Roman" w:cs="Arial"/>
          <w:bCs/>
        </w:rPr>
        <w:t>OTA Anechoic chamber method</w:t>
      </w:r>
    </w:p>
    <w:p w14:paraId="53A2D724">
      <w:pPr>
        <w:spacing w:after="60"/>
        <w:ind w:left="1985" w:hanging="1985"/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9245B7E">
      <w:pPr>
        <w:spacing w:after="60"/>
        <w:ind w:left="1985" w:hanging="1985"/>
        <w:rPr>
          <w:rFonts w:hint="eastAsia"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</w:p>
    <w:p w14:paraId="72D6BB5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eastAsia="Times New Roman" w:cs="Arial"/>
          <w:bCs/>
        </w:rPr>
        <w:t>Ambient_IoT_Solutions</w:t>
      </w:r>
      <w:r>
        <w:rPr>
          <w:rFonts w:hint="eastAsia" w:ascii="Arial" w:hAnsi="Arial" w:eastAsia="Times New Roman" w:cs="Arial"/>
          <w:bCs/>
        </w:rPr>
        <w:t>_plus_CT1</w:t>
      </w:r>
      <w:r>
        <w:rPr>
          <w:rFonts w:hint="eastAsia" w:ascii="Arial" w:hAnsi="Arial" w:eastAsia="Times New Roman" w:cs="Arial"/>
          <w:bCs/>
          <w:lang w:val="en-US" w:eastAsia="zh-CN"/>
        </w:rPr>
        <w:t>_SA3</w:t>
      </w:r>
      <w:r>
        <w:rPr>
          <w:rFonts w:ascii="Arial" w:hAnsi="Arial" w:eastAsia="Times New Roman" w:cs="Arial"/>
          <w:bCs/>
        </w:rPr>
        <w:t>-ConTest</w:t>
      </w:r>
    </w:p>
    <w:p w14:paraId="32DD5517">
      <w:pPr>
        <w:spacing w:after="60"/>
        <w:ind w:left="1985" w:hanging="1985"/>
        <w:rPr>
          <w:rFonts w:ascii="Arial" w:hAnsi="Arial" w:cs="Arial"/>
          <w:b/>
        </w:rPr>
      </w:pPr>
    </w:p>
    <w:p w14:paraId="701629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>TSG RAN WG5</w:t>
      </w:r>
    </w:p>
    <w:p w14:paraId="1D46AF0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TSG RAN WG4</w:t>
      </w:r>
    </w:p>
    <w:p w14:paraId="3BB6188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bookmarkEnd w:id="0"/>
    <w:p w14:paraId="53D7E396">
      <w:pPr>
        <w:spacing w:after="60"/>
        <w:ind w:left="1985" w:hanging="1985"/>
        <w:rPr>
          <w:rFonts w:ascii="Arial" w:hAnsi="Arial" w:cs="Arial"/>
          <w:bCs/>
        </w:rPr>
      </w:pPr>
    </w:p>
    <w:p w14:paraId="1C42C49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87C9931"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eastAsia="宋体" w:cs="Arial"/>
          <w:b w:val="0"/>
          <w:bCs/>
          <w:lang w:val="en-US" w:eastAsia="zh-CN"/>
        </w:rPr>
        <w:t>Dan Song; Flores Fernandez Martos</w:t>
      </w:r>
    </w:p>
    <w:p w14:paraId="6F0DB97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C906A02">
      <w:pPr>
        <w:pStyle w:val="8"/>
        <w:tabs>
          <w:tab w:val="left" w:pos="2268"/>
        </w:tabs>
        <w:ind w:left="567"/>
        <w:rPr>
          <w:rFonts w:hint="default"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begin"/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instrText xml:space="preserve"> HYPERLINK "mailto:songdan@chinamobile.com;" </w:instrText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separate"/>
      </w:r>
      <w:r>
        <w:rPr>
          <w:rStyle w:val="20"/>
          <w:rFonts w:hint="eastAsia" w:ascii="Arial" w:hAnsi="Arial" w:eastAsia="Times New Roman" w:cs="Arial"/>
          <w:b w:val="0"/>
          <w:bCs/>
          <w:lang w:val="en-US" w:eastAsia="zh-CN" w:bidi="ar-SA"/>
        </w:rPr>
        <w:t>songdan@chinamobile.com</w:t>
      </w:r>
      <w:r>
        <w:rPr>
          <w:rStyle w:val="20"/>
          <w:rFonts w:hint="eastAsia" w:ascii="Arial" w:hAnsi="Arial" w:cs="Arial"/>
          <w:b w:val="0"/>
          <w:bCs/>
          <w:lang w:val="en-US" w:eastAsia="zh-CN" w:bidi="ar-SA"/>
        </w:rPr>
        <w:t>;</w:t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end"/>
      </w:r>
      <w:r>
        <w:rPr>
          <w:rFonts w:hint="eastAsia" w:ascii="Arial" w:hAnsi="Arial" w:cs="Arial"/>
          <w:b w:val="0"/>
          <w:bCs/>
          <w:color w:val="0000FF"/>
          <w:lang w:val="en-US" w:eastAsia="zh-CN" w:bidi="ar-SA"/>
        </w:rPr>
        <w:t xml:space="preserve"> </w:t>
      </w:r>
      <w:r>
        <w:rPr>
          <w:rStyle w:val="20"/>
          <w:rFonts w:hint="eastAsia" w:ascii="Arial" w:hAnsi="Arial" w:eastAsia="Times New Roman" w:cs="Arial"/>
          <w:b w:val="0"/>
          <w:bCs/>
          <w:lang w:val="en-US" w:eastAsia="zh-CN" w:bidi="ar-SA"/>
        </w:rPr>
        <w:t>flores_fernandez@keysight.com</w:t>
      </w:r>
    </w:p>
    <w:p w14:paraId="4B3FCB08">
      <w:pPr>
        <w:spacing w:after="60"/>
        <w:ind w:left="1985" w:hanging="1985"/>
        <w:rPr>
          <w:rFonts w:ascii="Arial" w:hAnsi="Arial" w:cs="Arial"/>
          <w:b/>
        </w:rPr>
      </w:pPr>
    </w:p>
    <w:p w14:paraId="695CD8E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0"/>
          <w:rFonts w:ascii="Arial" w:hAnsi="Arial" w:cs="Arial"/>
          <w:b/>
        </w:rPr>
        <w:t>mailto:3GPPLiaison@etsi.org</w:t>
      </w:r>
      <w:r>
        <w:rPr>
          <w:rStyle w:val="20"/>
          <w:rFonts w:ascii="Arial" w:hAnsi="Arial" w:cs="Arial"/>
          <w:b/>
        </w:rPr>
        <w:fldChar w:fldCharType="end"/>
      </w:r>
    </w:p>
    <w:p w14:paraId="29FB194D">
      <w:pPr>
        <w:spacing w:after="60"/>
        <w:ind w:left="1985" w:hanging="1985"/>
        <w:rPr>
          <w:rFonts w:ascii="Arial" w:hAnsi="Arial" w:cs="Arial"/>
          <w:b/>
        </w:rPr>
      </w:pPr>
    </w:p>
    <w:p w14:paraId="2106559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0B0E9205">
      <w:pPr>
        <w:pBdr>
          <w:bottom w:val="single" w:color="auto" w:sz="4" w:space="1"/>
        </w:pBdr>
        <w:rPr>
          <w:rFonts w:ascii="Arial" w:hAnsi="Arial" w:cs="Arial"/>
        </w:rPr>
      </w:pPr>
    </w:p>
    <w:p w14:paraId="49048F93">
      <w:pPr>
        <w:rPr>
          <w:rFonts w:ascii="Arial" w:hAnsi="Arial" w:cs="Arial"/>
        </w:rPr>
      </w:pPr>
    </w:p>
    <w:p w14:paraId="4F04D85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819B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ascii="Arial" w:hAnsi="Arial" w:cs="Arial"/>
        </w:rPr>
        <w:t>RAN</w:t>
      </w:r>
      <w:r>
        <w:rPr>
          <w:rFonts w:hint="default" w:ascii="Arial" w:hAnsi="Arial" w:cs="Arial"/>
          <w:lang w:val="en-US" w:eastAsia="zh-CN"/>
        </w:rPr>
        <w:t>5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</w:rPr>
        <w:t xml:space="preserve">has discussed A-IoT OTA Anechoic chamber method and </w:t>
      </w:r>
      <w:r>
        <w:rPr>
          <w:rFonts w:ascii="Arial" w:hAnsi="Arial" w:cs="Arial"/>
        </w:rPr>
        <w:t xml:space="preserve">would like to </w:t>
      </w:r>
      <w:r>
        <w:rPr>
          <w:rFonts w:hint="default" w:ascii="Arial" w:hAnsi="Arial" w:cs="Arial"/>
          <w:lang w:val="en-US" w:eastAsia="zh-CN"/>
        </w:rPr>
        <w:t xml:space="preserve">seek clarifications on </w:t>
      </w:r>
      <w:r>
        <w:rPr>
          <w:rFonts w:hint="default" w:ascii="Arial" w:hAnsi="Arial" w:cs="Arial"/>
          <w:sz w:val="20"/>
          <w:szCs w:val="20"/>
          <w:lang w:val="en-US" w:eastAsia="zh-CN"/>
        </w:rPr>
        <w:t>t</w:t>
      </w:r>
      <w:r>
        <w:rPr>
          <w:rFonts w:hint="default" w:ascii="Arial" w:hAnsi="Arial" w:eastAsia="Times New Roman" w:cs="Arial"/>
          <w:sz w:val="20"/>
          <w:szCs w:val="20"/>
          <w:lang w:val="en-GB"/>
        </w:rPr>
        <w:t>he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following items:</w:t>
      </w:r>
    </w:p>
    <w:p w14:paraId="5F59EF3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hanging="420"/>
        <w:jc w:val="left"/>
        <w:textAlignment w:val="auto"/>
        <w:rPr>
          <w:rFonts w:hint="default" w:ascii="Arial" w:hAnsi="Arial" w:eastAsia="宋体" w:cs="Arial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For the </w:t>
      </w:r>
      <w:r>
        <w:rPr>
          <w:rFonts w:hint="default" w:ascii="Arial" w:hAnsi="Arial" w:eastAsia="Times New Roman" w:cs="Arial"/>
          <w:sz w:val="20"/>
          <w:szCs w:val="20"/>
          <w:lang w:val="en-GB"/>
        </w:rPr>
        <w:t>statement of cl. 8.4.1 in TS 38.191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“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Test antenna with two linear orthogonal polarizations supports both CW and Reader, namely CW and Reader share the same antenna with CW and Reader using both polarizations</w:t>
      </w:r>
      <w:r>
        <w:rPr>
          <w:rFonts w:hint="default" w:ascii="Arial" w:hAnsi="Arial" w:cs="Arial"/>
          <w:sz w:val="20"/>
          <w:szCs w:val="20"/>
          <w:lang w:val="en-US" w:eastAsia="zh-CN"/>
        </w:rPr>
        <w:t>”</w:t>
      </w:r>
      <w:r>
        <w:rPr>
          <w:rFonts w:hint="eastAsia" w:ascii="Arial" w:hAnsi="Arial" w:cs="Arial"/>
          <w:sz w:val="20"/>
          <w:szCs w:val="20"/>
          <w:lang w:val="en-US" w:eastAsia="zh-CN"/>
        </w:rPr>
        <w:t>,</w:t>
      </w:r>
      <w:r>
        <w:rPr>
          <w:rFonts w:ascii="Arial" w:hAnsi="Arial" w:cs="Arial"/>
        </w:rPr>
        <w:t xml:space="preserve"> </w:t>
      </w:r>
    </w:p>
    <w:p w14:paraId="6C5684A1">
      <w:pPr>
        <w:pStyle w:val="3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80" w:leftChars="0" w:hanging="360" w:firstLineChars="0"/>
        <w:jc w:val="left"/>
        <w:textAlignment w:val="auto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For 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test antenna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val="en-US" w:eastAsia="zh-CN"/>
        </w:rPr>
        <w:t>i</w:t>
      </w:r>
      <w:r>
        <w:rPr>
          <w:rFonts w:hint="default" w:ascii="Arial" w:hAnsi="Arial" w:cs="Arial"/>
          <w:sz w:val="20"/>
          <w:szCs w:val="20"/>
          <w:lang w:val="en-US" w:eastAsia="zh-CN"/>
        </w:rPr>
        <w:t>t is not clear to RAN5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whether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CW and Reader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will always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be in orthogonal polarizations? </w:t>
      </w:r>
      <w:r>
        <w:rPr>
          <w:rFonts w:hint="eastAsia" w:ascii="Arial" w:hAnsi="Arial" w:cs="Arial"/>
          <w:sz w:val="20"/>
          <w:szCs w:val="20"/>
          <w:lang w:val="en-US" w:eastAsia="zh-CN"/>
        </w:rPr>
        <w:t>Or whether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CW and Reader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can be configured independently and so there is no need for them to be always </w:t>
      </w:r>
      <w:r>
        <w:rPr>
          <w:rFonts w:hint="default" w:ascii="Arial" w:hAnsi="Arial" w:cs="Arial"/>
          <w:sz w:val="20"/>
          <w:szCs w:val="20"/>
          <w:lang w:val="en-US" w:eastAsia="zh-CN"/>
        </w:rPr>
        <w:t>in orthogon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>l polarizations?</w:t>
      </w:r>
    </w:p>
    <w:p w14:paraId="12096368">
      <w:pPr>
        <w:pStyle w:val="3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80" w:leftChars="0" w:hanging="360" w:firstLineChars="0"/>
        <w:jc w:val="left"/>
        <w:textAlignment w:val="auto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Since CW and Reader share the same test antenna, CW and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Reader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will share the same </w:t>
      </w:r>
      <w:r>
        <w:rPr>
          <w:rFonts w:hint="default" w:ascii="Arial" w:hAnsi="Arial" w:cs="Arial"/>
          <w:sz w:val="20"/>
          <w:szCs w:val="20"/>
          <w:lang w:val="en-US" w:eastAsia="zh-CN"/>
        </w:rPr>
        <w:t>direction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in testing.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However, whether this will be the worst case for </w:t>
      </w:r>
      <w:r>
        <w:rPr>
          <w:rFonts w:hint="default" w:ascii="Arial" w:hAnsi="Arial" w:cs="Arial"/>
          <w:sz w:val="20"/>
          <w:szCs w:val="20"/>
          <w:lang w:val="en-US" w:eastAsia="zh-CN"/>
        </w:rPr>
        <w:t>A-IoT device testing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in procedures listed below is not clear to RAN5 either. Generally, for RAN5 device conformance testing, worst case for the device will be chosen to ensure the effectiveness. </w:t>
      </w:r>
    </w:p>
    <w:p w14:paraId="21E10D56">
      <w:pPr>
        <w:pStyle w:val="31"/>
        <w:keepNext w:val="0"/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800" w:leftChars="0" w:hanging="360" w:firstLineChars="0"/>
        <w:jc w:val="left"/>
        <w:textAlignment w:val="auto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default" w:ascii="Arial" w:hAnsi="Arial" w:eastAsia="宋体" w:cs="Arial"/>
          <w:sz w:val="20"/>
          <w:szCs w:val="20"/>
          <w:lang w:val="en-US" w:eastAsia="en-US"/>
        </w:rPr>
        <w:t>Backscattering measurement procedure</w:t>
      </w:r>
    </w:p>
    <w:p w14:paraId="0CBAC95D">
      <w:pPr>
        <w:pStyle w:val="31"/>
        <w:keepNext w:val="0"/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800" w:leftChars="0" w:hanging="360" w:firstLineChars="0"/>
        <w:jc w:val="left"/>
        <w:textAlignment w:val="auto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default" w:ascii="Arial" w:hAnsi="Arial" w:eastAsia="宋体" w:cs="Arial"/>
          <w:sz w:val="20"/>
          <w:szCs w:val="20"/>
          <w:lang w:val="en-US" w:eastAsia="en-US"/>
        </w:rPr>
        <w:t>Sensitivity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measurement procedure</w:t>
      </w:r>
    </w:p>
    <w:p w14:paraId="4A460C27">
      <w:pPr>
        <w:pStyle w:val="31"/>
        <w:keepNext w:val="0"/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800" w:leftChars="0" w:hanging="360" w:firstLineChars="0"/>
        <w:jc w:val="left"/>
        <w:textAlignment w:val="auto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default" w:ascii="Arial" w:hAnsi="Arial" w:eastAsia="宋体" w:cs="Arial"/>
          <w:sz w:val="20"/>
          <w:szCs w:val="20"/>
          <w:lang w:val="en-US" w:eastAsia="en-US"/>
        </w:rPr>
        <w:t>Unwanted emission measurement procedure</w:t>
      </w:r>
    </w:p>
    <w:p w14:paraId="37DEA008">
      <w:pPr>
        <w:numPr>
          <w:ilvl w:val="0"/>
          <w:numId w:val="5"/>
        </w:numPr>
        <w:spacing w:line="300" w:lineRule="exact"/>
        <w:ind w:left="420" w:hanging="420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For Step 4 in cl. 8.4.2 in TS 38.191 “</w:t>
      </w:r>
      <w:r>
        <w:rPr>
          <w:rFonts w:ascii="Arial" w:hAnsi="Arial" w:eastAsia="宋体" w:cs="Arial"/>
          <w:b/>
          <w:bCs/>
          <w:sz w:val="20"/>
          <w:szCs w:val="20"/>
          <w:lang w:eastAsia="en-US"/>
        </w:rPr>
        <w:t>Set the signal generator (i.e., R2D signal) and the CW generator to transmit at the target test frequency with θ-polarization</w:t>
      </w:r>
      <w:r>
        <w:rPr>
          <w:rFonts w:hint="default" w:ascii="Arial" w:hAnsi="Arial" w:cs="Arial"/>
          <w:sz w:val="20"/>
          <w:szCs w:val="20"/>
          <w:lang w:val="en-US" w:eastAsia="zh-CN"/>
        </w:rPr>
        <w:t>”</w:t>
      </w:r>
      <w:r>
        <w:rPr>
          <w:rFonts w:hint="eastAsia" w:ascii="Arial" w:hAnsi="Arial" w:cs="Arial"/>
          <w:sz w:val="20"/>
          <w:szCs w:val="20"/>
          <w:lang w:val="en-US" w:eastAsia="zh-CN"/>
        </w:rPr>
        <w:t>,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</w:p>
    <w:p w14:paraId="0BA241AA">
      <w:pPr>
        <w:pStyle w:val="31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80" w:leftChars="0" w:hanging="360" w:firstLineChars="0"/>
        <w:jc w:val="left"/>
        <w:textAlignment w:val="auto"/>
      </w:pPr>
      <w:r>
        <w:rPr>
          <w:rFonts w:hint="default" w:ascii="Arial" w:hAnsi="Arial" w:cs="Arial"/>
          <w:sz w:val="20"/>
          <w:szCs w:val="20"/>
          <w:lang w:val="en-US" w:eastAsia="zh-CN"/>
        </w:rPr>
        <w:t>It is not clear to RAN5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whether </w:t>
      </w:r>
      <w:r>
        <w:rPr>
          <w:rFonts w:hint="default" w:ascii="Arial" w:hAnsi="Arial" w:cs="Arial"/>
          <w:sz w:val="20"/>
          <w:szCs w:val="20"/>
          <w:lang w:val="en-US" w:eastAsia="zh-CN"/>
        </w:rPr>
        <w:t>A-IoT device w</w:t>
      </w:r>
      <w:r>
        <w:rPr>
          <w:rFonts w:hint="eastAsia" w:ascii="Arial" w:hAnsi="Arial" w:cs="Arial"/>
          <w:sz w:val="20"/>
          <w:szCs w:val="20"/>
          <w:lang w:val="en-US" w:eastAsia="zh-CN"/>
        </w:rPr>
        <w:t>ill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receive signals from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both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CW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generator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and </w:t>
      </w:r>
      <w:r>
        <w:rPr>
          <w:rFonts w:hint="default" w:ascii="Arial" w:hAnsi="Arial" w:cs="Arial"/>
          <w:sz w:val="20"/>
          <w:szCs w:val="20"/>
          <w:lang w:val="en-US" w:eastAsia="zh-CN"/>
        </w:rPr>
        <w:t>signal generator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Reader</w:t>
      </w:r>
      <w:r>
        <w:rPr>
          <w:rFonts w:hint="default" w:ascii="Arial" w:hAnsi="Arial" w:cs="Arial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simultaneously in time?</w:t>
      </w:r>
    </w:p>
    <w:p w14:paraId="16BC2EFF">
      <w:pPr>
        <w:pStyle w:val="3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contextualSpacing/>
        <w:jc w:val="left"/>
        <w:textAlignment w:val="auto"/>
      </w:pPr>
    </w:p>
    <w:p w14:paraId="67106A0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4F5384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RAN4 group.</w:t>
      </w:r>
    </w:p>
    <w:p w14:paraId="2B7B65AB">
      <w:pPr>
        <w:spacing w:after="120"/>
        <w:ind w:left="1985" w:hanging="1985"/>
        <w:rPr>
          <w:rFonts w:ascii="Arial" w:hAnsi="Arial" w:cs="Arial"/>
          <w:b/>
        </w:rPr>
      </w:pPr>
      <w:bookmarkStart w:id="1" w:name="_GoBack"/>
      <w:bookmarkEnd w:id="1"/>
    </w:p>
    <w:p w14:paraId="0367AC3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</w:p>
    <w:p w14:paraId="3B460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RAN5 respectfully requests RAN4 to respond to the above questions.</w:t>
      </w:r>
    </w:p>
    <w:p w14:paraId="07EA6B15">
      <w:pPr>
        <w:rPr>
          <w:rFonts w:ascii="Arial" w:hAnsi="Arial" w:cs="Arial"/>
          <w:highlight w:val="yellow"/>
        </w:rPr>
      </w:pPr>
    </w:p>
    <w:p w14:paraId="471AAE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WG5 Meetings:</w:t>
      </w:r>
    </w:p>
    <w:p w14:paraId="5C2FC557">
      <w:pPr>
        <w:rPr>
          <w:rFonts w:ascii="Arial" w:hAnsi="Arial" w:cs="Arial"/>
          <w:b/>
        </w:rPr>
      </w:pPr>
    </w:p>
    <w:p w14:paraId="3D3557A5">
      <w:pPr>
        <w:tabs>
          <w:tab w:val="left" w:pos="5103"/>
        </w:tabs>
        <w:spacing w:after="120"/>
        <w:ind w:left="2268" w:hanging="2268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18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22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nd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Dalian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eastAsia="宋体" w:cs="Arial"/>
          <w:bCs/>
          <w:lang w:val="en-US" w:eastAsia="zh-CN"/>
        </w:rPr>
        <w:t>China</w:t>
      </w:r>
    </w:p>
    <w:p w14:paraId="42702497">
      <w:pPr>
        <w:tabs>
          <w:tab w:val="left" w:pos="5103"/>
        </w:tabs>
        <w:spacing w:after="120"/>
        <w:ind w:left="2268" w:hanging="2268"/>
        <w:rPr>
          <w:rFonts w:hint="eastAsia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24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hint="eastAsia" w:ascii="Arial" w:hAnsi="Arial" w:eastAsia="宋体" w:cs="Arial"/>
          <w:bCs/>
          <w:lang w:val="en-US" w:eastAsia="zh-CN"/>
        </w:rPr>
        <w:t>8</w:t>
      </w:r>
      <w:r>
        <w:rPr>
          <w:rFonts w:ascii="Arial" w:hAnsi="Arial" w:cs="Arial"/>
          <w:bCs/>
          <w:vertAlign w:val="superscript"/>
        </w:rPr>
        <w:t>t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h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Maastricht, Netherlands</w:t>
      </w:r>
    </w:p>
    <w:p w14:paraId="1CC3AF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9CC574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References: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4D"/>
    <w:family w:val="decorative"/>
    <w:pitch w:val="default"/>
    <w:sig w:usb0="00000000" w:usb1="00000000" w:usb2="00000000" w:usb3="00000000" w:csb0="80000000" w:csb1="00000000"/>
  </w:font>
  <w:font w:name="Monotype Sorts">
    <w:altName w:val="Wingdings"/>
    <w:panose1 w:val="01010601010101010101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CBA03"/>
    <w:multiLevelType w:val="multilevel"/>
    <w:tmpl w:val="843CBA0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2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26F961AB"/>
    <w:multiLevelType w:val="multilevel"/>
    <w:tmpl w:val="26F961AB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1CA2C26"/>
    <w:multiLevelType w:val="singleLevel"/>
    <w:tmpl w:val="41CA2C26"/>
    <w:lvl w:ilvl="0" w:tentative="0">
      <w:start w:val="1"/>
      <w:numFmt w:val="bullet"/>
      <w:pStyle w:val="2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4">
    <w:nsid w:val="549A69FD"/>
    <w:multiLevelType w:val="multilevel"/>
    <w:tmpl w:val="549A69FD"/>
    <w:lvl w:ilvl="0" w:tentative="0">
      <w:start w:val="5"/>
      <w:numFmt w:val="decimal"/>
      <w:pStyle w:val="2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 w:tentative="0">
      <w:start w:val="1"/>
      <w:numFmt w:val="bullet"/>
      <w:pStyle w:val="2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01909"/>
    <w:rsid w:val="00007669"/>
    <w:rsid w:val="00015E9A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67E3"/>
    <w:rsid w:val="000976FE"/>
    <w:rsid w:val="000A0D0D"/>
    <w:rsid w:val="000A4249"/>
    <w:rsid w:val="000E0F3F"/>
    <w:rsid w:val="000E7C74"/>
    <w:rsid w:val="000F7115"/>
    <w:rsid w:val="00100BEF"/>
    <w:rsid w:val="001036AF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43FF"/>
    <w:rsid w:val="00177986"/>
    <w:rsid w:val="00181001"/>
    <w:rsid w:val="0018519D"/>
    <w:rsid w:val="00187EC6"/>
    <w:rsid w:val="001960F1"/>
    <w:rsid w:val="00196110"/>
    <w:rsid w:val="001B23C6"/>
    <w:rsid w:val="001B2BC2"/>
    <w:rsid w:val="001B6D88"/>
    <w:rsid w:val="001C428E"/>
    <w:rsid w:val="001D0654"/>
    <w:rsid w:val="001D5566"/>
    <w:rsid w:val="001E012B"/>
    <w:rsid w:val="00200AA6"/>
    <w:rsid w:val="002042E7"/>
    <w:rsid w:val="00204B78"/>
    <w:rsid w:val="00207064"/>
    <w:rsid w:val="00215DF9"/>
    <w:rsid w:val="00224B58"/>
    <w:rsid w:val="00227B7A"/>
    <w:rsid w:val="00235FE9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2382"/>
    <w:rsid w:val="002B43F5"/>
    <w:rsid w:val="002B6C2D"/>
    <w:rsid w:val="002C4729"/>
    <w:rsid w:val="002C60D3"/>
    <w:rsid w:val="002C65EB"/>
    <w:rsid w:val="002D04DA"/>
    <w:rsid w:val="002D1E7B"/>
    <w:rsid w:val="002D2590"/>
    <w:rsid w:val="002E27BB"/>
    <w:rsid w:val="002E34A7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61775"/>
    <w:rsid w:val="00371B06"/>
    <w:rsid w:val="003757CC"/>
    <w:rsid w:val="00375E1A"/>
    <w:rsid w:val="00380377"/>
    <w:rsid w:val="0038173E"/>
    <w:rsid w:val="003923CF"/>
    <w:rsid w:val="003A2222"/>
    <w:rsid w:val="003A3951"/>
    <w:rsid w:val="003A4D58"/>
    <w:rsid w:val="003B790E"/>
    <w:rsid w:val="003B7DFD"/>
    <w:rsid w:val="003C2BC4"/>
    <w:rsid w:val="003C3B2A"/>
    <w:rsid w:val="003D2CDD"/>
    <w:rsid w:val="003D400C"/>
    <w:rsid w:val="003E7C39"/>
    <w:rsid w:val="003F3842"/>
    <w:rsid w:val="003F5736"/>
    <w:rsid w:val="00410272"/>
    <w:rsid w:val="0041323E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54773"/>
    <w:rsid w:val="005556B9"/>
    <w:rsid w:val="00564870"/>
    <w:rsid w:val="005675EE"/>
    <w:rsid w:val="00570725"/>
    <w:rsid w:val="00573CCE"/>
    <w:rsid w:val="00583174"/>
    <w:rsid w:val="005836BD"/>
    <w:rsid w:val="00591893"/>
    <w:rsid w:val="005A3F15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2B81"/>
    <w:rsid w:val="005E45A2"/>
    <w:rsid w:val="005E6CC8"/>
    <w:rsid w:val="005F1073"/>
    <w:rsid w:val="005F63AF"/>
    <w:rsid w:val="00605BA3"/>
    <w:rsid w:val="00616DE3"/>
    <w:rsid w:val="006209A2"/>
    <w:rsid w:val="00636110"/>
    <w:rsid w:val="00641895"/>
    <w:rsid w:val="0064300A"/>
    <w:rsid w:val="006514F4"/>
    <w:rsid w:val="00655923"/>
    <w:rsid w:val="006568DB"/>
    <w:rsid w:val="00662476"/>
    <w:rsid w:val="00676063"/>
    <w:rsid w:val="006772D9"/>
    <w:rsid w:val="00677D9C"/>
    <w:rsid w:val="00683129"/>
    <w:rsid w:val="006950E7"/>
    <w:rsid w:val="006A1FB5"/>
    <w:rsid w:val="006A40E3"/>
    <w:rsid w:val="006B026C"/>
    <w:rsid w:val="006B31D0"/>
    <w:rsid w:val="006C0BFA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701366"/>
    <w:rsid w:val="00703B45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2647"/>
    <w:rsid w:val="007D3D8F"/>
    <w:rsid w:val="007D4BBA"/>
    <w:rsid w:val="007E0FC1"/>
    <w:rsid w:val="007E3940"/>
    <w:rsid w:val="007F4CF7"/>
    <w:rsid w:val="00802FA4"/>
    <w:rsid w:val="00806426"/>
    <w:rsid w:val="00813B6E"/>
    <w:rsid w:val="008237A9"/>
    <w:rsid w:val="00823B18"/>
    <w:rsid w:val="008242BB"/>
    <w:rsid w:val="00827D8C"/>
    <w:rsid w:val="00831250"/>
    <w:rsid w:val="00831491"/>
    <w:rsid w:val="00833E3C"/>
    <w:rsid w:val="00835FDB"/>
    <w:rsid w:val="00851124"/>
    <w:rsid w:val="00854614"/>
    <w:rsid w:val="00857095"/>
    <w:rsid w:val="00864833"/>
    <w:rsid w:val="00870BB2"/>
    <w:rsid w:val="00870F04"/>
    <w:rsid w:val="00873815"/>
    <w:rsid w:val="0088133F"/>
    <w:rsid w:val="0088616B"/>
    <w:rsid w:val="0089138F"/>
    <w:rsid w:val="00897977"/>
    <w:rsid w:val="008A2A05"/>
    <w:rsid w:val="008C30E8"/>
    <w:rsid w:val="008D144C"/>
    <w:rsid w:val="008D4E22"/>
    <w:rsid w:val="008E4FDA"/>
    <w:rsid w:val="008E55C0"/>
    <w:rsid w:val="008F0D6B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E1EB8"/>
    <w:rsid w:val="009F3BEB"/>
    <w:rsid w:val="009F458C"/>
    <w:rsid w:val="009F5054"/>
    <w:rsid w:val="009F534F"/>
    <w:rsid w:val="00A03A5D"/>
    <w:rsid w:val="00A04BE3"/>
    <w:rsid w:val="00A05BDF"/>
    <w:rsid w:val="00A05CD6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24A28"/>
    <w:rsid w:val="00B27BB9"/>
    <w:rsid w:val="00B336E0"/>
    <w:rsid w:val="00B337A1"/>
    <w:rsid w:val="00B42159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FEE"/>
    <w:rsid w:val="00BD2EDE"/>
    <w:rsid w:val="00BD4D88"/>
    <w:rsid w:val="00BD7CB8"/>
    <w:rsid w:val="00BE15E3"/>
    <w:rsid w:val="00BF2B41"/>
    <w:rsid w:val="00BF4D34"/>
    <w:rsid w:val="00C053DC"/>
    <w:rsid w:val="00C07C4E"/>
    <w:rsid w:val="00C106F8"/>
    <w:rsid w:val="00C13738"/>
    <w:rsid w:val="00C1441B"/>
    <w:rsid w:val="00C15644"/>
    <w:rsid w:val="00C227EC"/>
    <w:rsid w:val="00C25DDC"/>
    <w:rsid w:val="00C348DC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6E59"/>
    <w:rsid w:val="00D24AB4"/>
    <w:rsid w:val="00D33815"/>
    <w:rsid w:val="00D44818"/>
    <w:rsid w:val="00D72C05"/>
    <w:rsid w:val="00D7435F"/>
    <w:rsid w:val="00D836E3"/>
    <w:rsid w:val="00D855EC"/>
    <w:rsid w:val="00D87968"/>
    <w:rsid w:val="00D9091B"/>
    <w:rsid w:val="00D9314D"/>
    <w:rsid w:val="00D953AA"/>
    <w:rsid w:val="00DA3664"/>
    <w:rsid w:val="00DA4923"/>
    <w:rsid w:val="00DB4471"/>
    <w:rsid w:val="00DB685F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013F8"/>
    <w:rsid w:val="00E17933"/>
    <w:rsid w:val="00E17ADF"/>
    <w:rsid w:val="00E30509"/>
    <w:rsid w:val="00E404D2"/>
    <w:rsid w:val="00E434A7"/>
    <w:rsid w:val="00E55F3D"/>
    <w:rsid w:val="00E6629C"/>
    <w:rsid w:val="00E675F5"/>
    <w:rsid w:val="00E706B0"/>
    <w:rsid w:val="00E90450"/>
    <w:rsid w:val="00E9526C"/>
    <w:rsid w:val="00E96B59"/>
    <w:rsid w:val="00EA465A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317D1"/>
    <w:rsid w:val="00F31D23"/>
    <w:rsid w:val="00F32BF2"/>
    <w:rsid w:val="00F4225C"/>
    <w:rsid w:val="00F514E6"/>
    <w:rsid w:val="00F52977"/>
    <w:rsid w:val="00F53377"/>
    <w:rsid w:val="00F62457"/>
    <w:rsid w:val="00F63001"/>
    <w:rsid w:val="00F63632"/>
    <w:rsid w:val="00F67C89"/>
    <w:rsid w:val="00F8342D"/>
    <w:rsid w:val="00F868BA"/>
    <w:rsid w:val="00F87B16"/>
    <w:rsid w:val="00FA485D"/>
    <w:rsid w:val="00FD006B"/>
    <w:rsid w:val="00FD052C"/>
    <w:rsid w:val="00FD3628"/>
    <w:rsid w:val="00FE10D4"/>
    <w:rsid w:val="00FE4D03"/>
    <w:rsid w:val="00FE5DA1"/>
    <w:rsid w:val="00FE67B2"/>
    <w:rsid w:val="00FF6D15"/>
    <w:rsid w:val="0644429B"/>
    <w:rsid w:val="0D58687D"/>
    <w:rsid w:val="0E8F2773"/>
    <w:rsid w:val="0ED43145"/>
    <w:rsid w:val="15841A71"/>
    <w:rsid w:val="19F416DC"/>
    <w:rsid w:val="1C093B64"/>
    <w:rsid w:val="1EE73B5F"/>
    <w:rsid w:val="1F140BD7"/>
    <w:rsid w:val="20B53FD4"/>
    <w:rsid w:val="241678C4"/>
    <w:rsid w:val="24975A86"/>
    <w:rsid w:val="284552C1"/>
    <w:rsid w:val="291C6D80"/>
    <w:rsid w:val="2AAB4039"/>
    <w:rsid w:val="2BAC0068"/>
    <w:rsid w:val="2FA45EBE"/>
    <w:rsid w:val="3025488D"/>
    <w:rsid w:val="3082583C"/>
    <w:rsid w:val="343F1DBE"/>
    <w:rsid w:val="3C8F5568"/>
    <w:rsid w:val="406F4A4C"/>
    <w:rsid w:val="45CE5353"/>
    <w:rsid w:val="4EDF0FCC"/>
    <w:rsid w:val="4F0E67C1"/>
    <w:rsid w:val="4FC121DA"/>
    <w:rsid w:val="51517F21"/>
    <w:rsid w:val="55EC5382"/>
    <w:rsid w:val="5F6E0BB6"/>
    <w:rsid w:val="65A43583"/>
    <w:rsid w:val="67896ED4"/>
    <w:rsid w:val="687D6A81"/>
    <w:rsid w:val="6CC91B21"/>
    <w:rsid w:val="6D3B7D63"/>
    <w:rsid w:val="792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0"/>
    <w:semiHidden/>
    <w:unhideWhenUsed/>
    <w:qFormat/>
    <w:uiPriority w:val="99"/>
    <w:rPr>
      <w:rFonts w:ascii="Segoe UI" w:hAnsi="Segoe UI"/>
      <w:sz w:val="18"/>
      <w:szCs w:val="18"/>
      <w:lang w:eastAsia="zh-CN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16"/>
    </w:rPr>
  </w:style>
  <w:style w:type="paragraph" w:customStyle="1" w:styleId="22">
    <w:name w:val="B1"/>
    <w:basedOn w:val="1"/>
    <w:link w:val="34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7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8">
    <w:name w:val="done"/>
    <w:basedOn w:val="2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29">
    <w:name w:val="Not Done"/>
    <w:basedOn w:val="2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0">
    <w:name w:val="Balloon Text Char"/>
    <w:link w:val="13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paragraph" w:styleId="31">
    <w:name w:val="List Paragraph"/>
    <w:basedOn w:val="1"/>
    <w:link w:val="32"/>
    <w:qFormat/>
    <w:uiPriority w:val="34"/>
    <w:pPr>
      <w:ind w:left="720"/>
      <w:contextualSpacing/>
    </w:pPr>
    <w:rPr>
      <w:rFonts w:eastAsia="宋体"/>
      <w:sz w:val="24"/>
      <w:szCs w:val="24"/>
      <w:lang w:val="en-US"/>
    </w:rPr>
  </w:style>
  <w:style w:type="character" w:customStyle="1" w:styleId="32">
    <w:name w:val="List Paragraph Char"/>
    <w:link w:val="31"/>
    <w:qFormat/>
    <w:uiPriority w:val="34"/>
    <w:rPr>
      <w:rFonts w:eastAsia="宋体"/>
      <w:sz w:val="24"/>
      <w:szCs w:val="24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4">
    <w:name w:val="B1 Char"/>
    <w:link w:val="22"/>
    <w:qFormat/>
    <w:uiPriority w:val="0"/>
    <w:rPr>
      <w:rFonts w:ascii="Arial" w:hAnsi="Arial"/>
      <w:lang w:val="en-GB"/>
    </w:rPr>
  </w:style>
  <w:style w:type="paragraph" w:customStyle="1" w:styleId="3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2D8F-A42D-496A-8C2B-A307018AB8E7}">
  <ds:schemaRefs/>
</ds:datastoreItem>
</file>

<file path=customXml/itemProps2.xml><?xml version="1.0" encoding="utf-8"?>
<ds:datastoreItem xmlns:ds="http://schemas.openxmlformats.org/officeDocument/2006/customXml" ds:itemID="{86EA93BD-EF50-49BD-8256-6EFC85AB6EE3}">
  <ds:schemaRefs/>
</ds:datastoreItem>
</file>

<file path=customXml/itemProps3.xml><?xml version="1.0" encoding="utf-8"?>
<ds:datastoreItem xmlns:ds="http://schemas.openxmlformats.org/officeDocument/2006/customXml" ds:itemID="{0F25B4A5-CCBB-46C0-8E2F-A9FCA4F43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408</Words>
  <Characters>2266</Characters>
  <Lines>17</Lines>
  <Paragraphs>4</Paragraphs>
  <TotalTime>3</TotalTime>
  <ScaleCrop>false</ScaleCrop>
  <LinksUpToDate>false</LinksUpToDate>
  <CharactersWithSpaces>2648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2025-05-22T16:27:00Z</dcterms:created>
  <dc:creator>Fernando Alonso Macias</dc:creator>
  <cp:lastModifiedBy>宋丹</cp:lastModifiedBy>
  <cp:lastPrinted>2002-04-23T16:10:00Z</cp:lastPrinted>
  <dcterms:modified xsi:type="dcterms:W3CDTF">2026-02-11T04:48:14Z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  <property fmtid="{D5CDD505-2E9C-101B-9397-08002B2CF9AE}" pid="9" name="KSOProductBuildVer">
    <vt:lpwstr>2052-12.1.0.25222</vt:lpwstr>
  </property>
  <property fmtid="{D5CDD505-2E9C-101B-9397-08002B2CF9AE}" pid="10" name="ICV">
    <vt:lpwstr>D7B061181BD14A8EBCD095CB7E1157B1_13</vt:lpwstr>
  </property>
  <property fmtid="{D5CDD505-2E9C-101B-9397-08002B2CF9AE}" pid="11" name="KSOTemplateDocerSaveRecord">
    <vt:lpwstr>eyJoZGlkIjoiY2RiMGEyZDI2ZjU5ZjhiZWU3ZjIzMWFmN2FmNDk1ODYiLCJ1c2VySWQiOiIzMzIwNTUyNDgifQ==</vt:lpwstr>
  </property>
</Properties>
</file>