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F1AB" w14:textId="33C98B22" w:rsidR="003B569F" w:rsidRDefault="003B569F" w:rsidP="003B56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117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673CAA" w:rsidRPr="00673CAA">
          <w:rPr>
            <w:b/>
            <w:i/>
            <w:noProof/>
            <w:sz w:val="28"/>
          </w:rPr>
          <w:t>R4-25</w:t>
        </w:r>
        <w:r w:rsidR="000E1058">
          <w:rPr>
            <w:b/>
            <w:i/>
            <w:noProof/>
            <w:sz w:val="28"/>
          </w:rPr>
          <w:t>xxxxx</w:t>
        </w:r>
      </w:fldSimple>
    </w:p>
    <w:p w14:paraId="7CB45193" w14:textId="5C514E40" w:rsidR="001E41F3" w:rsidRDefault="003B569F" w:rsidP="003B569F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Dallas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USA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17th</w:t>
        </w:r>
      </w:fldSimple>
      <w:r>
        <w:rPr>
          <w:b/>
          <w:noProof/>
          <w:sz w:val="24"/>
        </w:rPr>
        <w:t xml:space="preserve"> – </w:t>
      </w:r>
      <w:fldSimple w:instr=" DOCPROPERTY  EndDate  \* MERGEFORMAT ">
        <w:r>
          <w:rPr>
            <w:b/>
            <w:noProof/>
            <w:sz w:val="24"/>
          </w:rPr>
          <w:t>21st November 2025</w:t>
        </w:r>
      </w:fldSimple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72692F" w:rsidR="001E41F3" w:rsidRPr="00410371" w:rsidRDefault="003B56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38.101-5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6383B8" w:rsidR="001E41F3" w:rsidRPr="00410371" w:rsidRDefault="00673CA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0229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C09DFC" w:rsidR="001E41F3" w:rsidRPr="00410371" w:rsidRDefault="00673CA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 xml:space="preserve"> </w:t>
              </w:r>
              <w:r w:rsidR="00522C81">
                <w:rPr>
                  <w:b/>
                  <w:noProof/>
                  <w:sz w:val="28"/>
                </w:rPr>
                <w:t xml:space="preserve">1 </w:t>
              </w:r>
              <w:r>
                <w:rPr>
                  <w:b/>
                  <w:noProof/>
                  <w:sz w:val="28"/>
                </w:rPr>
                <w:t xml:space="preserve"> 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F0302" w:rsidR="001E41F3" w:rsidRPr="00410371" w:rsidRDefault="003B56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18.11.0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4684053" w:rsidR="00F25D98" w:rsidRDefault="003B569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29D82" w:rsidR="001E41F3" w:rsidRDefault="0044476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444768">
                <w:t>Clarification for the measurement method in ETSI requirements for the 1610-1626.5MHz range</w:t>
              </w:r>
              <w:r w:rsidR="003B569F" w:rsidRPr="003B569F">
                <w:t xml:space="preserve">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04333C" w:rsidR="001E41F3" w:rsidRDefault="003B56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</w:t>
              </w:r>
              <w:r w:rsidR="00051063">
                <w:rPr>
                  <w:noProof/>
                </w:rPr>
                <w:t xml:space="preserve">e, </w:t>
              </w:r>
              <w:r w:rsidR="00051063" w:rsidRPr="00051063">
                <w:rPr>
                  <w:noProof/>
                </w:rPr>
                <w:t>Rohde &amp; Schwar</w:t>
              </w:r>
              <w:r w:rsidR="00BD37A5">
                <w:rPr>
                  <w:noProof/>
                </w:rPr>
                <w:t xml:space="preserve">z, </w:t>
              </w:r>
              <w:r w:rsidR="00BD37A5" w:rsidRPr="009A1BB0">
                <w:rPr>
                  <w:noProof/>
                </w:rPr>
                <w:t>Keysight</w:t>
              </w:r>
              <w:r w:rsidR="00BD37A5" w:rsidRPr="00BD37A5">
                <w:rPr>
                  <w:noProof/>
                </w:rPr>
                <w:t xml:space="preserve"> Technologies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9BD6B14" w:rsidR="001E41F3" w:rsidRDefault="003B569F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6A579E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853871" w:rsidR="001E41F3" w:rsidRDefault="003B56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3B569F">
                <w:rPr>
                  <w:noProof/>
                </w:rPr>
                <w:t>NR_NTN_LSband-Core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vAlign w:val="center"/>
          </w:tcPr>
          <w:p w14:paraId="153CBFB1" w14:textId="77777777" w:rsidR="001E41F3" w:rsidRDefault="001E41F3" w:rsidP="006A57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7F5BA" w:rsidR="001E41F3" w:rsidRDefault="003B56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</w:t>
              </w:r>
              <w:r w:rsidR="000E1058">
                <w:rPr>
                  <w:noProof/>
                </w:rPr>
                <w:t>1</w:t>
              </w:r>
              <w:r>
                <w:rPr>
                  <w:noProof/>
                </w:rPr>
                <w:t>-</w:t>
              </w:r>
              <w:r w:rsidR="000E1058">
                <w:rPr>
                  <w:noProof/>
                </w:rPr>
                <w:t>18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1051F5" w:rsidR="001E41F3" w:rsidRDefault="003B56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 xml:space="preserve"> F 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E25CDAF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3B569F">
                <w:rPr>
                  <w:noProof/>
                </w:rPr>
                <w:t>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F26154C" w:rsidR="001E41F3" w:rsidRDefault="00F11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a UE operating in 1610-1626.5MHz frequency range ETSI defines additional in-band and out-of-band emission requirements, which are captured in ETSI EN 30144</w:t>
            </w:r>
            <w:r w:rsidR="00D7059D">
              <w:rPr>
                <w:noProof/>
              </w:rPr>
              <w:t>1</w:t>
            </w:r>
            <w:r>
              <w:rPr>
                <w:noProof/>
              </w:rPr>
              <w:t xml:space="preserve">. </w:t>
            </w:r>
            <w:r w:rsidR="00962790">
              <w:rPr>
                <w:noProof/>
              </w:rPr>
              <w:t>However, w</w:t>
            </w:r>
            <w:r>
              <w:rPr>
                <w:noProof/>
              </w:rPr>
              <w:t>hen these requirements were captured in the RAN4 specifications, the measurement method was not captured accordingly, which may leave to a potential ambiguity on whether it is mean/average or peak limit.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D27A31" w14:textId="01BA9DCA" w:rsidR="008E79BF" w:rsidRDefault="00042B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6.2.1, additional clarifications are provided that the ETSI PSD limit </w:t>
            </w:r>
            <w:r w:rsidR="0086628A">
              <w:rPr>
                <w:noProof/>
              </w:rPr>
              <w:t>is for UE power spectral density with either mean/average or peak limit</w:t>
            </w:r>
            <w:r w:rsidR="00AF729A">
              <w:rPr>
                <w:noProof/>
              </w:rPr>
              <w:t xml:space="preserve"> measurement method</w:t>
            </w:r>
            <w:r w:rsidR="00962790">
              <w:rPr>
                <w:noProof/>
              </w:rPr>
              <w:t xml:space="preserve"> and that </w:t>
            </w:r>
            <w:r w:rsidR="00A750A3">
              <w:rPr>
                <w:noProof/>
              </w:rPr>
              <w:t>this limit applies to any frequency within the operating Tx range.</w:t>
            </w:r>
          </w:p>
          <w:p w14:paraId="6A6592D2" w14:textId="62A248DF" w:rsidR="00042B95" w:rsidRDefault="008662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31C656EC" w14:textId="339EB3D4" w:rsidR="001E41F3" w:rsidRDefault="005C1B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clarifications are provided for the NS flags NS_04N, NS_05N, NS_11N, NS_12N capturing which measurement method should be applied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A20E1E" w:rsidR="001E41F3" w:rsidRDefault="005045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remain unclear which measurement method should be applied to ETSI emission requirements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A43DD8" w:rsidR="001E41F3" w:rsidRDefault="003B56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6.2.1, </w:t>
            </w:r>
            <w:r w:rsidRPr="003B569F">
              <w:rPr>
                <w:noProof/>
              </w:rPr>
              <w:t>6.5.2.3.1</w:t>
            </w:r>
            <w:r>
              <w:rPr>
                <w:noProof/>
              </w:rPr>
              <w:t xml:space="preserve">, </w:t>
            </w:r>
            <w:r w:rsidRPr="003B569F">
              <w:rPr>
                <w:noProof/>
              </w:rPr>
              <w:t>6.5.2.3.1</w:t>
            </w:r>
            <w:r w:rsidR="006A579E">
              <w:rPr>
                <w:noProof/>
              </w:rPr>
              <w:t xml:space="preserve">, </w:t>
            </w:r>
            <w:r w:rsidR="006A579E" w:rsidRPr="00715883">
              <w:t>6.5.3.3.</w:t>
            </w:r>
            <w:r w:rsidR="006A579E"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C1BEA0" w:rsidR="001E41F3" w:rsidRDefault="003B5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FB2DC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097B5344" w:rsidR="001E41F3" w:rsidRDefault="004E7F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35FB11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7D7BA17" w:rsidR="001E41F3" w:rsidRDefault="004E7F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</w:t>
            </w:r>
            <w:r w:rsidR="00FA4D49">
              <w:rPr>
                <w:noProof/>
              </w:rPr>
              <w:t>521-5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ED0590" w:rsidR="001E41F3" w:rsidRDefault="003B5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601F6D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C79E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CCC67F" w14:textId="77777777" w:rsidR="003B569F" w:rsidRDefault="003B569F" w:rsidP="003B569F">
      <w:pPr>
        <w:pStyle w:val="Heading3"/>
      </w:pPr>
      <w:bookmarkStart w:id="1" w:name="_Toc97562283"/>
      <w:bookmarkStart w:id="2" w:name="_Toc104122510"/>
      <w:bookmarkStart w:id="3" w:name="_Toc104205461"/>
      <w:bookmarkStart w:id="4" w:name="_Toc104206668"/>
      <w:bookmarkStart w:id="5" w:name="_Toc104503628"/>
      <w:bookmarkStart w:id="6" w:name="_Toc106127559"/>
      <w:bookmarkStart w:id="7" w:name="_Toc123057924"/>
      <w:bookmarkStart w:id="8" w:name="_Toc124256617"/>
      <w:bookmarkStart w:id="9" w:name="_Toc131734930"/>
      <w:bookmarkStart w:id="10" w:name="_Toc137372707"/>
      <w:bookmarkStart w:id="11" w:name="_Toc138885093"/>
      <w:bookmarkStart w:id="12" w:name="_Toc145690596"/>
      <w:bookmarkStart w:id="13" w:name="_Toc155382144"/>
      <w:bookmarkStart w:id="14" w:name="_Toc161753851"/>
      <w:bookmarkStart w:id="15" w:name="_Toc161754472"/>
      <w:bookmarkStart w:id="16" w:name="_Toc163202045"/>
      <w:bookmarkStart w:id="17" w:name="_Toc169888307"/>
      <w:bookmarkStart w:id="18" w:name="_Toc171551496"/>
      <w:bookmarkStart w:id="19" w:name="_Toc176775218"/>
      <w:bookmarkStart w:id="20" w:name="_Toc187243813"/>
      <w:bookmarkStart w:id="21" w:name="_Toc193201362"/>
      <w:bookmarkStart w:id="22" w:name="_Toc201739851"/>
      <w:bookmarkStart w:id="23" w:name="_Toc201742106"/>
      <w:bookmarkStart w:id="24" w:name="_Toc208821072"/>
      <w:r>
        <w:lastRenderedPageBreak/>
        <w:t>6.2.1</w:t>
      </w:r>
      <w:r>
        <w:tab/>
        <w:t>UE maximum output power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6E7D838" w14:textId="77777777" w:rsidR="003B569F" w:rsidRPr="00A1115A" w:rsidRDefault="003B569F" w:rsidP="003B569F">
      <w:r w:rsidRPr="00A1115A">
        <w:rPr>
          <w:rFonts w:cs="v5.0.0"/>
        </w:rPr>
        <w:t xml:space="preserve">The following UE Power Classes define the maximum output power for </w:t>
      </w:r>
      <w:r w:rsidRPr="00A1115A">
        <w:t>any transmission bandwidth within the channel bandwidth of NR carrier unless otherwise stated</w:t>
      </w:r>
      <w:r w:rsidRPr="00A1115A">
        <w:rPr>
          <w:rFonts w:cs="v5.0.0"/>
        </w:rPr>
        <w:t xml:space="preserve">. </w:t>
      </w:r>
      <w:r w:rsidRPr="00A1115A">
        <w:t>The period of measurement shall be at least one sub frame (1ms).</w:t>
      </w:r>
    </w:p>
    <w:p w14:paraId="575EAD44" w14:textId="77777777" w:rsidR="003B569F" w:rsidRPr="00A1115A" w:rsidRDefault="003B569F" w:rsidP="003B569F">
      <w:pPr>
        <w:pStyle w:val="TH"/>
      </w:pPr>
      <w:r w:rsidRPr="00A1115A">
        <w:t xml:space="preserve">Table </w:t>
      </w:r>
      <w:r w:rsidRPr="00247DBC">
        <w:t>6.2.1-1:</w:t>
      </w:r>
      <w:r w:rsidRPr="00A1115A">
        <w:t xml:space="preserve"> UE Power Class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2408"/>
        <w:gridCol w:w="3118"/>
      </w:tblGrid>
      <w:tr w:rsidR="003B569F" w14:paraId="408FD73C" w14:textId="77777777" w:rsidTr="00D1215C">
        <w:trPr>
          <w:jc w:val="center"/>
        </w:trPr>
        <w:tc>
          <w:tcPr>
            <w:tcW w:w="2688" w:type="dxa"/>
            <w:vAlign w:val="center"/>
          </w:tcPr>
          <w:p w14:paraId="6629EA22" w14:textId="77777777" w:rsidR="003B569F" w:rsidRDefault="003B569F" w:rsidP="00D1215C">
            <w:pPr>
              <w:pStyle w:val="TAH"/>
            </w:pPr>
            <w:r w:rsidRPr="00785C4B">
              <w:t>NR satellite band</w:t>
            </w:r>
          </w:p>
        </w:tc>
        <w:tc>
          <w:tcPr>
            <w:tcW w:w="2408" w:type="dxa"/>
          </w:tcPr>
          <w:p w14:paraId="710811C9" w14:textId="77777777" w:rsidR="003B569F" w:rsidRDefault="003B569F" w:rsidP="00D1215C">
            <w:pPr>
              <w:pStyle w:val="TAH"/>
            </w:pPr>
            <w:r w:rsidRPr="00785C4B">
              <w:t>Class 3 (dBm)</w:t>
            </w:r>
          </w:p>
        </w:tc>
        <w:tc>
          <w:tcPr>
            <w:tcW w:w="3118" w:type="dxa"/>
          </w:tcPr>
          <w:p w14:paraId="5D9F3A63" w14:textId="77777777" w:rsidR="003B569F" w:rsidRDefault="003B569F" w:rsidP="00D1215C">
            <w:pPr>
              <w:pStyle w:val="TAH"/>
            </w:pPr>
            <w:r w:rsidRPr="00785C4B">
              <w:t>Tolerance (dB)</w:t>
            </w:r>
          </w:p>
        </w:tc>
      </w:tr>
      <w:tr w:rsidR="003B569F" w14:paraId="051C056A" w14:textId="77777777" w:rsidTr="00D1215C">
        <w:trPr>
          <w:jc w:val="center"/>
        </w:trPr>
        <w:tc>
          <w:tcPr>
            <w:tcW w:w="2688" w:type="dxa"/>
          </w:tcPr>
          <w:p w14:paraId="6940E885" w14:textId="77777777" w:rsidR="003B569F" w:rsidRDefault="003B569F" w:rsidP="00D1215C">
            <w:pPr>
              <w:pStyle w:val="TAC"/>
            </w:pPr>
            <w:r w:rsidRPr="00785C4B">
              <w:t>n256</w:t>
            </w:r>
          </w:p>
        </w:tc>
        <w:tc>
          <w:tcPr>
            <w:tcW w:w="2408" w:type="dxa"/>
          </w:tcPr>
          <w:p w14:paraId="7A251A58" w14:textId="77777777" w:rsidR="003B569F" w:rsidRDefault="003B569F" w:rsidP="00D1215C">
            <w:pPr>
              <w:pStyle w:val="TAC"/>
            </w:pPr>
            <w:r w:rsidRPr="00785C4B">
              <w:t>23</w:t>
            </w:r>
          </w:p>
        </w:tc>
        <w:tc>
          <w:tcPr>
            <w:tcW w:w="3118" w:type="dxa"/>
          </w:tcPr>
          <w:p w14:paraId="7C708E9D" w14:textId="77777777" w:rsidR="003B569F" w:rsidRDefault="003B569F" w:rsidP="00D1215C">
            <w:pPr>
              <w:pStyle w:val="TAC"/>
            </w:pPr>
            <w:r w:rsidRPr="00785C4B">
              <w:t>±2</w:t>
            </w:r>
          </w:p>
        </w:tc>
      </w:tr>
      <w:tr w:rsidR="003B569F" w14:paraId="61AC815C" w14:textId="77777777" w:rsidTr="00D1215C">
        <w:trPr>
          <w:jc w:val="center"/>
        </w:trPr>
        <w:tc>
          <w:tcPr>
            <w:tcW w:w="2688" w:type="dxa"/>
          </w:tcPr>
          <w:p w14:paraId="1F086809" w14:textId="77777777" w:rsidR="003B569F" w:rsidRDefault="003B569F" w:rsidP="00D1215C">
            <w:pPr>
              <w:pStyle w:val="TAC"/>
            </w:pPr>
            <w:r w:rsidRPr="00785C4B">
              <w:t>n255</w:t>
            </w:r>
          </w:p>
        </w:tc>
        <w:tc>
          <w:tcPr>
            <w:tcW w:w="2408" w:type="dxa"/>
          </w:tcPr>
          <w:p w14:paraId="208BE169" w14:textId="77777777" w:rsidR="003B569F" w:rsidRDefault="003B569F" w:rsidP="00D1215C">
            <w:pPr>
              <w:pStyle w:val="TAC"/>
            </w:pPr>
            <w:r w:rsidRPr="00785C4B">
              <w:t>23</w:t>
            </w:r>
          </w:p>
        </w:tc>
        <w:tc>
          <w:tcPr>
            <w:tcW w:w="3118" w:type="dxa"/>
          </w:tcPr>
          <w:p w14:paraId="31533F34" w14:textId="77777777" w:rsidR="003B569F" w:rsidRDefault="003B569F" w:rsidP="00D1215C">
            <w:pPr>
              <w:pStyle w:val="TAC"/>
            </w:pPr>
            <w:r w:rsidRPr="00785C4B">
              <w:t>±2</w:t>
            </w:r>
          </w:p>
        </w:tc>
      </w:tr>
      <w:tr w:rsidR="003B569F" w14:paraId="7243D900" w14:textId="77777777" w:rsidTr="00D1215C">
        <w:trPr>
          <w:jc w:val="center"/>
        </w:trPr>
        <w:tc>
          <w:tcPr>
            <w:tcW w:w="2688" w:type="dxa"/>
          </w:tcPr>
          <w:p w14:paraId="31EB8D99" w14:textId="77777777" w:rsidR="003B569F" w:rsidRPr="00785C4B" w:rsidRDefault="003B569F" w:rsidP="00D1215C">
            <w:pPr>
              <w:pStyle w:val="TAC"/>
            </w:pPr>
            <w:r w:rsidRPr="008C5CED">
              <w:t>n254</w:t>
            </w:r>
          </w:p>
        </w:tc>
        <w:tc>
          <w:tcPr>
            <w:tcW w:w="2408" w:type="dxa"/>
          </w:tcPr>
          <w:p w14:paraId="34A404FE" w14:textId="77777777" w:rsidR="003B569F" w:rsidRPr="00785C4B" w:rsidRDefault="003B569F" w:rsidP="00D1215C">
            <w:pPr>
              <w:pStyle w:val="TAC"/>
            </w:pPr>
            <w:r w:rsidRPr="008C5CED">
              <w:t>23</w:t>
            </w:r>
          </w:p>
        </w:tc>
        <w:tc>
          <w:tcPr>
            <w:tcW w:w="3118" w:type="dxa"/>
          </w:tcPr>
          <w:p w14:paraId="13605905" w14:textId="77777777" w:rsidR="003B569F" w:rsidRPr="00785C4B" w:rsidRDefault="003B569F" w:rsidP="00D1215C">
            <w:pPr>
              <w:pStyle w:val="TAC"/>
            </w:pPr>
            <w:r w:rsidRPr="008C5CED">
              <w:t>±2</w:t>
            </w:r>
          </w:p>
        </w:tc>
      </w:tr>
      <w:tr w:rsidR="003B569F" w14:paraId="7F487A26" w14:textId="77777777" w:rsidTr="00D1215C">
        <w:trPr>
          <w:jc w:val="center"/>
        </w:trPr>
        <w:tc>
          <w:tcPr>
            <w:tcW w:w="8214" w:type="dxa"/>
            <w:gridSpan w:val="3"/>
          </w:tcPr>
          <w:p w14:paraId="2FE8BA14" w14:textId="77777777" w:rsidR="003B569F" w:rsidRPr="00A1115A" w:rsidRDefault="003B569F" w:rsidP="00D1215C">
            <w:pPr>
              <w:pStyle w:val="TAN"/>
            </w:pPr>
            <w:r w:rsidRPr="00A1115A">
              <w:t>NOTE 1:</w:t>
            </w:r>
            <w:r w:rsidRPr="00A1115A">
              <w:tab/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PowerClass</w:t>
            </w:r>
            <w:proofErr w:type="spellEnd"/>
            <w:r w:rsidRPr="00A1115A">
              <w:t xml:space="preserve"> is the maximum UE power specified without </w:t>
            </w:r>
            <w:proofErr w:type="gramStart"/>
            <w:r w:rsidRPr="00A1115A">
              <w:t>taking into account</w:t>
            </w:r>
            <w:proofErr w:type="gramEnd"/>
            <w:r w:rsidRPr="00A1115A">
              <w:t xml:space="preserve"> the tolerance</w:t>
            </w:r>
          </w:p>
          <w:p w14:paraId="0E376C75" w14:textId="77777777" w:rsidR="003B569F" w:rsidRDefault="003B569F" w:rsidP="00D1215C">
            <w:pPr>
              <w:pStyle w:val="TAN"/>
            </w:pPr>
            <w:r w:rsidRPr="00A1115A">
              <w:t>NOTE 2:</w:t>
            </w:r>
            <w:r w:rsidRPr="00A1115A">
              <w:tab/>
              <w:t>Power</w:t>
            </w:r>
            <w:r w:rsidRPr="00A1115A">
              <w:rPr>
                <w:vertAlign w:val="subscript"/>
              </w:rPr>
              <w:t xml:space="preserve"> </w:t>
            </w:r>
            <w:r w:rsidRPr="00A1115A">
              <w:t>class 3 is default power class unless otherwise stated</w:t>
            </w:r>
          </w:p>
        </w:tc>
      </w:tr>
    </w:tbl>
    <w:p w14:paraId="1A83061C" w14:textId="77777777" w:rsidR="003B569F" w:rsidRDefault="003B569F" w:rsidP="003B569F"/>
    <w:p w14:paraId="2F8E0EDB" w14:textId="77777777" w:rsidR="003B569F" w:rsidRPr="008C5CED" w:rsidRDefault="003B569F" w:rsidP="003B569F">
      <w:r w:rsidRPr="008C5CED">
        <w:t xml:space="preserve">The UE shall meet the following additional requirements for maximum mean transmission power density specified in Table 6.2.1-2 when NS is </w:t>
      </w:r>
      <w:proofErr w:type="spellStart"/>
      <w:r w:rsidRPr="008C5CED">
        <w:t>signaled</w:t>
      </w:r>
      <w:proofErr w:type="spellEnd"/>
      <w:r w:rsidRPr="008C5CED">
        <w:t xml:space="preserve"> and when </w:t>
      </w:r>
      <w:r>
        <w:t>the configured channel</w:t>
      </w:r>
      <w:r w:rsidRPr="008C5CED">
        <w:t xml:space="preserve"> overlaps with any portion of the specified frequency range.  </w:t>
      </w:r>
    </w:p>
    <w:p w14:paraId="77DCA140" w14:textId="77777777" w:rsidR="003B569F" w:rsidRPr="008C5CED" w:rsidRDefault="003B569F" w:rsidP="003B569F">
      <w:pPr>
        <w:pStyle w:val="TH"/>
      </w:pPr>
      <w:r w:rsidRPr="008C5CED">
        <w:t>Table 6.2.1-2: Additional requirements for transmit power density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080"/>
        <w:gridCol w:w="1984"/>
        <w:gridCol w:w="1985"/>
        <w:gridCol w:w="1701"/>
        <w:gridCol w:w="1843"/>
      </w:tblGrid>
      <w:tr w:rsidR="003B569F" w:rsidRPr="00715883" w14:paraId="445DA050" w14:textId="7CE5E334" w:rsidTr="006720A0">
        <w:trPr>
          <w:trHeight w:val="18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F35" w14:textId="77777777" w:rsidR="003B569F" w:rsidRPr="008C5CED" w:rsidRDefault="003B569F" w:rsidP="00D1215C">
            <w:pPr>
              <w:pStyle w:val="TAH"/>
            </w:pPr>
            <w:r w:rsidRPr="008C5CED">
              <w:t>NR Band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0F0" w14:textId="77777777" w:rsidR="003B569F" w:rsidRPr="008C5CED" w:rsidRDefault="003B569F" w:rsidP="00D1215C">
            <w:pPr>
              <w:pStyle w:val="TAH"/>
            </w:pPr>
            <w:r w:rsidRPr="008C5CED">
              <w:t>NS value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B7A" w14:textId="77777777" w:rsidR="003B569F" w:rsidRPr="008C5CED" w:rsidRDefault="003B569F" w:rsidP="00D1215C">
            <w:pPr>
              <w:pStyle w:val="TAH"/>
            </w:pPr>
            <w:r w:rsidRPr="008C5CED">
              <w:t>Channel bandwidth (MHz)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D91" w14:textId="77777777" w:rsidR="003B569F" w:rsidRPr="008C5CED" w:rsidRDefault="003B569F" w:rsidP="00D1215C">
            <w:pPr>
              <w:pStyle w:val="TAH"/>
            </w:pPr>
            <w:r w:rsidRPr="008C5CED">
              <w:t>Frequency range (MHz)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19C5" w14:textId="77777777" w:rsidR="003B569F" w:rsidRPr="008C5CED" w:rsidRDefault="003B569F" w:rsidP="00D1215C">
            <w:pPr>
              <w:pStyle w:val="TAH"/>
            </w:pPr>
            <w:r w:rsidRPr="008C5CED">
              <w:t>Maximum power density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A30" w14:textId="29C08609" w:rsidR="003B569F" w:rsidRPr="008C5CED" w:rsidRDefault="003B569F" w:rsidP="00D1215C">
            <w:pPr>
              <w:pStyle w:val="TAH"/>
            </w:pPr>
            <w:ins w:id="25" w:author="Alexander Sayenko" w:date="2025-10-30T12:28:00Z" w16du:dateUtc="2025-10-30T11:28:00Z">
              <w:r>
                <w:t>Measurement method</w:t>
              </w:r>
            </w:ins>
          </w:p>
        </w:tc>
      </w:tr>
      <w:tr w:rsidR="003B569F" w:rsidRPr="00715883" w14:paraId="277603D2" w14:textId="2F0CD680" w:rsidTr="006720A0">
        <w:trPr>
          <w:trHeight w:val="187"/>
          <w:jc w:val="center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DBFFBE" w14:textId="77777777" w:rsidR="003B569F" w:rsidRPr="00715883" w:rsidRDefault="003B569F" w:rsidP="00D1215C">
            <w:pPr>
              <w:pStyle w:val="TAC"/>
            </w:pPr>
            <w:r>
              <w:t>n254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E54" w14:textId="77777777" w:rsidR="003B569F" w:rsidRPr="00715883" w:rsidRDefault="003B569F" w:rsidP="00D1215C">
            <w:pPr>
              <w:pStyle w:val="TAC"/>
            </w:pPr>
            <w:r w:rsidRPr="00715883">
              <w:t>NS_04N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257" w14:textId="77777777" w:rsidR="003B569F" w:rsidRPr="00715883" w:rsidRDefault="003B569F" w:rsidP="00D1215C">
            <w:pPr>
              <w:pStyle w:val="TAC"/>
            </w:pPr>
            <w:r w:rsidRPr="0071588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E0A" w14:textId="77777777" w:rsidR="003B569F" w:rsidRPr="00715883" w:rsidRDefault="003B569F" w:rsidP="00D1215C">
            <w:pPr>
              <w:pStyle w:val="TAC"/>
            </w:pPr>
            <w:r w:rsidRPr="00715883">
              <w:t>1610 - 1618.25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317D5" w14:textId="396CE42F" w:rsidR="003B569F" w:rsidRPr="00715883" w:rsidRDefault="003B569F" w:rsidP="00D1215C">
            <w:pPr>
              <w:pStyle w:val="TAC"/>
            </w:pPr>
            <w:r w:rsidRPr="00715883">
              <w:t xml:space="preserve">27dBm/4kHz </w:t>
            </w:r>
            <w:del w:id="26" w:author="Alexander Sayenko" w:date="2025-10-30T12:28:00Z" w16du:dateUtc="2025-10-30T11:28:00Z">
              <w:r w:rsidRPr="00715883" w:rsidDel="003B569F">
                <w:delText>(mean)</w:delText>
              </w:r>
            </w:del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5D0FB" w14:textId="1786F576" w:rsidR="00AF5A98" w:rsidRDefault="003B569F" w:rsidP="00D1215C">
            <w:pPr>
              <w:pStyle w:val="TAC"/>
              <w:rPr>
                <w:ins w:id="27" w:author="Alexander Sayenko" w:date="2025-10-30T12:58:00Z" w16du:dateUtc="2025-10-30T11:58:00Z"/>
              </w:rPr>
            </w:pPr>
            <w:ins w:id="28" w:author="Alexander Sayenko" w:date="2025-10-30T12:28:00Z" w16du:dateUtc="2025-10-30T11:28:00Z">
              <w:r>
                <w:t>Mean</w:t>
              </w:r>
            </w:ins>
            <w:ins w:id="29" w:author="Alexander Sayenko [2]" w:date="2025-11-02T13:19:00Z" w16du:dateUtc="2025-11-02T12:19:00Z">
              <w:r w:rsidR="006720A0">
                <w:t xml:space="preserve"> spectral</w:t>
              </w:r>
            </w:ins>
            <w:ins w:id="30" w:author="Alexander Sayenko" w:date="2025-10-30T12:47:00Z" w16du:dateUtc="2025-10-30T11:47:00Z">
              <w:r w:rsidR="00EF5898">
                <w:t xml:space="preserve"> limit</w:t>
              </w:r>
            </w:ins>
            <w:ins w:id="31" w:author="Alexander Sayenko" w:date="2025-10-30T12:58:00Z" w16du:dateUtc="2025-10-30T11:58:00Z">
              <w:r w:rsidR="00AF5A98">
                <w:t xml:space="preserve"> </w:t>
              </w:r>
            </w:ins>
          </w:p>
          <w:p w14:paraId="1A8DB5C8" w14:textId="6C5CE2ED" w:rsidR="003B569F" w:rsidRPr="00715883" w:rsidRDefault="00AF5A98" w:rsidP="00D1215C">
            <w:pPr>
              <w:pStyle w:val="TAC"/>
            </w:pPr>
            <w:ins w:id="32" w:author="Alexander Sayenko" w:date="2025-10-30T12:58:00Z" w16du:dateUtc="2025-10-30T11:58:00Z">
              <w:r>
                <w:t xml:space="preserve">(note </w:t>
              </w:r>
            </w:ins>
            <w:ins w:id="33" w:author="Alexander Sayenko [2]" w:date="2025-11-07T18:56:00Z" w16du:dateUtc="2025-11-07T16:56:00Z">
              <w:r w:rsidR="005268A0">
                <w:t>2</w:t>
              </w:r>
            </w:ins>
            <w:ins w:id="34" w:author="Alexander Sayenko" w:date="2025-10-30T12:58:00Z" w16du:dateUtc="2025-10-30T11:58:00Z">
              <w:r>
                <w:t>)</w:t>
              </w:r>
            </w:ins>
          </w:p>
        </w:tc>
      </w:tr>
      <w:tr w:rsidR="003B569F" w:rsidRPr="00715883" w14:paraId="25E93340" w14:textId="498385DC" w:rsidTr="006720A0">
        <w:trPr>
          <w:trHeight w:val="18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6707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66C47" w14:textId="77777777" w:rsidR="003B569F" w:rsidRPr="00715883" w:rsidRDefault="003B569F" w:rsidP="00D1215C">
            <w:pPr>
              <w:pStyle w:val="TAC"/>
            </w:pPr>
            <w:r w:rsidRPr="00715883">
              <w:t>NS_05N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FD9" w14:textId="77777777" w:rsidR="003B569F" w:rsidRPr="00715883" w:rsidRDefault="003B569F" w:rsidP="00D1215C">
            <w:pPr>
              <w:pStyle w:val="TAC"/>
            </w:pPr>
            <w:r w:rsidRPr="0071588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4B91" w14:textId="77777777" w:rsidR="003B569F" w:rsidRPr="00715883" w:rsidRDefault="003B569F" w:rsidP="00D1215C">
            <w:pPr>
              <w:pStyle w:val="TAC"/>
            </w:pPr>
            <w:r w:rsidRPr="00715883">
              <w:t>1618.25 - 1626.5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BDB4F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31858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367122" w14:paraId="07ED9399" w14:textId="52B9D67D" w:rsidTr="006720A0">
        <w:trPr>
          <w:trHeight w:val="18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FF803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A7C28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81F" w14:textId="77777777" w:rsidR="003B569F" w:rsidRPr="00715883" w:rsidRDefault="003B569F" w:rsidP="00D1215C">
            <w:pPr>
              <w:pStyle w:val="TAC"/>
            </w:pPr>
            <w:r w:rsidRPr="00715883">
              <w:t>10, 15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BB7" w14:textId="77777777" w:rsidR="003B569F" w:rsidRPr="00715883" w:rsidRDefault="003B569F" w:rsidP="00D1215C">
            <w:pPr>
              <w:pStyle w:val="TAC"/>
            </w:pPr>
            <w:r w:rsidRPr="00715883">
              <w:t>1610 – 1626.5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4AD00" w14:textId="77777777" w:rsidR="003B569F" w:rsidRPr="002426F3" w:rsidRDefault="003B569F" w:rsidP="00D1215C">
            <w:pPr>
              <w:pStyle w:val="TAC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6502D" w14:textId="77777777" w:rsidR="003B569F" w:rsidRPr="002426F3" w:rsidRDefault="003B569F" w:rsidP="00D1215C">
            <w:pPr>
              <w:pStyle w:val="TAC"/>
            </w:pPr>
          </w:p>
        </w:tc>
      </w:tr>
      <w:tr w:rsidR="003B569F" w:rsidRPr="00367122" w14:paraId="543E2ED5" w14:textId="761EB539" w:rsidTr="006720A0">
        <w:trPr>
          <w:trHeight w:val="18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09B5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D353648" w14:textId="77777777" w:rsidR="003B569F" w:rsidRDefault="003B569F" w:rsidP="00D1215C">
            <w:pPr>
              <w:pStyle w:val="TAC"/>
            </w:pPr>
            <w:r>
              <w:t>NS_11N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D3F" w14:textId="77777777" w:rsidR="003B569F" w:rsidRDefault="003B569F" w:rsidP="00D1215C">
            <w:pPr>
              <w:pStyle w:val="TAC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005A" w14:textId="77777777" w:rsidR="003B569F" w:rsidRPr="00715883" w:rsidRDefault="003B569F" w:rsidP="00D1215C">
            <w:pPr>
              <w:pStyle w:val="TAC"/>
            </w:pPr>
            <w:r w:rsidRPr="00715883">
              <w:t>1610 - 1618.25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F6E0F" w14:textId="483D9EC7" w:rsidR="003B569F" w:rsidRDefault="003B569F" w:rsidP="00D1215C">
            <w:pPr>
              <w:pStyle w:val="TAC"/>
            </w:pPr>
            <w:r>
              <w:t xml:space="preserve">15dBm/4kHz </w:t>
            </w:r>
            <w:del w:id="35" w:author="Alexander Sayenko" w:date="2025-10-30T12:28:00Z" w16du:dateUtc="2025-10-30T11:28:00Z">
              <w:r w:rsidDel="003B569F">
                <w:delText>(peak limit)</w:delText>
              </w:r>
            </w:del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4A99E" w14:textId="2493FE3C" w:rsidR="003B569F" w:rsidRDefault="003B569F" w:rsidP="00D1215C">
            <w:pPr>
              <w:pStyle w:val="TAC"/>
              <w:rPr>
                <w:ins w:id="36" w:author="Alexander Sayenko" w:date="2025-10-30T12:58:00Z" w16du:dateUtc="2025-10-30T11:58:00Z"/>
              </w:rPr>
            </w:pPr>
            <w:ins w:id="37" w:author="Alexander Sayenko" w:date="2025-10-30T12:29:00Z" w16du:dateUtc="2025-10-30T11:29:00Z">
              <w:r>
                <w:t xml:space="preserve">Peak </w:t>
              </w:r>
            </w:ins>
            <w:ins w:id="38" w:author="Alexander Sayenko [2]" w:date="2025-11-02T13:19:00Z" w16du:dateUtc="2025-11-02T12:19:00Z">
              <w:r w:rsidR="006720A0">
                <w:t xml:space="preserve">spectral </w:t>
              </w:r>
            </w:ins>
            <w:ins w:id="39" w:author="Alexander Sayenko" w:date="2025-10-30T12:29:00Z" w16du:dateUtc="2025-10-30T11:29:00Z">
              <w:r>
                <w:t>limit</w:t>
              </w:r>
            </w:ins>
          </w:p>
          <w:p w14:paraId="131B349C" w14:textId="543AC520" w:rsidR="00AF5A98" w:rsidRDefault="00AF5A98" w:rsidP="00D1215C">
            <w:pPr>
              <w:pStyle w:val="TAC"/>
            </w:pPr>
            <w:ins w:id="40" w:author="Alexander Sayenko" w:date="2025-10-30T12:58:00Z" w16du:dateUtc="2025-10-30T11:58:00Z">
              <w:r>
                <w:t xml:space="preserve">(note </w:t>
              </w:r>
            </w:ins>
            <w:ins w:id="41" w:author="Alexander Sayenko [2]" w:date="2025-11-07T18:57:00Z" w16du:dateUtc="2025-11-07T16:57:00Z">
              <w:r w:rsidR="005268A0">
                <w:t>2</w:t>
              </w:r>
            </w:ins>
            <w:ins w:id="42" w:author="Alexander Sayenko" w:date="2025-10-30T12:58:00Z" w16du:dateUtc="2025-10-30T11:58:00Z">
              <w:r>
                <w:t>)</w:t>
              </w:r>
            </w:ins>
          </w:p>
        </w:tc>
      </w:tr>
      <w:tr w:rsidR="003B569F" w:rsidRPr="00367122" w14:paraId="1329F143" w14:textId="15BE038A" w:rsidTr="006720A0">
        <w:trPr>
          <w:trHeight w:val="18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7851B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A53F1" w14:textId="77777777" w:rsidR="003B569F" w:rsidRPr="00715883" w:rsidRDefault="003B569F" w:rsidP="00D1215C">
            <w:pPr>
              <w:pStyle w:val="TAC"/>
            </w:pPr>
            <w:r>
              <w:t>NS_12N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D68" w14:textId="77777777" w:rsidR="003B569F" w:rsidRPr="00715883" w:rsidRDefault="003B569F" w:rsidP="00D1215C">
            <w:pPr>
              <w:pStyle w:val="TAC"/>
            </w:pPr>
            <w:r w:rsidRPr="00715883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E89" w14:textId="77777777" w:rsidR="003B569F" w:rsidRPr="00715883" w:rsidRDefault="003B569F" w:rsidP="00D1215C">
            <w:pPr>
              <w:pStyle w:val="TAC"/>
            </w:pPr>
            <w:r w:rsidRPr="00715883">
              <w:t>1618.25 - 1626.5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55C12" w14:textId="77777777" w:rsidR="003B569F" w:rsidRPr="002426F3" w:rsidRDefault="003B569F" w:rsidP="00D1215C">
            <w:pPr>
              <w:pStyle w:val="TAC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87D2" w14:textId="77777777" w:rsidR="003B569F" w:rsidRPr="002426F3" w:rsidRDefault="003B569F" w:rsidP="00D1215C">
            <w:pPr>
              <w:pStyle w:val="TAC"/>
            </w:pPr>
          </w:p>
        </w:tc>
      </w:tr>
      <w:tr w:rsidR="003B569F" w:rsidRPr="00367122" w14:paraId="4E6CCB0B" w14:textId="04595018" w:rsidTr="006720A0">
        <w:trPr>
          <w:trHeight w:val="18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5F32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5E26C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A3C" w14:textId="77777777" w:rsidR="003B569F" w:rsidRPr="00715883" w:rsidRDefault="003B569F" w:rsidP="00D1215C">
            <w:pPr>
              <w:pStyle w:val="TAC"/>
            </w:pPr>
            <w:r w:rsidRPr="00715883">
              <w:t>10, 15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0D7" w14:textId="77777777" w:rsidR="003B569F" w:rsidRPr="00715883" w:rsidRDefault="003B569F" w:rsidP="00D1215C">
            <w:pPr>
              <w:pStyle w:val="TAC"/>
            </w:pPr>
            <w:r w:rsidRPr="00715883">
              <w:t>1610 – 1626.5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4EB3" w14:textId="77777777" w:rsidR="003B569F" w:rsidRPr="002426F3" w:rsidRDefault="003B569F" w:rsidP="00D1215C">
            <w:pPr>
              <w:pStyle w:val="TAC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26329" w14:textId="77777777" w:rsidR="003B569F" w:rsidRPr="002426F3" w:rsidRDefault="003B569F" w:rsidP="00D1215C">
            <w:pPr>
              <w:pStyle w:val="TAC"/>
            </w:pPr>
          </w:p>
        </w:tc>
      </w:tr>
      <w:tr w:rsidR="006E3A37" w:rsidRPr="00367122" w14:paraId="3505A12A" w14:textId="77777777" w:rsidTr="000C0927">
        <w:trPr>
          <w:trHeight w:val="187"/>
          <w:jc w:val="center"/>
          <w:ins w:id="43" w:author="Alexander Sayenko" w:date="2025-10-30T12:55:00Z"/>
        </w:trPr>
        <w:tc>
          <w:tcPr>
            <w:tcW w:w="9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5D1B1AB" w14:textId="2853A35B" w:rsidR="00AE2DD0" w:rsidRPr="00AE2DD0" w:rsidRDefault="00AE2DD0" w:rsidP="00AE2DD0">
            <w:pPr>
              <w:pStyle w:val="TAN"/>
              <w:rPr>
                <w:ins w:id="44" w:author="Alexander Sayenko [2]" w:date="2025-11-07T12:32:00Z" w16du:dateUtc="2025-11-07T10:32:00Z"/>
                <w:szCs w:val="18"/>
              </w:rPr>
            </w:pPr>
            <w:ins w:id="45" w:author="Alexander Sayenko [2]" w:date="2025-11-07T12:33:00Z" w16du:dateUtc="2025-11-07T10:33:00Z">
              <w:r w:rsidRPr="00F33DD3">
                <w:rPr>
                  <w:rFonts w:cs="Arial"/>
                  <w:szCs w:val="18"/>
                  <w:lang w:eastAsia="fr-FR"/>
                </w:rPr>
                <w:t>NOTE</w:t>
              </w:r>
            </w:ins>
            <w:ins w:id="46" w:author="Alexander Sayenko" w:date="2025-11-18T10:13:00Z" w16du:dateUtc="2025-11-18T16:13:00Z">
              <w:r w:rsidR="00522C81">
                <w:rPr>
                  <w:rFonts w:cs="Arial"/>
                  <w:szCs w:val="18"/>
                  <w:lang w:eastAsia="fr-FR"/>
                </w:rPr>
                <w:t xml:space="preserve"> 1</w:t>
              </w:r>
            </w:ins>
            <w:ins w:id="47" w:author="Alexander Sayenko [2]" w:date="2025-11-07T12:33:00Z" w16du:dateUtc="2025-11-07T10:33:00Z">
              <w:r w:rsidRPr="00F33DD3">
                <w:rPr>
                  <w:rFonts w:cs="Arial"/>
                  <w:szCs w:val="18"/>
                  <w:lang w:eastAsia="fr-FR"/>
                </w:rPr>
                <w:t>:</w:t>
              </w:r>
              <w:r w:rsidRPr="00F33DD3">
                <w:rPr>
                  <w:rFonts w:cs="Arial"/>
                  <w:szCs w:val="18"/>
                  <w:lang w:eastAsia="fr-FR"/>
                </w:rPr>
                <w:tab/>
                <w:t xml:space="preserve">The EIRP requirement in regulation is converted to conducted requirement using a 0 </w:t>
              </w:r>
              <w:proofErr w:type="spellStart"/>
              <w:r w:rsidRPr="00F33DD3">
                <w:rPr>
                  <w:rFonts w:cs="Arial"/>
                  <w:szCs w:val="18"/>
                  <w:lang w:eastAsia="fr-FR"/>
                </w:rPr>
                <w:t>dBi</w:t>
              </w:r>
              <w:proofErr w:type="spellEnd"/>
              <w:r w:rsidRPr="00F33DD3">
                <w:rPr>
                  <w:rFonts w:cs="Arial"/>
                  <w:szCs w:val="18"/>
                  <w:lang w:eastAsia="fr-FR"/>
                </w:rPr>
                <w:t xml:space="preserve"> antenna.</w:t>
              </w:r>
              <w:r w:rsidRPr="00F33DD3">
                <w:rPr>
                  <w:szCs w:val="18"/>
                </w:rPr>
                <w:t xml:space="preserve"> </w:t>
              </w:r>
            </w:ins>
          </w:p>
          <w:p w14:paraId="3EFAC288" w14:textId="0A5B5945" w:rsidR="006E3A37" w:rsidRPr="002426F3" w:rsidRDefault="006E3A37" w:rsidP="006E3A37">
            <w:pPr>
              <w:pStyle w:val="TAN"/>
              <w:rPr>
                <w:ins w:id="48" w:author="Alexander Sayenko" w:date="2025-10-30T12:55:00Z" w16du:dateUtc="2025-10-30T11:55:00Z"/>
              </w:rPr>
            </w:pPr>
            <w:ins w:id="49" w:author="Alexander Sayenko" w:date="2025-10-30T12:56:00Z" w16du:dateUtc="2025-10-30T11:56:00Z">
              <w:r w:rsidRPr="00715883">
                <w:t>NOTE</w:t>
              </w:r>
              <w:r>
                <w:t xml:space="preserve"> </w:t>
              </w:r>
            </w:ins>
            <w:ins w:id="50" w:author="Alexander Sayenko [2]" w:date="2025-11-07T12:33:00Z" w16du:dateUtc="2025-11-07T10:33:00Z">
              <w:r w:rsidR="00AE2DD0">
                <w:t>2</w:t>
              </w:r>
            </w:ins>
            <w:ins w:id="51" w:author="Alexander Sayenko" w:date="2025-10-30T12:56:00Z" w16du:dateUtc="2025-10-30T11:56:00Z">
              <w:r w:rsidRPr="00715883">
                <w:t>:</w:t>
              </w:r>
              <w:r w:rsidRPr="00715883">
                <w:tab/>
              </w:r>
            </w:ins>
            <w:ins w:id="52" w:author="Alexander Sayenko" w:date="2025-10-30T12:57:00Z" w16du:dateUtc="2025-10-30T11:57:00Z">
              <w:r w:rsidR="002C75D0">
                <w:t xml:space="preserve">Indicated limit </w:t>
              </w:r>
            </w:ins>
            <w:ins w:id="53" w:author="Alexander Sayenko [2]" w:date="2025-11-03T11:33:00Z" w16du:dateUtc="2025-11-03T10:33:00Z">
              <w:r w:rsidR="00317F3A">
                <w:t xml:space="preserve">is </w:t>
              </w:r>
            </w:ins>
            <w:ins w:id="54" w:author="Alexander Sayenko" w:date="2025-10-30T12:57:00Z" w16du:dateUtc="2025-10-30T11:57:00Z">
              <w:r w:rsidR="002C75D0">
                <w:t xml:space="preserve">applied to any </w:t>
              </w:r>
              <w:r w:rsidR="002C75D0" w:rsidRPr="002C75D0">
                <w:t>frequency of the 1610</w:t>
              </w:r>
              <w:r w:rsidR="002C75D0">
                <w:t>-</w:t>
              </w:r>
              <w:r w:rsidR="002C75D0" w:rsidRPr="002C75D0">
                <w:t>1626</w:t>
              </w:r>
              <w:r w:rsidR="002C75D0">
                <w:t>.</w:t>
              </w:r>
              <w:r w:rsidR="002C75D0" w:rsidRPr="002C75D0">
                <w:t xml:space="preserve">5MHz </w:t>
              </w:r>
              <w:r w:rsidR="002C75D0">
                <w:t xml:space="preserve">band </w:t>
              </w:r>
              <w:r w:rsidR="002C75D0" w:rsidRPr="002C75D0">
                <w:t xml:space="preserve">where </w:t>
              </w:r>
            </w:ins>
            <w:ins w:id="55" w:author="Alexander Sayenko" w:date="2025-10-30T12:58:00Z" w16du:dateUtc="2025-10-30T11:58:00Z">
              <w:r w:rsidR="00AF5A98">
                <w:t>a</w:t>
              </w:r>
            </w:ins>
            <w:ins w:id="56" w:author="Alexander Sayenko" w:date="2025-10-30T12:57:00Z" w16du:dateUtc="2025-10-30T11:57:00Z">
              <w:r w:rsidR="002C75D0" w:rsidRPr="002C75D0">
                <w:t xml:space="preserve"> </w:t>
              </w:r>
            </w:ins>
            <w:ins w:id="57" w:author="Alexander Sayenko" w:date="2025-10-30T12:58:00Z" w16du:dateUtc="2025-10-30T11:58:00Z">
              <w:r w:rsidR="002C75D0">
                <w:t>UE</w:t>
              </w:r>
            </w:ins>
            <w:ins w:id="58" w:author="Alexander Sayenko" w:date="2025-10-30T12:57:00Z" w16du:dateUtc="2025-10-30T11:57:00Z">
              <w:r w:rsidR="002C75D0" w:rsidRPr="002C75D0">
                <w:t xml:space="preserve"> </w:t>
              </w:r>
            </w:ins>
            <w:ins w:id="59" w:author="Alexander Sayenko" w:date="2025-10-30T12:58:00Z" w16du:dateUtc="2025-10-30T11:58:00Z">
              <w:r w:rsidR="002C75D0">
                <w:t>can</w:t>
              </w:r>
            </w:ins>
            <w:ins w:id="60" w:author="Alexander Sayenko" w:date="2025-10-30T12:57:00Z" w16du:dateUtc="2025-10-30T11:57:00Z">
              <w:r w:rsidR="002C75D0" w:rsidRPr="002C75D0">
                <w:t xml:space="preserve"> operate</w:t>
              </w:r>
            </w:ins>
            <w:ins w:id="61" w:author="Alexander Sayenko" w:date="2025-10-30T12:56:00Z" w16du:dateUtc="2025-10-30T11:56:00Z">
              <w:r w:rsidRPr="00715883">
                <w:t>.</w:t>
              </w:r>
            </w:ins>
          </w:p>
        </w:tc>
      </w:tr>
    </w:tbl>
    <w:p w14:paraId="3EB650AC" w14:textId="77777777" w:rsidR="003B569F" w:rsidRPr="00CE5E85" w:rsidRDefault="003B569F" w:rsidP="003B569F"/>
    <w:p w14:paraId="68C9CD36" w14:textId="57C56CF4" w:rsidR="001E41F3" w:rsidRDefault="003B569F">
      <w:pPr>
        <w:rPr>
          <w:noProof/>
        </w:rPr>
      </w:pPr>
      <w:r w:rsidRPr="003B569F">
        <w:rPr>
          <w:noProof/>
          <w:highlight w:val="yellow"/>
        </w:rPr>
        <w:t>********* NEXT CHANGED SECTION *********</w:t>
      </w:r>
    </w:p>
    <w:p w14:paraId="12473A71" w14:textId="77777777" w:rsidR="003B569F" w:rsidRDefault="003B569F">
      <w:pPr>
        <w:rPr>
          <w:noProof/>
        </w:rPr>
      </w:pPr>
    </w:p>
    <w:p w14:paraId="0D1CE579" w14:textId="77777777" w:rsidR="003B569F" w:rsidRPr="00484003" w:rsidRDefault="003B569F" w:rsidP="003B569F">
      <w:pPr>
        <w:pStyle w:val="Heading4"/>
      </w:pPr>
      <w:bookmarkStart w:id="62" w:name="_Toc104122528"/>
      <w:bookmarkStart w:id="63" w:name="_Toc104205479"/>
      <w:bookmarkStart w:id="64" w:name="_Toc104206686"/>
      <w:bookmarkStart w:id="65" w:name="_Toc104503646"/>
      <w:bookmarkStart w:id="66" w:name="_Toc106127577"/>
      <w:bookmarkStart w:id="67" w:name="_Toc123057942"/>
      <w:bookmarkStart w:id="68" w:name="_Toc124256635"/>
      <w:bookmarkStart w:id="69" w:name="_Toc131734948"/>
      <w:bookmarkStart w:id="70" w:name="_Toc137372725"/>
      <w:bookmarkStart w:id="71" w:name="_Toc138885111"/>
      <w:bookmarkStart w:id="72" w:name="_Toc145690614"/>
      <w:bookmarkStart w:id="73" w:name="_Toc155382165"/>
      <w:bookmarkStart w:id="74" w:name="_Toc161753874"/>
      <w:bookmarkStart w:id="75" w:name="_Toc161754495"/>
      <w:bookmarkStart w:id="76" w:name="_Toc163202068"/>
      <w:bookmarkStart w:id="77" w:name="_Toc169888330"/>
      <w:bookmarkStart w:id="78" w:name="_Toc171551519"/>
      <w:bookmarkStart w:id="79" w:name="_Toc176775241"/>
      <w:bookmarkStart w:id="80" w:name="_Toc187243836"/>
      <w:bookmarkStart w:id="81" w:name="_Toc193201385"/>
      <w:bookmarkStart w:id="82" w:name="_Toc201739874"/>
      <w:bookmarkStart w:id="83" w:name="_Toc201742129"/>
      <w:bookmarkStart w:id="84" w:name="_Toc208821095"/>
      <w:r w:rsidRPr="00484003">
        <w:t>6.5.2.</w:t>
      </w:r>
      <w:r>
        <w:t>3</w:t>
      </w:r>
      <w:r w:rsidRPr="00484003">
        <w:tab/>
      </w:r>
      <w:r w:rsidRPr="00A1115A">
        <w:t>Additional spectrum emission mask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89C0469" w14:textId="77CD1F35" w:rsidR="003B569F" w:rsidRDefault="003B569F" w:rsidP="003B569F">
      <w:pPr>
        <w:pStyle w:val="Heading5"/>
        <w:rPr>
          <w:snapToGrid w:val="0"/>
        </w:rPr>
      </w:pPr>
      <w:bookmarkStart w:id="85" w:name="_Toc21344354"/>
      <w:bookmarkStart w:id="86" w:name="_Toc29801840"/>
      <w:bookmarkStart w:id="87" w:name="_Toc29802264"/>
      <w:bookmarkStart w:id="88" w:name="_Toc29802889"/>
      <w:bookmarkStart w:id="89" w:name="_Toc37251397"/>
      <w:bookmarkStart w:id="90" w:name="_Toc45888277"/>
      <w:bookmarkStart w:id="91" w:name="_Toc45888876"/>
      <w:bookmarkStart w:id="92" w:name="_Toc61367570"/>
      <w:bookmarkStart w:id="93" w:name="_Toc61372953"/>
      <w:bookmarkStart w:id="94" w:name="_Toc68230901"/>
      <w:bookmarkStart w:id="95" w:name="_Toc69084314"/>
      <w:bookmarkStart w:id="96" w:name="_Toc75467324"/>
      <w:bookmarkStart w:id="97" w:name="_Toc76509346"/>
      <w:bookmarkStart w:id="98" w:name="_Toc76718336"/>
      <w:bookmarkStart w:id="99" w:name="_Toc83580675"/>
      <w:bookmarkStart w:id="100" w:name="_Toc84405184"/>
      <w:bookmarkStart w:id="101" w:name="_Toc84413793"/>
      <w:bookmarkStart w:id="102" w:name="_Toc155382166"/>
      <w:bookmarkStart w:id="103" w:name="_Toc161753875"/>
      <w:bookmarkStart w:id="104" w:name="_Toc161754496"/>
      <w:bookmarkStart w:id="105" w:name="_Toc163202069"/>
      <w:bookmarkStart w:id="106" w:name="_Toc169888331"/>
      <w:bookmarkStart w:id="107" w:name="_Toc171551520"/>
      <w:bookmarkStart w:id="108" w:name="_Toc176775242"/>
      <w:bookmarkStart w:id="109" w:name="_Toc187243837"/>
      <w:bookmarkStart w:id="110" w:name="_Toc193201386"/>
      <w:bookmarkStart w:id="111" w:name="_Toc201739875"/>
      <w:bookmarkStart w:id="112" w:name="_Toc201742130"/>
      <w:bookmarkStart w:id="113" w:name="_Toc208821096"/>
      <w:r w:rsidRPr="00A1115A">
        <w:rPr>
          <w:snapToGrid w:val="0"/>
        </w:rPr>
        <w:t>6.5.2.3.1</w:t>
      </w:r>
      <w:r w:rsidRPr="00A1115A">
        <w:rPr>
          <w:snapToGrid w:val="0"/>
        </w:rPr>
        <w:tab/>
        <w:t>Requirements for network signalling value "NS_</w:t>
      </w:r>
      <w:r>
        <w:rPr>
          <w:snapToGrid w:val="0"/>
        </w:rPr>
        <w:t>04N</w:t>
      </w:r>
      <w:r w:rsidRPr="00A1115A">
        <w:rPr>
          <w:snapToGrid w:val="0"/>
        </w:rPr>
        <w:t>"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ins w:id="114" w:author="Alexander Sayenko" w:date="2025-11-18T10:14:00Z" w16du:dateUtc="2025-11-18T16:14:00Z">
        <w:r w:rsidR="008E404E">
          <w:rPr>
            <w:snapToGrid w:val="0"/>
          </w:rPr>
          <w:t xml:space="preserve"> and "NS_11N"</w:t>
        </w:r>
      </w:ins>
    </w:p>
    <w:p w14:paraId="0462057E" w14:textId="7A1AF9AC" w:rsidR="003B569F" w:rsidRPr="00715883" w:rsidRDefault="003B569F" w:rsidP="003B569F">
      <w:r w:rsidRPr="00715883">
        <w:t xml:space="preserve">When "NS_04N" </w:t>
      </w:r>
      <w:ins w:id="115" w:author="Alexander Sayenko" w:date="2025-11-18T10:14:00Z" w16du:dateUtc="2025-11-18T16:14:00Z">
        <w:r w:rsidR="008E404E">
          <w:t>or</w:t>
        </w:r>
        <w:r w:rsidR="008E404E" w:rsidRPr="008E404E">
          <w:t xml:space="preserve"> "NS_11N"</w:t>
        </w:r>
        <w:r w:rsidR="008E404E">
          <w:t xml:space="preserve"> </w:t>
        </w:r>
      </w:ins>
      <w:r w:rsidRPr="00715883">
        <w:t>is indicated in the cell, the power of any UE emission shall not exceed the levels specified in Table 6.5.</w:t>
      </w:r>
      <w:r>
        <w:t>2</w:t>
      </w:r>
      <w:r w:rsidRPr="00715883">
        <w:t>.3.</w:t>
      </w:r>
      <w:r>
        <w:t>1</w:t>
      </w:r>
      <w:r w:rsidRPr="00715883">
        <w:t>-</w:t>
      </w:r>
      <w:r>
        <w:t>1</w:t>
      </w:r>
      <w:r w:rsidRPr="00715883">
        <w:t xml:space="preserve"> for any channel bandwidth configured within 1610-1618.25MHz.</w:t>
      </w:r>
    </w:p>
    <w:p w14:paraId="3F7961FB" w14:textId="19E36F58" w:rsidR="003B569F" w:rsidRPr="00715883" w:rsidRDefault="003B569F" w:rsidP="003B569F">
      <w:pPr>
        <w:pStyle w:val="TH"/>
      </w:pPr>
      <w:r w:rsidRPr="00715883">
        <w:t>Table 6.5.</w:t>
      </w:r>
      <w:r>
        <w:t>2</w:t>
      </w:r>
      <w:r w:rsidRPr="00715883">
        <w:t>.3.</w:t>
      </w:r>
      <w:r>
        <w:t>1</w:t>
      </w:r>
      <w:r w:rsidRPr="00715883">
        <w:t>-</w:t>
      </w:r>
      <w:r>
        <w:t>1</w:t>
      </w:r>
      <w:r w:rsidRPr="00715883">
        <w:t xml:space="preserve">: Additional requirements for </w:t>
      </w:r>
      <w:r w:rsidRPr="00715883">
        <w:rPr>
          <w:rFonts w:eastAsia="Yu Mincho"/>
        </w:rPr>
        <w:t>"</w:t>
      </w:r>
      <w:r w:rsidRPr="00715883">
        <w:t>NS_</w:t>
      </w:r>
      <w:r w:rsidRPr="00715883">
        <w:rPr>
          <w:lang w:val="en-US"/>
        </w:rPr>
        <w:t>04N</w:t>
      </w:r>
      <w:r w:rsidRPr="00715883">
        <w:rPr>
          <w:rFonts w:eastAsia="Yu Mincho"/>
        </w:rPr>
        <w:t>"</w:t>
      </w:r>
      <w:ins w:id="116" w:author="Alexander Sayenko" w:date="2025-11-18T10:14:00Z" w16du:dateUtc="2025-11-18T16:14:00Z">
        <w:r w:rsidR="008E404E">
          <w:rPr>
            <w:rFonts w:eastAsia="Yu Mincho"/>
          </w:rPr>
          <w:t xml:space="preserve"> </w:t>
        </w:r>
        <w:r w:rsidR="008E404E" w:rsidRPr="008E404E">
          <w:rPr>
            <w:rFonts w:eastAsia="Yu Mincho"/>
          </w:rPr>
          <w:t>and "NS_11N"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4035"/>
        <w:gridCol w:w="1888"/>
        <w:gridCol w:w="1649"/>
      </w:tblGrid>
      <w:tr w:rsidR="003B569F" w:rsidRPr="00715883" w14:paraId="38C494EA" w14:textId="64DB30F9" w:rsidTr="003B569F">
        <w:trPr>
          <w:trHeight w:val="518"/>
        </w:trPr>
        <w:tc>
          <w:tcPr>
            <w:tcW w:w="2057" w:type="dxa"/>
            <w:vAlign w:val="center"/>
          </w:tcPr>
          <w:p w14:paraId="2EB09E4B" w14:textId="77777777" w:rsidR="003B569F" w:rsidRPr="00715883" w:rsidRDefault="003B569F" w:rsidP="00D1215C">
            <w:pPr>
              <w:pStyle w:val="TAH"/>
            </w:pPr>
            <w:r w:rsidRPr="00715883">
              <w:rPr>
                <w:rFonts w:hint="eastAsia"/>
              </w:rPr>
              <w:t>Δ</w:t>
            </w:r>
            <w:proofErr w:type="spellStart"/>
            <w:r w:rsidRPr="00715883">
              <w:t>f</w:t>
            </w:r>
            <w:r w:rsidRPr="00715883">
              <w:rPr>
                <w:vertAlign w:val="subscript"/>
              </w:rPr>
              <w:t>OOB</w:t>
            </w:r>
            <w:proofErr w:type="spellEnd"/>
            <w:r w:rsidRPr="00715883">
              <w:rPr>
                <w:vertAlign w:val="subscript"/>
              </w:rPr>
              <w:t xml:space="preserve"> </w:t>
            </w:r>
            <w:r w:rsidRPr="00715883">
              <w:t>(kHz)</w:t>
            </w:r>
          </w:p>
        </w:tc>
        <w:tc>
          <w:tcPr>
            <w:tcW w:w="4035" w:type="dxa"/>
            <w:vAlign w:val="center"/>
          </w:tcPr>
          <w:p w14:paraId="48B5815B" w14:textId="77777777" w:rsidR="003B569F" w:rsidRPr="00715883" w:rsidRDefault="003B569F" w:rsidP="00D1215C">
            <w:pPr>
              <w:pStyle w:val="TAH"/>
            </w:pPr>
            <w:r w:rsidRPr="00715883">
              <w:t>Spectrum emission limit (dBm)</w:t>
            </w:r>
          </w:p>
        </w:tc>
        <w:tc>
          <w:tcPr>
            <w:tcW w:w="1888" w:type="dxa"/>
            <w:vAlign w:val="center"/>
          </w:tcPr>
          <w:p w14:paraId="76305F4A" w14:textId="77777777" w:rsidR="003B569F" w:rsidRPr="00715883" w:rsidRDefault="003B569F" w:rsidP="00D1215C">
            <w:pPr>
              <w:pStyle w:val="TAH"/>
            </w:pPr>
            <w:r w:rsidRPr="00715883">
              <w:t>Measurement bandwidth</w:t>
            </w:r>
          </w:p>
        </w:tc>
        <w:tc>
          <w:tcPr>
            <w:tcW w:w="1649" w:type="dxa"/>
          </w:tcPr>
          <w:p w14:paraId="47F2AA7C" w14:textId="40971AB7" w:rsidR="003B569F" w:rsidRPr="00715883" w:rsidRDefault="003B569F" w:rsidP="00D1215C">
            <w:pPr>
              <w:pStyle w:val="TAH"/>
            </w:pPr>
            <w:ins w:id="117" w:author="Alexander Sayenko" w:date="2025-10-30T12:33:00Z" w16du:dateUtc="2025-10-30T11:33:00Z">
              <w:r>
                <w:t>Measurement method</w:t>
              </w:r>
            </w:ins>
          </w:p>
        </w:tc>
      </w:tr>
      <w:tr w:rsidR="003B569F" w:rsidRPr="00715883" w14:paraId="273AE833" w14:textId="4383225A" w:rsidTr="003B569F">
        <w:tc>
          <w:tcPr>
            <w:tcW w:w="2057" w:type="dxa"/>
            <w:vAlign w:val="center"/>
          </w:tcPr>
          <w:p w14:paraId="6891B896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0-160</w:t>
            </w:r>
          </w:p>
        </w:tc>
        <w:tc>
          <w:tcPr>
            <w:tcW w:w="4035" w:type="dxa"/>
            <w:vAlign w:val="center"/>
          </w:tcPr>
          <w:p w14:paraId="39633BB1" w14:textId="77777777" w:rsidR="003B569F" w:rsidRPr="00715883" w:rsidRDefault="003B569F" w:rsidP="00D1215C">
            <w:pPr>
              <w:pStyle w:val="TAC"/>
            </w:pPr>
            <w:r w:rsidRPr="00715883">
              <w:t>-2</w:t>
            </w:r>
          </w:p>
        </w:tc>
        <w:tc>
          <w:tcPr>
            <w:tcW w:w="1888" w:type="dxa"/>
            <w:vMerge w:val="restart"/>
            <w:vAlign w:val="center"/>
          </w:tcPr>
          <w:p w14:paraId="2EF5D00A" w14:textId="77777777" w:rsidR="003B569F" w:rsidRPr="00715883" w:rsidRDefault="003B569F" w:rsidP="00D1215C">
            <w:pPr>
              <w:pStyle w:val="TAC"/>
            </w:pPr>
            <w:r w:rsidRPr="00715883">
              <w:t>30kHz</w:t>
            </w:r>
          </w:p>
        </w:tc>
        <w:tc>
          <w:tcPr>
            <w:tcW w:w="1649" w:type="dxa"/>
            <w:vMerge w:val="restart"/>
            <w:vAlign w:val="center"/>
          </w:tcPr>
          <w:p w14:paraId="18C99F3B" w14:textId="2603EBF1" w:rsidR="003B569F" w:rsidRPr="00715883" w:rsidRDefault="003B569F" w:rsidP="003B569F">
            <w:pPr>
              <w:pStyle w:val="TAC"/>
            </w:pPr>
            <w:ins w:id="118" w:author="Alexander Sayenko" w:date="2025-10-30T12:33:00Z" w16du:dateUtc="2025-10-30T11:33:00Z">
              <w:r>
                <w:t>Average</w:t>
              </w:r>
            </w:ins>
          </w:p>
        </w:tc>
      </w:tr>
      <w:tr w:rsidR="003B569F" w:rsidRPr="00715883" w14:paraId="2E4E4C36" w14:textId="09EE4752" w:rsidTr="003B569F">
        <w:tc>
          <w:tcPr>
            <w:tcW w:w="2057" w:type="dxa"/>
            <w:vAlign w:val="center"/>
          </w:tcPr>
          <w:p w14:paraId="19EABAD4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160-2300</w:t>
            </w:r>
          </w:p>
        </w:tc>
        <w:tc>
          <w:tcPr>
            <w:tcW w:w="4035" w:type="dxa"/>
            <w:vAlign w:val="center"/>
          </w:tcPr>
          <w:p w14:paraId="5D0E29BC" w14:textId="77777777" w:rsidR="003B569F" w:rsidRPr="00715883" w:rsidRDefault="003B569F" w:rsidP="00D1215C">
            <w:pPr>
              <w:pStyle w:val="TAC"/>
            </w:pPr>
            <w:r w:rsidRPr="00715883">
              <w:t>-2 to -26</w:t>
            </w:r>
          </w:p>
        </w:tc>
        <w:tc>
          <w:tcPr>
            <w:tcW w:w="1888" w:type="dxa"/>
            <w:vMerge/>
            <w:vAlign w:val="center"/>
          </w:tcPr>
          <w:p w14:paraId="0363FF85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649" w:type="dxa"/>
            <w:vMerge/>
          </w:tcPr>
          <w:p w14:paraId="1532C0B3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02FB6EF7" w14:textId="57175770" w:rsidTr="003B569F">
        <w:tc>
          <w:tcPr>
            <w:tcW w:w="2057" w:type="dxa"/>
            <w:vAlign w:val="center"/>
          </w:tcPr>
          <w:p w14:paraId="0CCE849E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2300-18500</w:t>
            </w:r>
          </w:p>
        </w:tc>
        <w:tc>
          <w:tcPr>
            <w:tcW w:w="4035" w:type="dxa"/>
            <w:vAlign w:val="center"/>
          </w:tcPr>
          <w:p w14:paraId="69C2626F" w14:textId="77777777" w:rsidR="003B569F" w:rsidRPr="00715883" w:rsidRDefault="003B569F" w:rsidP="00D1215C">
            <w:pPr>
              <w:pStyle w:val="TAC"/>
            </w:pPr>
            <w:r w:rsidRPr="00715883">
              <w:t>-26</w:t>
            </w:r>
          </w:p>
        </w:tc>
        <w:tc>
          <w:tcPr>
            <w:tcW w:w="1888" w:type="dxa"/>
            <w:vMerge/>
            <w:vAlign w:val="center"/>
          </w:tcPr>
          <w:p w14:paraId="61472FA3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649" w:type="dxa"/>
            <w:vMerge/>
          </w:tcPr>
          <w:p w14:paraId="3582374F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3D266D72" w14:textId="5F90A072" w:rsidTr="00B34D1A">
        <w:tc>
          <w:tcPr>
            <w:tcW w:w="9629" w:type="dxa"/>
            <w:gridSpan w:val="4"/>
            <w:vAlign w:val="center"/>
          </w:tcPr>
          <w:p w14:paraId="53E7E2AB" w14:textId="77777777" w:rsidR="003B569F" w:rsidRDefault="003B569F" w:rsidP="00D1215C">
            <w:pPr>
              <w:pStyle w:val="TAN"/>
            </w:pPr>
            <w:r w:rsidRPr="00715883">
              <w:t>NOTE</w:t>
            </w:r>
            <w:r>
              <w:t xml:space="preserve"> 1</w:t>
            </w:r>
            <w:r w:rsidRPr="00715883">
              <w:t>:</w:t>
            </w:r>
            <w:r w:rsidRPr="00715883">
              <w:tab/>
              <w:t>Spectrum emissions are linearly interpolated in dBm versus frequency offset.</w:t>
            </w:r>
          </w:p>
          <w:p w14:paraId="4A6831F2" w14:textId="01EF98C2" w:rsidR="003B569F" w:rsidRPr="00715883" w:rsidRDefault="003B569F" w:rsidP="00D1215C">
            <w:pPr>
              <w:pStyle w:val="TAN"/>
            </w:pPr>
            <w:r w:rsidRPr="00715883">
              <w:rPr>
                <w:rFonts w:cs="Arial"/>
              </w:rPr>
              <w:t>NOTE</w:t>
            </w:r>
            <w:r>
              <w:rPr>
                <w:rFonts w:cs="Arial"/>
              </w:rPr>
              <w:t xml:space="preserve"> 2</w:t>
            </w:r>
            <w:r w:rsidRPr="00715883">
              <w:rPr>
                <w:rFonts w:cs="Arial"/>
              </w:rPr>
              <w:t>:</w:t>
            </w:r>
            <w:r w:rsidRPr="00715883">
              <w:tab/>
              <w:t>The EIRP requirement in regulation is converted to conducted requirement using a 0dBi antenna.</w:t>
            </w:r>
          </w:p>
        </w:tc>
      </w:tr>
    </w:tbl>
    <w:p w14:paraId="0641785F" w14:textId="77777777" w:rsidR="003B569F" w:rsidRPr="00715883" w:rsidRDefault="003B569F" w:rsidP="003B569F"/>
    <w:p w14:paraId="18B392B4" w14:textId="676A38B1" w:rsidR="003B569F" w:rsidRDefault="003B569F" w:rsidP="003B569F">
      <w:pPr>
        <w:pStyle w:val="Heading5"/>
        <w:rPr>
          <w:snapToGrid w:val="0"/>
        </w:rPr>
      </w:pPr>
      <w:bookmarkStart w:id="119" w:name="_Toc155382167"/>
      <w:bookmarkStart w:id="120" w:name="_Toc161753876"/>
      <w:bookmarkStart w:id="121" w:name="_Toc161754497"/>
      <w:bookmarkStart w:id="122" w:name="_Toc163202070"/>
      <w:bookmarkStart w:id="123" w:name="_Toc169888332"/>
      <w:bookmarkStart w:id="124" w:name="_Toc171551521"/>
      <w:bookmarkStart w:id="125" w:name="_Toc176775243"/>
      <w:bookmarkStart w:id="126" w:name="_Toc187243838"/>
      <w:bookmarkStart w:id="127" w:name="_Toc193201387"/>
      <w:bookmarkStart w:id="128" w:name="_Toc201739876"/>
      <w:bookmarkStart w:id="129" w:name="_Toc201742131"/>
      <w:bookmarkStart w:id="130" w:name="_Toc208821097"/>
      <w:r w:rsidRPr="00A1115A">
        <w:rPr>
          <w:snapToGrid w:val="0"/>
        </w:rPr>
        <w:t>6.5.2.3.</w:t>
      </w:r>
      <w:r>
        <w:rPr>
          <w:snapToGrid w:val="0"/>
        </w:rPr>
        <w:t>2</w:t>
      </w:r>
      <w:r w:rsidRPr="00A1115A">
        <w:rPr>
          <w:snapToGrid w:val="0"/>
        </w:rPr>
        <w:tab/>
        <w:t xml:space="preserve">Requirements for network signalling value </w:t>
      </w:r>
      <w:r>
        <w:rPr>
          <w:snapToGrid w:val="0"/>
        </w:rPr>
        <w:t>“</w:t>
      </w:r>
      <w:r w:rsidRPr="00A1115A">
        <w:rPr>
          <w:snapToGrid w:val="0"/>
        </w:rPr>
        <w:t>NS_</w:t>
      </w:r>
      <w:r>
        <w:rPr>
          <w:snapToGrid w:val="0"/>
        </w:rPr>
        <w:t>05N</w:t>
      </w:r>
      <w:r w:rsidRPr="00A1115A">
        <w:rPr>
          <w:snapToGrid w:val="0"/>
        </w:rPr>
        <w:t>"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ins w:id="131" w:author="Alexander Sayenko" w:date="2025-11-18T10:15:00Z" w16du:dateUtc="2025-11-18T16:15:00Z">
        <w:r w:rsidR="008E404E">
          <w:rPr>
            <w:snapToGrid w:val="0"/>
          </w:rPr>
          <w:t xml:space="preserve"> </w:t>
        </w:r>
        <w:r w:rsidR="008E404E" w:rsidRPr="008E404E">
          <w:rPr>
            <w:snapToGrid w:val="0"/>
          </w:rPr>
          <w:t>and "NS_1</w:t>
        </w:r>
        <w:r w:rsidR="008E404E">
          <w:rPr>
            <w:snapToGrid w:val="0"/>
          </w:rPr>
          <w:t>2</w:t>
        </w:r>
        <w:r w:rsidR="008E404E" w:rsidRPr="008E404E">
          <w:rPr>
            <w:snapToGrid w:val="0"/>
          </w:rPr>
          <w:t>N"</w:t>
        </w:r>
      </w:ins>
    </w:p>
    <w:p w14:paraId="3C0FD417" w14:textId="5787907A" w:rsidR="003B569F" w:rsidRPr="00715883" w:rsidRDefault="003B569F" w:rsidP="003B569F">
      <w:r w:rsidRPr="00715883">
        <w:t xml:space="preserve">When "NS_05N" </w:t>
      </w:r>
      <w:ins w:id="132" w:author="Alexander Sayenko" w:date="2025-11-18T10:15:00Z" w16du:dateUtc="2025-11-18T16:15:00Z">
        <w:r w:rsidR="008E404E">
          <w:t>or</w:t>
        </w:r>
        <w:r w:rsidR="008E404E" w:rsidRPr="008E404E">
          <w:t xml:space="preserve"> "NS_1</w:t>
        </w:r>
        <w:r w:rsidR="00E92366">
          <w:t>2</w:t>
        </w:r>
        <w:r w:rsidR="008E404E" w:rsidRPr="008E404E">
          <w:t>N"</w:t>
        </w:r>
        <w:r w:rsidR="008E404E">
          <w:t xml:space="preserve"> </w:t>
        </w:r>
      </w:ins>
      <w:r w:rsidRPr="00715883">
        <w:t>is indicated in the cell, the power of any UE emission shall not exceed the levels specified in Table 6.5.</w:t>
      </w:r>
      <w:r>
        <w:t>2</w:t>
      </w:r>
      <w:r w:rsidRPr="00715883">
        <w:t>.3</w:t>
      </w:r>
      <w:r>
        <w:t>.2</w:t>
      </w:r>
      <w:r w:rsidRPr="00715883">
        <w:t>-</w:t>
      </w:r>
      <w:r>
        <w:t>1</w:t>
      </w:r>
      <w:r w:rsidRPr="00715883">
        <w:t xml:space="preserve"> for any channel bandwidth configured within 1618.25-1626.5MHz.</w:t>
      </w:r>
    </w:p>
    <w:p w14:paraId="464841E2" w14:textId="2287D58F" w:rsidR="003B569F" w:rsidRPr="00715883" w:rsidRDefault="003B569F" w:rsidP="003B569F">
      <w:pPr>
        <w:pStyle w:val="TH"/>
      </w:pPr>
      <w:r w:rsidRPr="00715883">
        <w:lastRenderedPageBreak/>
        <w:t xml:space="preserve">Table </w:t>
      </w:r>
      <w:r w:rsidRPr="00C77EE1">
        <w:t>6.5.2.3.2-1</w:t>
      </w:r>
      <w:r w:rsidRPr="00715883">
        <w:t xml:space="preserve">: Additional requirements for </w:t>
      </w:r>
      <w:r w:rsidRPr="00715883">
        <w:rPr>
          <w:rFonts w:eastAsia="Yu Mincho"/>
        </w:rPr>
        <w:t>"</w:t>
      </w:r>
      <w:r w:rsidRPr="00715883">
        <w:t>NS_</w:t>
      </w:r>
      <w:r w:rsidRPr="00715883">
        <w:rPr>
          <w:lang w:val="en-US"/>
        </w:rPr>
        <w:t>05N</w:t>
      </w:r>
      <w:r w:rsidRPr="00715883">
        <w:rPr>
          <w:rFonts w:eastAsia="Yu Mincho"/>
        </w:rPr>
        <w:t>"</w:t>
      </w:r>
      <w:ins w:id="133" w:author="Alexander Sayenko" w:date="2025-11-18T10:15:00Z" w16du:dateUtc="2025-11-18T16:15:00Z">
        <w:r w:rsidR="008E404E">
          <w:rPr>
            <w:rFonts w:eastAsia="Yu Mincho"/>
          </w:rPr>
          <w:t xml:space="preserve"> </w:t>
        </w:r>
        <w:r w:rsidR="008E404E" w:rsidRPr="008E404E">
          <w:rPr>
            <w:rFonts w:eastAsia="Yu Mincho"/>
          </w:rPr>
          <w:t>and "NS_1</w:t>
        </w:r>
        <w:r w:rsidR="008E404E">
          <w:rPr>
            <w:rFonts w:eastAsia="Yu Mincho"/>
          </w:rPr>
          <w:t>2</w:t>
        </w:r>
        <w:r w:rsidR="008E404E" w:rsidRPr="008E404E">
          <w:rPr>
            <w:rFonts w:eastAsia="Yu Mincho"/>
          </w:rPr>
          <w:t>N"</w:t>
        </w:r>
      </w:ins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407"/>
        <w:gridCol w:w="3825"/>
        <w:gridCol w:w="1843"/>
        <w:gridCol w:w="1701"/>
      </w:tblGrid>
      <w:tr w:rsidR="003B569F" w:rsidRPr="00715883" w14:paraId="76E1361D" w14:textId="6D91E1A5" w:rsidTr="00305027">
        <w:trPr>
          <w:trHeight w:val="518"/>
        </w:trPr>
        <w:tc>
          <w:tcPr>
            <w:tcW w:w="2407" w:type="dxa"/>
            <w:vAlign w:val="center"/>
          </w:tcPr>
          <w:p w14:paraId="5D145889" w14:textId="77777777" w:rsidR="003B569F" w:rsidRPr="00715883" w:rsidRDefault="003B569F" w:rsidP="00D1215C">
            <w:pPr>
              <w:pStyle w:val="TAH"/>
            </w:pPr>
            <w:r w:rsidRPr="00715883">
              <w:rPr>
                <w:rFonts w:hint="eastAsia"/>
              </w:rPr>
              <w:t>Δ</w:t>
            </w:r>
            <w:proofErr w:type="spellStart"/>
            <w:r w:rsidRPr="00715883">
              <w:t>f</w:t>
            </w:r>
            <w:r w:rsidRPr="00715883">
              <w:rPr>
                <w:vertAlign w:val="subscript"/>
              </w:rPr>
              <w:t>OOB</w:t>
            </w:r>
            <w:proofErr w:type="spellEnd"/>
            <w:r w:rsidRPr="00715883">
              <w:rPr>
                <w:vertAlign w:val="subscript"/>
              </w:rPr>
              <w:t xml:space="preserve"> </w:t>
            </w:r>
            <w:r w:rsidRPr="00715883">
              <w:t>(kHz)</w:t>
            </w:r>
          </w:p>
        </w:tc>
        <w:tc>
          <w:tcPr>
            <w:tcW w:w="3825" w:type="dxa"/>
            <w:vAlign w:val="center"/>
          </w:tcPr>
          <w:p w14:paraId="70956D03" w14:textId="77777777" w:rsidR="003B569F" w:rsidRPr="00715883" w:rsidRDefault="003B569F" w:rsidP="00D1215C">
            <w:pPr>
              <w:pStyle w:val="TAH"/>
            </w:pPr>
            <w:r w:rsidRPr="00715883">
              <w:t>Spectrum emission limit (dBm)</w:t>
            </w:r>
          </w:p>
        </w:tc>
        <w:tc>
          <w:tcPr>
            <w:tcW w:w="1843" w:type="dxa"/>
            <w:vAlign w:val="center"/>
          </w:tcPr>
          <w:p w14:paraId="2F8405DA" w14:textId="77777777" w:rsidR="003B569F" w:rsidRPr="00715883" w:rsidRDefault="003B569F" w:rsidP="00D1215C">
            <w:pPr>
              <w:pStyle w:val="TAH"/>
            </w:pPr>
            <w:r w:rsidRPr="00715883">
              <w:t>Measurement bandwidth</w:t>
            </w:r>
          </w:p>
        </w:tc>
        <w:tc>
          <w:tcPr>
            <w:tcW w:w="1701" w:type="dxa"/>
          </w:tcPr>
          <w:p w14:paraId="108A6EE8" w14:textId="1DE265DC" w:rsidR="003B569F" w:rsidRPr="00715883" w:rsidRDefault="003B569F" w:rsidP="00D1215C">
            <w:pPr>
              <w:pStyle w:val="TAH"/>
            </w:pPr>
            <w:ins w:id="134" w:author="Alexander Sayenko" w:date="2025-10-30T12:35:00Z" w16du:dateUtc="2025-10-30T11:35:00Z">
              <w:r>
                <w:t>Measurement method</w:t>
              </w:r>
            </w:ins>
          </w:p>
        </w:tc>
      </w:tr>
      <w:tr w:rsidR="003B569F" w:rsidRPr="00715883" w14:paraId="6DE2C7DA" w14:textId="29CD666A" w:rsidTr="00305027">
        <w:tc>
          <w:tcPr>
            <w:tcW w:w="2407" w:type="dxa"/>
            <w:vAlign w:val="center"/>
          </w:tcPr>
          <w:p w14:paraId="38E5E009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0-160</w:t>
            </w:r>
          </w:p>
        </w:tc>
        <w:tc>
          <w:tcPr>
            <w:tcW w:w="3825" w:type="dxa"/>
            <w:vAlign w:val="center"/>
          </w:tcPr>
          <w:p w14:paraId="65D08984" w14:textId="77777777" w:rsidR="003B569F" w:rsidRPr="00715883" w:rsidRDefault="003B569F" w:rsidP="00D1215C">
            <w:pPr>
              <w:pStyle w:val="TAC"/>
            </w:pPr>
            <w:r w:rsidRPr="00715883">
              <w:t>-5</w:t>
            </w:r>
          </w:p>
        </w:tc>
        <w:tc>
          <w:tcPr>
            <w:tcW w:w="1843" w:type="dxa"/>
            <w:vMerge w:val="restart"/>
            <w:vAlign w:val="center"/>
          </w:tcPr>
          <w:p w14:paraId="0C387B67" w14:textId="77777777" w:rsidR="003B569F" w:rsidRPr="00715883" w:rsidRDefault="003B569F" w:rsidP="00D1215C">
            <w:pPr>
              <w:pStyle w:val="TAC"/>
            </w:pPr>
            <w:r w:rsidRPr="00715883">
              <w:t>30kHz</w:t>
            </w:r>
          </w:p>
        </w:tc>
        <w:tc>
          <w:tcPr>
            <w:tcW w:w="1701" w:type="dxa"/>
            <w:vMerge w:val="restart"/>
            <w:vAlign w:val="center"/>
          </w:tcPr>
          <w:p w14:paraId="47DEC9D2" w14:textId="15468A93" w:rsidR="003B569F" w:rsidRPr="00715883" w:rsidRDefault="003B569F" w:rsidP="003B569F">
            <w:pPr>
              <w:pStyle w:val="TAC"/>
            </w:pPr>
            <w:ins w:id="135" w:author="Alexander Sayenko" w:date="2025-10-30T12:35:00Z" w16du:dateUtc="2025-10-30T11:35:00Z">
              <w:r>
                <w:t>Average</w:t>
              </w:r>
            </w:ins>
          </w:p>
        </w:tc>
      </w:tr>
      <w:tr w:rsidR="003B569F" w:rsidRPr="00715883" w14:paraId="47E41236" w14:textId="48F16AE9" w:rsidTr="00305027">
        <w:tc>
          <w:tcPr>
            <w:tcW w:w="2407" w:type="dxa"/>
            <w:vAlign w:val="center"/>
          </w:tcPr>
          <w:p w14:paraId="3019E132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160-225</w:t>
            </w:r>
          </w:p>
        </w:tc>
        <w:tc>
          <w:tcPr>
            <w:tcW w:w="3825" w:type="dxa"/>
            <w:vAlign w:val="center"/>
          </w:tcPr>
          <w:p w14:paraId="6BE0FD53" w14:textId="77777777" w:rsidR="003B569F" w:rsidRPr="00715883" w:rsidRDefault="003B569F" w:rsidP="00D1215C">
            <w:pPr>
              <w:pStyle w:val="TAC"/>
            </w:pPr>
            <w:r w:rsidRPr="00715883">
              <w:t>-5 to -8.5</w:t>
            </w:r>
          </w:p>
        </w:tc>
        <w:tc>
          <w:tcPr>
            <w:tcW w:w="1843" w:type="dxa"/>
            <w:vMerge/>
            <w:vAlign w:val="center"/>
          </w:tcPr>
          <w:p w14:paraId="316341E7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701" w:type="dxa"/>
            <w:vMerge/>
          </w:tcPr>
          <w:p w14:paraId="709F3C84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5DC6B489" w14:textId="27E185EC" w:rsidTr="00305027">
        <w:tc>
          <w:tcPr>
            <w:tcW w:w="2407" w:type="dxa"/>
            <w:vAlign w:val="center"/>
          </w:tcPr>
          <w:p w14:paraId="139B6C8C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225-650</w:t>
            </w:r>
          </w:p>
        </w:tc>
        <w:tc>
          <w:tcPr>
            <w:tcW w:w="3825" w:type="dxa"/>
            <w:vAlign w:val="center"/>
          </w:tcPr>
          <w:p w14:paraId="4CA002E9" w14:textId="77777777" w:rsidR="003B569F" w:rsidRPr="00715883" w:rsidRDefault="003B569F" w:rsidP="00D1215C">
            <w:pPr>
              <w:pStyle w:val="TAC"/>
            </w:pPr>
            <w:r w:rsidRPr="00715883">
              <w:t>-8.5 to -15</w:t>
            </w:r>
          </w:p>
        </w:tc>
        <w:tc>
          <w:tcPr>
            <w:tcW w:w="1843" w:type="dxa"/>
            <w:vMerge/>
            <w:vAlign w:val="center"/>
          </w:tcPr>
          <w:p w14:paraId="319C8C7F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701" w:type="dxa"/>
            <w:vMerge/>
          </w:tcPr>
          <w:p w14:paraId="11DB6CDA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0F1AFD4F" w14:textId="29EBB0ED" w:rsidTr="00305027">
        <w:tc>
          <w:tcPr>
            <w:tcW w:w="2407" w:type="dxa"/>
            <w:vAlign w:val="center"/>
          </w:tcPr>
          <w:p w14:paraId="2B08C1CA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650-1365</w:t>
            </w:r>
          </w:p>
        </w:tc>
        <w:tc>
          <w:tcPr>
            <w:tcW w:w="3825" w:type="dxa"/>
            <w:vAlign w:val="center"/>
          </w:tcPr>
          <w:p w14:paraId="09FF29F1" w14:textId="77777777" w:rsidR="003B569F" w:rsidRPr="00715883" w:rsidRDefault="003B569F" w:rsidP="00D1215C">
            <w:pPr>
              <w:pStyle w:val="TAC"/>
            </w:pPr>
            <w:r w:rsidRPr="00715883">
              <w:t>-15</w:t>
            </w:r>
          </w:p>
        </w:tc>
        <w:tc>
          <w:tcPr>
            <w:tcW w:w="1843" w:type="dxa"/>
            <w:vMerge/>
            <w:vAlign w:val="center"/>
          </w:tcPr>
          <w:p w14:paraId="1CF8C7F0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701" w:type="dxa"/>
            <w:vMerge/>
          </w:tcPr>
          <w:p w14:paraId="51EF43BF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6C84141F" w14:textId="6306D372" w:rsidTr="00305027">
        <w:tc>
          <w:tcPr>
            <w:tcW w:w="2407" w:type="dxa"/>
            <w:vAlign w:val="center"/>
          </w:tcPr>
          <w:p w14:paraId="19747F3E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1365-1800</w:t>
            </w:r>
          </w:p>
        </w:tc>
        <w:tc>
          <w:tcPr>
            <w:tcW w:w="3825" w:type="dxa"/>
            <w:vAlign w:val="center"/>
          </w:tcPr>
          <w:p w14:paraId="25422233" w14:textId="77777777" w:rsidR="003B569F" w:rsidRPr="00715883" w:rsidRDefault="003B569F" w:rsidP="00D1215C">
            <w:pPr>
              <w:pStyle w:val="TAC"/>
            </w:pPr>
            <w:r w:rsidRPr="00715883">
              <w:t>-23 to -26</w:t>
            </w:r>
          </w:p>
        </w:tc>
        <w:tc>
          <w:tcPr>
            <w:tcW w:w="1843" w:type="dxa"/>
            <w:vMerge/>
            <w:vAlign w:val="center"/>
          </w:tcPr>
          <w:p w14:paraId="7526CC9A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701" w:type="dxa"/>
            <w:vMerge/>
          </w:tcPr>
          <w:p w14:paraId="17EAAD2F" w14:textId="77777777" w:rsidR="003B569F" w:rsidRPr="00715883" w:rsidRDefault="003B569F" w:rsidP="00D1215C">
            <w:pPr>
              <w:pStyle w:val="TAC"/>
            </w:pPr>
          </w:p>
        </w:tc>
      </w:tr>
      <w:tr w:rsidR="003B569F" w:rsidRPr="00715883" w14:paraId="51F6FDCF" w14:textId="2102A5B7" w:rsidTr="00305027">
        <w:tc>
          <w:tcPr>
            <w:tcW w:w="2407" w:type="dxa"/>
            <w:vAlign w:val="center"/>
          </w:tcPr>
          <w:p w14:paraId="2204E3EC" w14:textId="77777777" w:rsidR="003B569F" w:rsidRPr="00715883" w:rsidRDefault="003B569F" w:rsidP="00D1215C">
            <w:pPr>
              <w:pStyle w:val="TAC"/>
            </w:pPr>
            <w:r w:rsidRPr="00A1115A">
              <w:sym w:font="Symbol" w:char="F0B1"/>
            </w:r>
            <w:r w:rsidRPr="00715883">
              <w:t xml:space="preserve"> 1800-16500</w:t>
            </w:r>
          </w:p>
        </w:tc>
        <w:tc>
          <w:tcPr>
            <w:tcW w:w="3825" w:type="dxa"/>
            <w:vAlign w:val="center"/>
          </w:tcPr>
          <w:p w14:paraId="30A8958C" w14:textId="77777777" w:rsidR="003B569F" w:rsidRPr="00715883" w:rsidRDefault="003B569F" w:rsidP="00D1215C">
            <w:pPr>
              <w:pStyle w:val="TAC"/>
            </w:pPr>
            <w:r w:rsidRPr="00715883">
              <w:t>-26</w:t>
            </w:r>
          </w:p>
        </w:tc>
        <w:tc>
          <w:tcPr>
            <w:tcW w:w="1843" w:type="dxa"/>
            <w:vMerge/>
            <w:vAlign w:val="center"/>
          </w:tcPr>
          <w:p w14:paraId="4E7DFA45" w14:textId="77777777" w:rsidR="003B569F" w:rsidRPr="00715883" w:rsidRDefault="003B569F" w:rsidP="00D1215C">
            <w:pPr>
              <w:pStyle w:val="TAC"/>
            </w:pPr>
          </w:p>
        </w:tc>
        <w:tc>
          <w:tcPr>
            <w:tcW w:w="1701" w:type="dxa"/>
            <w:vMerge/>
          </w:tcPr>
          <w:p w14:paraId="7D9C1573" w14:textId="77777777" w:rsidR="003B569F" w:rsidRPr="00715883" w:rsidRDefault="003B569F" w:rsidP="00D1215C">
            <w:pPr>
              <w:pStyle w:val="TAC"/>
            </w:pPr>
          </w:p>
        </w:tc>
      </w:tr>
      <w:tr w:rsidR="003B569F" w14:paraId="4F383C58" w14:textId="67EFD0EA" w:rsidTr="00305027">
        <w:tc>
          <w:tcPr>
            <w:tcW w:w="9776" w:type="dxa"/>
            <w:gridSpan w:val="4"/>
            <w:vAlign w:val="center"/>
          </w:tcPr>
          <w:p w14:paraId="276A741E" w14:textId="77777777" w:rsidR="003B569F" w:rsidRDefault="003B569F" w:rsidP="00D1215C">
            <w:pPr>
              <w:pStyle w:val="TAN"/>
            </w:pPr>
            <w:r w:rsidRPr="00715883">
              <w:t>NOTE</w:t>
            </w:r>
            <w:r>
              <w:t xml:space="preserve"> 1</w:t>
            </w:r>
            <w:r w:rsidRPr="00715883">
              <w:t>:</w:t>
            </w:r>
            <w:r w:rsidRPr="00715883">
              <w:tab/>
              <w:t>Spectrum emissions are linearly interpolated in dBm versus frequency offset.</w:t>
            </w:r>
          </w:p>
          <w:p w14:paraId="762E8FAD" w14:textId="39F5777E" w:rsidR="003B569F" w:rsidRPr="00715883" w:rsidRDefault="003B569F" w:rsidP="00D1215C">
            <w:pPr>
              <w:pStyle w:val="TAN"/>
            </w:pPr>
            <w:r w:rsidRPr="00715883">
              <w:rPr>
                <w:rFonts w:cs="Arial"/>
              </w:rPr>
              <w:t>NOTE</w:t>
            </w:r>
            <w:r>
              <w:rPr>
                <w:rFonts w:cs="Arial"/>
              </w:rPr>
              <w:t xml:space="preserve"> 2</w:t>
            </w:r>
            <w:r w:rsidRPr="00715883">
              <w:rPr>
                <w:rFonts w:cs="Arial"/>
              </w:rPr>
              <w:t>:</w:t>
            </w:r>
            <w:r w:rsidRPr="00715883">
              <w:tab/>
              <w:t>The EIRP requirement in regulation is converted to conducted requirement using a 0dBi antenna.</w:t>
            </w:r>
          </w:p>
        </w:tc>
      </w:tr>
    </w:tbl>
    <w:p w14:paraId="3B6FD103" w14:textId="77777777" w:rsidR="003B569F" w:rsidRDefault="003B569F" w:rsidP="003B569F"/>
    <w:p w14:paraId="0295B1B7" w14:textId="77777777" w:rsidR="006A579E" w:rsidRDefault="006A579E" w:rsidP="003B569F"/>
    <w:p w14:paraId="438FA16C" w14:textId="77777777" w:rsidR="006A579E" w:rsidRDefault="006A579E" w:rsidP="006A579E">
      <w:pPr>
        <w:rPr>
          <w:noProof/>
        </w:rPr>
      </w:pPr>
      <w:r w:rsidRPr="003B569F">
        <w:rPr>
          <w:noProof/>
          <w:highlight w:val="yellow"/>
        </w:rPr>
        <w:t>********* NEXT CHANGED SECTION *********</w:t>
      </w:r>
    </w:p>
    <w:p w14:paraId="133ED33B" w14:textId="77777777" w:rsidR="003B569F" w:rsidRDefault="003B569F">
      <w:pPr>
        <w:rPr>
          <w:noProof/>
        </w:rPr>
      </w:pPr>
    </w:p>
    <w:p w14:paraId="34D6D861" w14:textId="77777777" w:rsidR="006A579E" w:rsidRPr="00715883" w:rsidRDefault="006A579E" w:rsidP="006A579E">
      <w:pPr>
        <w:pStyle w:val="Heading5"/>
      </w:pPr>
      <w:bookmarkStart w:id="136" w:name="_Toc161753887"/>
      <w:bookmarkStart w:id="137" w:name="_Toc161754508"/>
      <w:bookmarkStart w:id="138" w:name="_Toc163202081"/>
      <w:bookmarkStart w:id="139" w:name="_Toc169888343"/>
      <w:bookmarkStart w:id="140" w:name="_Toc171551532"/>
      <w:bookmarkStart w:id="141" w:name="_Toc176775254"/>
      <w:bookmarkStart w:id="142" w:name="_Toc187243849"/>
      <w:bookmarkStart w:id="143" w:name="_Toc193201398"/>
      <w:bookmarkStart w:id="144" w:name="_Toc201739887"/>
      <w:bookmarkStart w:id="145" w:name="_Toc201742142"/>
      <w:bookmarkStart w:id="146" w:name="_Toc208821108"/>
      <w:r w:rsidRPr="00715883">
        <w:t>6.5.3.3.</w:t>
      </w:r>
      <w:r>
        <w:t>4</w:t>
      </w:r>
      <w:r w:rsidRPr="00715883">
        <w:tab/>
        <w:t>Requirement for network signalling value "NS_04N"</w:t>
      </w:r>
      <w:r>
        <w:t xml:space="preserve"> and </w:t>
      </w:r>
      <w:r w:rsidRPr="00715883">
        <w:t>"</w:t>
      </w:r>
      <w:r>
        <w:t>NS_05N</w:t>
      </w:r>
      <w:r w:rsidRPr="00715883">
        <w:t>"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3137E02C" w14:textId="77777777" w:rsidR="006A579E" w:rsidRPr="00715883" w:rsidRDefault="006A579E" w:rsidP="006A579E">
      <w:r w:rsidRPr="00715883">
        <w:t xml:space="preserve">When "NS_04N" </w:t>
      </w:r>
      <w:r>
        <w:t xml:space="preserve">or "NS_05N" </w:t>
      </w:r>
      <w:r w:rsidRPr="00715883">
        <w:t>is indicated in the cell, the power of any UE emission shall not exceed the levels specified in Table 6.5.3.3.</w:t>
      </w:r>
      <w:r>
        <w:t>4</w:t>
      </w:r>
      <w:r w:rsidRPr="00715883">
        <w:t>-1. This requirement also applies for the frequency ranges that are less than F</w:t>
      </w:r>
      <w:r w:rsidRPr="00715883">
        <w:rPr>
          <w:vertAlign w:val="subscript"/>
        </w:rPr>
        <w:t>OOB</w:t>
      </w:r>
      <w:r w:rsidRPr="00715883">
        <w:t xml:space="preserve"> (MHz) in Table 6.5.3.1-1 from the edge of the channel bandwidth.</w:t>
      </w:r>
    </w:p>
    <w:p w14:paraId="479FD725" w14:textId="77777777" w:rsidR="006A579E" w:rsidRPr="00715883" w:rsidRDefault="006A579E" w:rsidP="006A579E">
      <w:pPr>
        <w:pStyle w:val="TH"/>
      </w:pPr>
      <w:r w:rsidRPr="00715883">
        <w:t>Table 6.5.3.3.</w:t>
      </w:r>
      <w:r>
        <w:t>4</w:t>
      </w:r>
      <w:r w:rsidRPr="00715883">
        <w:t xml:space="preserve">-1: Additional out-of-band requirements for </w:t>
      </w:r>
      <w:r w:rsidRPr="00715883">
        <w:rPr>
          <w:rFonts w:eastAsia="Yu Mincho"/>
        </w:rPr>
        <w:t>"</w:t>
      </w:r>
      <w:r w:rsidRPr="00715883">
        <w:t>NS_</w:t>
      </w:r>
      <w:r w:rsidRPr="00715883">
        <w:rPr>
          <w:lang w:val="en-US"/>
        </w:rPr>
        <w:t>04N</w:t>
      </w:r>
      <w:r w:rsidRPr="00715883">
        <w:rPr>
          <w:rFonts w:eastAsia="Yu Mincho"/>
        </w:rPr>
        <w:t>"</w:t>
      </w:r>
      <w:r>
        <w:rPr>
          <w:rFonts w:eastAsia="Yu Mincho"/>
        </w:rPr>
        <w:t xml:space="preserve"> and </w:t>
      </w:r>
      <w:r w:rsidRPr="00715883">
        <w:rPr>
          <w:rFonts w:eastAsia="Yu Mincho"/>
        </w:rPr>
        <w:t>"</w:t>
      </w:r>
      <w:r w:rsidRPr="00715883">
        <w:t>NS_</w:t>
      </w:r>
      <w:r w:rsidRPr="00715883">
        <w:rPr>
          <w:lang w:val="en-US"/>
        </w:rPr>
        <w:t>0</w:t>
      </w:r>
      <w:r>
        <w:rPr>
          <w:lang w:val="en-US"/>
        </w:rPr>
        <w:t>5</w:t>
      </w:r>
      <w:r w:rsidRPr="00715883">
        <w:rPr>
          <w:lang w:val="en-US"/>
        </w:rPr>
        <w:t>N</w:t>
      </w:r>
      <w:r w:rsidRPr="00715883">
        <w:rPr>
          <w:rFonts w:eastAsia="Yu Mincho"/>
        </w:rPr>
        <w:t>"</w:t>
      </w:r>
    </w:p>
    <w:tbl>
      <w:tblPr>
        <w:tblW w:w="7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181"/>
        <w:gridCol w:w="1377"/>
        <w:gridCol w:w="2155"/>
      </w:tblGrid>
      <w:tr w:rsidR="006A579E" w:rsidRPr="00715883" w14:paraId="4E4A40D1" w14:textId="77777777" w:rsidTr="00D1215C">
        <w:trPr>
          <w:cantSplit/>
          <w:trHeight w:val="375"/>
          <w:jc w:val="center"/>
        </w:trPr>
        <w:tc>
          <w:tcPr>
            <w:tcW w:w="1799" w:type="dxa"/>
            <w:vMerge w:val="restart"/>
          </w:tcPr>
          <w:p w14:paraId="5A0D7424" w14:textId="77777777" w:rsidR="006A579E" w:rsidRPr="00DB20DC" w:rsidRDefault="006A579E" w:rsidP="00D1215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B20DC">
              <w:rPr>
                <w:rFonts w:ascii="Arial" w:hAnsi="Arial" w:cs="Arial"/>
                <w:b/>
                <w:bCs/>
                <w:sz w:val="18"/>
              </w:rPr>
              <w:t xml:space="preserve">Frequency </w:t>
            </w:r>
            <w:r>
              <w:rPr>
                <w:rFonts w:ascii="Arial" w:hAnsi="Arial" w:cs="Arial"/>
                <w:b/>
                <w:bCs/>
                <w:sz w:val="18"/>
              </w:rPr>
              <w:t>range</w:t>
            </w:r>
          </w:p>
          <w:p w14:paraId="512D70C7" w14:textId="77777777" w:rsidR="006A579E" w:rsidRPr="00715883" w:rsidRDefault="006A579E" w:rsidP="00D1215C">
            <w:pPr>
              <w:pStyle w:val="TAH"/>
              <w:rPr>
                <w:rFonts w:cs="Arial"/>
                <w:bCs/>
              </w:rPr>
            </w:pPr>
            <w:r w:rsidRPr="00DB20DC">
              <w:rPr>
                <w:rFonts w:cs="Arial"/>
                <w:bCs/>
              </w:rPr>
              <w:t>(MHz)</w:t>
            </w:r>
          </w:p>
        </w:tc>
        <w:tc>
          <w:tcPr>
            <w:tcW w:w="2181" w:type="dxa"/>
          </w:tcPr>
          <w:p w14:paraId="574C6B1E" w14:textId="77777777" w:rsidR="006A579E" w:rsidRPr="00715883" w:rsidRDefault="006A579E" w:rsidP="00D1215C">
            <w:pPr>
              <w:pStyle w:val="TAH"/>
              <w:rPr>
                <w:rFonts w:cs="Arial"/>
                <w:bCs/>
              </w:rPr>
            </w:pPr>
            <w:r w:rsidRPr="00715883">
              <w:rPr>
                <w:rFonts w:cs="Arial"/>
                <w:bCs/>
              </w:rPr>
              <w:t>Channel bandwidth / Spectrum emission limit</w:t>
            </w:r>
            <w:r w:rsidRPr="00715883">
              <w:rPr>
                <w:rFonts w:cs="Arial"/>
                <w:bCs/>
                <w:vertAlign w:val="superscript"/>
              </w:rPr>
              <w:t>1</w:t>
            </w:r>
            <w:r w:rsidRPr="00715883">
              <w:rPr>
                <w:rFonts w:cs="Arial"/>
                <w:bCs/>
              </w:rPr>
              <w:t xml:space="preserve"> (dB</w:t>
            </w:r>
            <w:r w:rsidRPr="00715883">
              <w:rPr>
                <w:rFonts w:cs="Arial"/>
                <w:bCs/>
                <w:lang w:val="en-US"/>
              </w:rPr>
              <w:t>m</w:t>
            </w:r>
            <w:r w:rsidRPr="00715883">
              <w:rPr>
                <w:rFonts w:cs="Arial"/>
                <w:bCs/>
              </w:rPr>
              <w:t>)</w:t>
            </w:r>
          </w:p>
        </w:tc>
        <w:tc>
          <w:tcPr>
            <w:tcW w:w="1377" w:type="dxa"/>
            <w:vMerge w:val="restart"/>
          </w:tcPr>
          <w:p w14:paraId="29B63C29" w14:textId="77777777" w:rsidR="006A579E" w:rsidRPr="00715883" w:rsidRDefault="006A579E" w:rsidP="00D1215C">
            <w:pPr>
              <w:pStyle w:val="TAH"/>
              <w:rPr>
                <w:rFonts w:cs="Arial"/>
                <w:bCs/>
              </w:rPr>
            </w:pPr>
            <w:r w:rsidRPr="00715883">
              <w:rPr>
                <w:rFonts w:cs="Arial"/>
                <w:bCs/>
              </w:rPr>
              <w:t xml:space="preserve">Measurement bandwidth </w:t>
            </w:r>
          </w:p>
        </w:tc>
        <w:tc>
          <w:tcPr>
            <w:tcW w:w="2155" w:type="dxa"/>
            <w:vMerge w:val="restart"/>
          </w:tcPr>
          <w:p w14:paraId="4F2EB7B3" w14:textId="6BF24664" w:rsidR="006A579E" w:rsidRPr="00715883" w:rsidRDefault="006A579E" w:rsidP="00D1215C">
            <w:pPr>
              <w:pStyle w:val="TAH"/>
              <w:rPr>
                <w:rFonts w:cs="Arial"/>
                <w:bCs/>
              </w:rPr>
            </w:pPr>
            <w:del w:id="147" w:author="Alexander Sayenko" w:date="2025-10-30T12:40:00Z" w16du:dateUtc="2025-10-30T11:40:00Z">
              <w:r w:rsidRPr="00715883" w:rsidDel="006A579E">
                <w:rPr>
                  <w:rFonts w:cs="Arial"/>
                  <w:bCs/>
                </w:rPr>
                <w:delText>NOTE</w:delText>
              </w:r>
            </w:del>
            <w:ins w:id="148" w:author="Alexander Sayenko" w:date="2025-10-30T12:40:00Z" w16du:dateUtc="2025-10-30T11:40:00Z">
              <w:r>
                <w:rPr>
                  <w:rFonts w:cs="Arial"/>
                  <w:bCs/>
                </w:rPr>
                <w:t xml:space="preserve">Measurement </w:t>
              </w:r>
            </w:ins>
            <w:ins w:id="149" w:author="Alexander Sayenko" w:date="2025-10-30T12:43:00Z" w16du:dateUtc="2025-10-30T11:43:00Z">
              <w:r>
                <w:rPr>
                  <w:rFonts w:cs="Arial"/>
                  <w:bCs/>
                </w:rPr>
                <w:t>method</w:t>
              </w:r>
            </w:ins>
          </w:p>
        </w:tc>
      </w:tr>
      <w:tr w:rsidR="006A579E" w:rsidRPr="00715883" w14:paraId="7132ED5F" w14:textId="77777777" w:rsidTr="00D1215C">
        <w:trPr>
          <w:cantSplit/>
          <w:trHeight w:val="181"/>
          <w:jc w:val="center"/>
        </w:trPr>
        <w:tc>
          <w:tcPr>
            <w:tcW w:w="1799" w:type="dxa"/>
            <w:vMerge/>
          </w:tcPr>
          <w:p w14:paraId="11A57642" w14:textId="77777777" w:rsidR="006A579E" w:rsidRPr="00715883" w:rsidRDefault="006A579E" w:rsidP="00D1215C">
            <w:pPr>
              <w:pStyle w:val="TAH"/>
              <w:rPr>
                <w:rFonts w:cs="Arial"/>
                <w:b w:val="0"/>
              </w:rPr>
            </w:pPr>
          </w:p>
        </w:tc>
        <w:tc>
          <w:tcPr>
            <w:tcW w:w="2181" w:type="dxa"/>
          </w:tcPr>
          <w:p w14:paraId="13B67DC6" w14:textId="77777777" w:rsidR="006A579E" w:rsidRPr="00715883" w:rsidRDefault="006A579E" w:rsidP="00D1215C">
            <w:pPr>
              <w:pStyle w:val="TAH"/>
              <w:rPr>
                <w:rFonts w:cs="Arial"/>
                <w:b w:val="0"/>
                <w:lang w:val="en-US"/>
              </w:rPr>
            </w:pPr>
            <w:r w:rsidRPr="00715883">
              <w:rPr>
                <w:rFonts w:cs="Arial"/>
                <w:b w:val="0"/>
              </w:rPr>
              <w:t>5 MHz, 10</w:t>
            </w:r>
            <w:r w:rsidRPr="00715883">
              <w:rPr>
                <w:rFonts w:cs="Arial"/>
                <w:b w:val="0"/>
                <w:lang w:val="en-US"/>
              </w:rPr>
              <w:t xml:space="preserve"> </w:t>
            </w:r>
            <w:r w:rsidRPr="00715883">
              <w:rPr>
                <w:rFonts w:cs="Arial"/>
                <w:b w:val="0"/>
              </w:rPr>
              <w:t>MHz</w:t>
            </w:r>
            <w:r w:rsidRPr="00715883">
              <w:rPr>
                <w:rFonts w:cs="Arial"/>
                <w:b w:val="0"/>
                <w:lang w:val="en-US"/>
              </w:rPr>
              <w:t>, 15 MHz</w:t>
            </w:r>
          </w:p>
        </w:tc>
        <w:tc>
          <w:tcPr>
            <w:tcW w:w="1377" w:type="dxa"/>
            <w:vMerge/>
          </w:tcPr>
          <w:p w14:paraId="5B03C675" w14:textId="77777777" w:rsidR="006A579E" w:rsidRPr="00715883" w:rsidRDefault="006A579E" w:rsidP="00D1215C">
            <w:pPr>
              <w:pStyle w:val="TableText"/>
              <w:ind w:left="8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AE152D1" w14:textId="77777777" w:rsidR="006A579E" w:rsidRPr="00715883" w:rsidRDefault="006A579E" w:rsidP="00D1215C">
            <w:pPr>
              <w:pStyle w:val="TableText"/>
              <w:ind w:left="8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A579E" w:rsidRPr="00715883" w14:paraId="388025F0" w14:textId="77777777" w:rsidTr="00D1215C">
        <w:trPr>
          <w:jc w:val="center"/>
        </w:trPr>
        <w:tc>
          <w:tcPr>
            <w:tcW w:w="1799" w:type="dxa"/>
          </w:tcPr>
          <w:p w14:paraId="49C9405C" w14:textId="77777777" w:rsidR="006A579E" w:rsidRPr="00715883" w:rsidRDefault="006A579E" w:rsidP="00D1215C">
            <w:pPr>
              <w:pStyle w:val="TAC"/>
              <w:rPr>
                <w:rFonts w:cs="Arial"/>
                <w:szCs w:val="18"/>
                <w:lang w:val="en-US"/>
              </w:rPr>
            </w:pPr>
            <w:r w:rsidRPr="00DB20DC">
              <w:rPr>
                <w:rFonts w:cs="Arial"/>
                <w:szCs w:val="18"/>
              </w:rPr>
              <w:t>1</w:t>
            </w:r>
            <w:r w:rsidRPr="00DB20DC">
              <w:rPr>
                <w:rFonts w:cs="Arial"/>
                <w:szCs w:val="18"/>
                <w:lang w:val="en-US"/>
              </w:rPr>
              <w:t>559</w:t>
            </w:r>
            <w:r w:rsidRPr="00DB20DC">
              <w:rPr>
                <w:rFonts w:cs="Arial"/>
                <w:szCs w:val="18"/>
              </w:rPr>
              <w:t xml:space="preserve"> ≤ f </w:t>
            </w:r>
            <w:r w:rsidRPr="00A1115A">
              <w:t>&lt;</w:t>
            </w:r>
            <w:r w:rsidRPr="00DB20DC">
              <w:rPr>
                <w:rFonts w:cs="Arial"/>
                <w:szCs w:val="18"/>
              </w:rPr>
              <w:t xml:space="preserve"> 160</w:t>
            </w:r>
            <w:r w:rsidRPr="00DB20DC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2181" w:type="dxa"/>
          </w:tcPr>
          <w:p w14:paraId="48B6E403" w14:textId="77777777" w:rsidR="006A579E" w:rsidRPr="00715883" w:rsidRDefault="006A579E" w:rsidP="00D1215C">
            <w:pPr>
              <w:pStyle w:val="TAC"/>
              <w:rPr>
                <w:rFonts w:cs="Arial"/>
                <w:szCs w:val="18"/>
                <w:lang w:val="en-US"/>
              </w:rPr>
            </w:pPr>
            <w:r w:rsidRPr="00715883">
              <w:rPr>
                <w:rFonts w:cs="Arial"/>
                <w:szCs w:val="18"/>
              </w:rPr>
              <w:t>-40</w:t>
            </w:r>
          </w:p>
        </w:tc>
        <w:tc>
          <w:tcPr>
            <w:tcW w:w="1377" w:type="dxa"/>
          </w:tcPr>
          <w:p w14:paraId="2B5611B8" w14:textId="77777777" w:rsidR="006A579E" w:rsidRPr="00715883" w:rsidRDefault="006A579E" w:rsidP="00D1215C">
            <w:pPr>
              <w:pStyle w:val="TAC"/>
              <w:rPr>
                <w:rFonts w:cs="Arial"/>
                <w:szCs w:val="18"/>
              </w:rPr>
            </w:pPr>
            <w:r w:rsidRPr="00715883">
              <w:rPr>
                <w:rFonts w:cs="Arial"/>
                <w:szCs w:val="18"/>
              </w:rPr>
              <w:t>1MHz</w:t>
            </w:r>
          </w:p>
        </w:tc>
        <w:tc>
          <w:tcPr>
            <w:tcW w:w="2155" w:type="dxa"/>
            <w:vMerge w:val="restart"/>
          </w:tcPr>
          <w:p w14:paraId="1FF29663" w14:textId="18F89704" w:rsidR="006A579E" w:rsidRPr="00715883" w:rsidRDefault="006A579E" w:rsidP="00D1215C">
            <w:pPr>
              <w:pStyle w:val="TAC"/>
              <w:rPr>
                <w:rFonts w:cs="Arial"/>
                <w:szCs w:val="18"/>
              </w:rPr>
            </w:pPr>
            <w:r w:rsidRPr="00715883">
              <w:rPr>
                <w:rFonts w:cs="Arial"/>
                <w:szCs w:val="18"/>
              </w:rPr>
              <w:t>Average</w:t>
            </w:r>
            <w:ins w:id="150" w:author="Alexander Sayenko" w:date="2025-10-30T12:44:00Z" w16du:dateUtc="2025-10-30T11:44:00Z">
              <w:r>
                <w:rPr>
                  <w:rFonts w:cs="Arial"/>
                  <w:szCs w:val="18"/>
                </w:rPr>
                <w:t xml:space="preserve"> (</w:t>
              </w:r>
            </w:ins>
            <w:ins w:id="151" w:author="Alexander Sayenko [2]" w:date="2025-11-07T17:55:00Z" w16du:dateUtc="2025-11-07T15:55:00Z">
              <w:r w:rsidR="00920C27">
                <w:rPr>
                  <w:rFonts w:cs="Arial"/>
                  <w:szCs w:val="18"/>
                </w:rPr>
                <w:t>note 2</w:t>
              </w:r>
            </w:ins>
            <w:ins w:id="152" w:author="Alexander Sayenko" w:date="2025-10-30T12:44:00Z" w16du:dateUtc="2025-10-30T11:44:00Z">
              <w:r>
                <w:rPr>
                  <w:rFonts w:cs="Arial"/>
                  <w:szCs w:val="18"/>
                </w:rPr>
                <w:t>)</w:t>
              </w:r>
            </w:ins>
            <w:del w:id="153" w:author="Alexander Sayenko" w:date="2025-10-30T12:42:00Z" w16du:dateUtc="2025-10-30T11:42:00Z">
              <w:r w:rsidRPr="00715883" w:rsidDel="006A579E">
                <w:rPr>
                  <w:rFonts w:cs="Arial"/>
                  <w:szCs w:val="18"/>
                </w:rPr>
                <w:delText>d over any 2 millisecond active transmission interval</w:delText>
              </w:r>
            </w:del>
          </w:p>
        </w:tc>
      </w:tr>
      <w:tr w:rsidR="006A579E" w:rsidRPr="00715883" w14:paraId="0BBC338B" w14:textId="77777777" w:rsidTr="006A579E">
        <w:trPr>
          <w:jc w:val="center"/>
        </w:trPr>
        <w:tc>
          <w:tcPr>
            <w:tcW w:w="1799" w:type="dxa"/>
          </w:tcPr>
          <w:p w14:paraId="273C3717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>160</w:t>
            </w:r>
            <w:r w:rsidRPr="00DB20DC">
              <w:rPr>
                <w:rFonts w:cs="Arial"/>
                <w:lang w:val="en-US"/>
              </w:rPr>
              <w:t xml:space="preserve">5 </w:t>
            </w:r>
            <w:r w:rsidRPr="00DB20DC">
              <w:rPr>
                <w:rFonts w:cs="Arial"/>
              </w:rPr>
              <w:t>≤ f ≤ 1610</w:t>
            </w:r>
          </w:p>
        </w:tc>
        <w:tc>
          <w:tcPr>
            <w:tcW w:w="2181" w:type="dxa"/>
          </w:tcPr>
          <w:p w14:paraId="4C1A2B19" w14:textId="77777777" w:rsidR="006A579E" w:rsidRPr="00715883" w:rsidRDefault="006A579E" w:rsidP="00D1215C">
            <w:pPr>
              <w:pStyle w:val="TAC"/>
              <w:rPr>
                <w:rFonts w:cs="Arial"/>
                <w:lang w:val="en-US"/>
              </w:rPr>
            </w:pPr>
            <w:r w:rsidRPr="00715883">
              <w:rPr>
                <w:rFonts w:cs="Arial"/>
              </w:rPr>
              <w:t xml:space="preserve">-40 </w:t>
            </w:r>
            <w:r w:rsidRPr="00715883">
              <w:rPr>
                <w:rFonts w:cs="Arial"/>
                <w:lang w:val="en-US"/>
              </w:rPr>
              <w:t>+ 60/5 (f-1605)</w:t>
            </w:r>
          </w:p>
        </w:tc>
        <w:tc>
          <w:tcPr>
            <w:tcW w:w="1377" w:type="dxa"/>
          </w:tcPr>
          <w:p w14:paraId="22F42B56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1MHz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0C2F4023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14F11CC3" w14:textId="77777777" w:rsidTr="006A579E">
        <w:trPr>
          <w:jc w:val="center"/>
        </w:trPr>
        <w:tc>
          <w:tcPr>
            <w:tcW w:w="1799" w:type="dxa"/>
          </w:tcPr>
          <w:p w14:paraId="4E121125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</w:p>
        </w:tc>
        <w:tc>
          <w:tcPr>
            <w:tcW w:w="2181" w:type="dxa"/>
          </w:tcPr>
          <w:p w14:paraId="26289461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</w:p>
        </w:tc>
        <w:tc>
          <w:tcPr>
            <w:tcW w:w="1377" w:type="dxa"/>
          </w:tcPr>
          <w:p w14:paraId="7DD12234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5B1A2458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304C2523" w14:textId="77777777" w:rsidTr="006A579E">
        <w:trPr>
          <w:jc w:val="center"/>
        </w:trPr>
        <w:tc>
          <w:tcPr>
            <w:tcW w:w="1799" w:type="dxa"/>
          </w:tcPr>
          <w:p w14:paraId="00E921B0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 xml:space="preserve">1628.5 ≤ f </w:t>
            </w:r>
            <w:r w:rsidRPr="00A1115A">
              <w:t>&lt;</w:t>
            </w:r>
            <w:r w:rsidRPr="00DB20DC">
              <w:rPr>
                <w:rFonts w:cs="Arial"/>
              </w:rPr>
              <w:t xml:space="preserve"> 1631.5</w:t>
            </w:r>
          </w:p>
        </w:tc>
        <w:tc>
          <w:tcPr>
            <w:tcW w:w="2181" w:type="dxa"/>
          </w:tcPr>
          <w:p w14:paraId="0ABDFCEF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-30</w:t>
            </w:r>
          </w:p>
        </w:tc>
        <w:tc>
          <w:tcPr>
            <w:tcW w:w="1377" w:type="dxa"/>
          </w:tcPr>
          <w:p w14:paraId="359D25CE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30kHz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</w:tcBorders>
            <w:vAlign w:val="center"/>
          </w:tcPr>
          <w:p w14:paraId="68C03207" w14:textId="62179B3C" w:rsidR="006A579E" w:rsidRPr="006A579E" w:rsidRDefault="006A579E" w:rsidP="006A579E">
            <w:pPr>
              <w:pStyle w:val="TAC"/>
            </w:pPr>
            <w:ins w:id="154" w:author="Alexander Sayenko" w:date="2025-10-30T12:40:00Z" w16du:dateUtc="2025-10-30T11:40:00Z">
              <w:r w:rsidRPr="006A579E">
                <w:t>Average</w:t>
              </w:r>
            </w:ins>
          </w:p>
        </w:tc>
      </w:tr>
      <w:tr w:rsidR="006A579E" w:rsidRPr="00715883" w14:paraId="4B117CD1" w14:textId="77777777" w:rsidTr="008913B9">
        <w:trPr>
          <w:jc w:val="center"/>
        </w:trPr>
        <w:tc>
          <w:tcPr>
            <w:tcW w:w="1799" w:type="dxa"/>
          </w:tcPr>
          <w:p w14:paraId="74398D73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 xml:space="preserve">1631.5 ≤ f </w:t>
            </w:r>
            <w:r w:rsidRPr="00A1115A">
              <w:t>&lt;</w:t>
            </w:r>
            <w:r w:rsidRPr="00DB20DC">
              <w:rPr>
                <w:rFonts w:cs="Arial"/>
              </w:rPr>
              <w:t xml:space="preserve"> 1636.5</w:t>
            </w:r>
          </w:p>
        </w:tc>
        <w:tc>
          <w:tcPr>
            <w:tcW w:w="2181" w:type="dxa"/>
          </w:tcPr>
          <w:p w14:paraId="5EF45788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-30</w:t>
            </w:r>
          </w:p>
        </w:tc>
        <w:tc>
          <w:tcPr>
            <w:tcW w:w="1377" w:type="dxa"/>
          </w:tcPr>
          <w:p w14:paraId="5ECEE5AE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100kHz</w:t>
            </w:r>
          </w:p>
        </w:tc>
        <w:tc>
          <w:tcPr>
            <w:tcW w:w="2155" w:type="dxa"/>
            <w:vMerge/>
          </w:tcPr>
          <w:p w14:paraId="424E25EB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0068C1A1" w14:textId="77777777" w:rsidTr="008913B9">
        <w:trPr>
          <w:jc w:val="center"/>
        </w:trPr>
        <w:tc>
          <w:tcPr>
            <w:tcW w:w="1799" w:type="dxa"/>
          </w:tcPr>
          <w:p w14:paraId="78EE2C99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 xml:space="preserve">1636.5 ≤ f </w:t>
            </w:r>
            <w:r w:rsidRPr="00A1115A">
              <w:t>&lt;</w:t>
            </w:r>
            <w:r w:rsidRPr="00DB20DC">
              <w:rPr>
                <w:rFonts w:cs="Arial"/>
              </w:rPr>
              <w:t xml:space="preserve"> 1646.5</w:t>
            </w:r>
          </w:p>
        </w:tc>
        <w:tc>
          <w:tcPr>
            <w:tcW w:w="2181" w:type="dxa"/>
          </w:tcPr>
          <w:p w14:paraId="6431DF25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-30</w:t>
            </w:r>
          </w:p>
        </w:tc>
        <w:tc>
          <w:tcPr>
            <w:tcW w:w="1377" w:type="dxa"/>
          </w:tcPr>
          <w:p w14:paraId="684A6821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300kHz</w:t>
            </w:r>
          </w:p>
        </w:tc>
        <w:tc>
          <w:tcPr>
            <w:tcW w:w="2155" w:type="dxa"/>
            <w:vMerge/>
          </w:tcPr>
          <w:p w14:paraId="0989A417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28E9047A" w14:textId="77777777" w:rsidTr="008913B9">
        <w:trPr>
          <w:jc w:val="center"/>
        </w:trPr>
        <w:tc>
          <w:tcPr>
            <w:tcW w:w="1799" w:type="dxa"/>
          </w:tcPr>
          <w:p w14:paraId="4DD8E49A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 xml:space="preserve">1646.5 ≤ f </w:t>
            </w:r>
            <w:r w:rsidRPr="00A1115A">
              <w:t>&lt;</w:t>
            </w:r>
            <w:r w:rsidRPr="00DB20DC">
              <w:rPr>
                <w:rFonts w:cs="Arial"/>
              </w:rPr>
              <w:t xml:space="preserve"> 1666.5</w:t>
            </w:r>
          </w:p>
        </w:tc>
        <w:tc>
          <w:tcPr>
            <w:tcW w:w="2181" w:type="dxa"/>
          </w:tcPr>
          <w:p w14:paraId="14C6BABF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-30</w:t>
            </w:r>
          </w:p>
        </w:tc>
        <w:tc>
          <w:tcPr>
            <w:tcW w:w="1377" w:type="dxa"/>
          </w:tcPr>
          <w:p w14:paraId="26F6E83C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1MHz</w:t>
            </w:r>
          </w:p>
        </w:tc>
        <w:tc>
          <w:tcPr>
            <w:tcW w:w="2155" w:type="dxa"/>
            <w:vMerge/>
          </w:tcPr>
          <w:p w14:paraId="69381E23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42128C13" w14:textId="77777777" w:rsidTr="008913B9">
        <w:trPr>
          <w:jc w:val="center"/>
        </w:trPr>
        <w:tc>
          <w:tcPr>
            <w:tcW w:w="1799" w:type="dxa"/>
          </w:tcPr>
          <w:p w14:paraId="0E5D750B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DB20DC">
              <w:rPr>
                <w:rFonts w:cs="Arial"/>
              </w:rPr>
              <w:t>1666.5 ≤ f ≤ 2200</w:t>
            </w:r>
          </w:p>
        </w:tc>
        <w:tc>
          <w:tcPr>
            <w:tcW w:w="2181" w:type="dxa"/>
          </w:tcPr>
          <w:p w14:paraId="325FEDBB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-30</w:t>
            </w:r>
          </w:p>
        </w:tc>
        <w:tc>
          <w:tcPr>
            <w:tcW w:w="1377" w:type="dxa"/>
          </w:tcPr>
          <w:p w14:paraId="252FE465" w14:textId="77777777" w:rsidR="006A579E" w:rsidRPr="00715883" w:rsidRDefault="006A579E" w:rsidP="00D1215C">
            <w:pPr>
              <w:pStyle w:val="TAC"/>
              <w:rPr>
                <w:rFonts w:cs="Arial"/>
              </w:rPr>
            </w:pPr>
            <w:r w:rsidRPr="00715883">
              <w:rPr>
                <w:rFonts w:cs="Arial"/>
              </w:rPr>
              <w:t>3MHz</w:t>
            </w:r>
          </w:p>
        </w:tc>
        <w:tc>
          <w:tcPr>
            <w:tcW w:w="2155" w:type="dxa"/>
            <w:vMerge/>
            <w:tcBorders>
              <w:bottom w:val="nil"/>
            </w:tcBorders>
          </w:tcPr>
          <w:p w14:paraId="3959B8C7" w14:textId="77777777" w:rsidR="006A579E" w:rsidRPr="00715883" w:rsidRDefault="006A579E" w:rsidP="00D1215C">
            <w:pPr>
              <w:pStyle w:val="TAC"/>
              <w:rPr>
                <w:rFonts w:ascii="Times New Roman" w:hAnsi="Times New Roman"/>
              </w:rPr>
            </w:pPr>
          </w:p>
        </w:tc>
      </w:tr>
      <w:tr w:rsidR="006A579E" w:rsidRPr="00715883" w14:paraId="4A713DFB" w14:textId="77777777" w:rsidTr="00D1215C">
        <w:trPr>
          <w:jc w:val="center"/>
        </w:trPr>
        <w:tc>
          <w:tcPr>
            <w:tcW w:w="7512" w:type="dxa"/>
            <w:gridSpan w:val="4"/>
          </w:tcPr>
          <w:p w14:paraId="5C8FADC5" w14:textId="7820DA24" w:rsidR="006A579E" w:rsidRDefault="006A579E" w:rsidP="005665B8">
            <w:pPr>
              <w:pStyle w:val="TAN"/>
              <w:rPr>
                <w:ins w:id="155" w:author="Alexander Sayenko [2]" w:date="2025-11-07T17:55:00Z" w16du:dateUtc="2025-11-07T15:55:00Z"/>
              </w:rPr>
            </w:pPr>
            <w:r w:rsidRPr="00715883">
              <w:rPr>
                <w:rFonts w:cs="Arial"/>
              </w:rPr>
              <w:t>NOTE</w:t>
            </w:r>
            <w:ins w:id="156" w:author="Alexander Sayenko [2]" w:date="2025-11-18T10:22:00Z" w16du:dateUtc="2025-11-18T16:22:00Z">
              <w:r w:rsidR="000E1058">
                <w:rPr>
                  <w:rFonts w:cs="Arial"/>
                </w:rPr>
                <w:t xml:space="preserve"> 1</w:t>
              </w:r>
            </w:ins>
            <w:r w:rsidRPr="00715883">
              <w:rPr>
                <w:rFonts w:cs="Arial"/>
              </w:rPr>
              <w:t>:</w:t>
            </w:r>
            <w:r w:rsidRPr="00715883">
              <w:tab/>
              <w:t>The EIRP requirement in regulation is converted to conducted requirement using a 0dBi antenna.</w:t>
            </w:r>
          </w:p>
          <w:p w14:paraId="5C949050" w14:textId="48F839AF" w:rsidR="006E6016" w:rsidRPr="005665B8" w:rsidRDefault="00920C27" w:rsidP="005665B8">
            <w:pPr>
              <w:pStyle w:val="TAN"/>
            </w:pPr>
            <w:ins w:id="157" w:author="Alexander Sayenko [2]" w:date="2025-11-07T17:55:00Z" w16du:dateUtc="2025-11-07T15:55:00Z">
              <w:r w:rsidRPr="00B12828">
                <w:rPr>
                  <w:rFonts w:cs="Arial"/>
                </w:rPr>
                <w:t>NOTE</w:t>
              </w:r>
              <w:r>
                <w:rPr>
                  <w:rFonts w:cs="Arial"/>
                </w:rPr>
                <w:t xml:space="preserve"> 2</w:t>
              </w:r>
              <w:r w:rsidRPr="00B12828">
                <w:rPr>
                  <w:rFonts w:cs="Arial"/>
                </w:rPr>
                <w:t>:</w:t>
              </w:r>
              <w:r w:rsidRPr="00B12828">
                <w:tab/>
              </w:r>
              <w:r>
                <w:t>I</w:t>
              </w:r>
              <w:r w:rsidRPr="006A579E">
                <w:t>n the sub-band 1573</w:t>
              </w:r>
              <w:r>
                <w:t>.</w:t>
              </w:r>
              <w:r w:rsidRPr="006A579E">
                <w:t>42MHz to 1580</w:t>
              </w:r>
              <w:r>
                <w:t>.</w:t>
              </w:r>
              <w:r w:rsidRPr="006A579E">
                <w:t>42 MHz the average measurement time is 20ms</w:t>
              </w:r>
              <w:r w:rsidRPr="00715883">
                <w:t>.</w:t>
              </w:r>
            </w:ins>
          </w:p>
        </w:tc>
      </w:tr>
    </w:tbl>
    <w:p w14:paraId="756395C1" w14:textId="77777777" w:rsidR="006A579E" w:rsidRPr="00715883" w:rsidRDefault="006A579E" w:rsidP="006A579E"/>
    <w:p w14:paraId="3C2B6F7F" w14:textId="77777777" w:rsidR="006A579E" w:rsidRDefault="006A579E">
      <w:pPr>
        <w:rPr>
          <w:noProof/>
        </w:rPr>
      </w:pPr>
    </w:p>
    <w:sectPr w:rsidR="006A579E" w:rsidSect="009C79E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A2E0" w14:textId="77777777" w:rsidR="009D618E" w:rsidRDefault="009D618E">
      <w:r>
        <w:separator/>
      </w:r>
    </w:p>
  </w:endnote>
  <w:endnote w:type="continuationSeparator" w:id="0">
    <w:p w14:paraId="724D04B7" w14:textId="77777777" w:rsidR="009D618E" w:rsidRDefault="009D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5.0.0">
    <w:altName w:val="Times New Roman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F10B" w14:textId="77777777" w:rsidR="009D618E" w:rsidRDefault="009D618E">
      <w:r>
        <w:separator/>
      </w:r>
    </w:p>
  </w:footnote>
  <w:footnote w:type="continuationSeparator" w:id="0">
    <w:p w14:paraId="3A83DAE3" w14:textId="77777777" w:rsidR="009D618E" w:rsidRDefault="009D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Sayenko">
    <w15:presenceInfo w15:providerId="AD" w15:userId="S::asayenko@apple.com::8cae6182-44a9-4193-bf5c-4efd6cab3e3e"/>
  </w15:person>
  <w15:person w15:author="Alexander Sayenko [2]">
    <w15:presenceInfo w15:providerId="Windows Live" w15:userId="7970058065_tp_bo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B95"/>
    <w:rsid w:val="00051063"/>
    <w:rsid w:val="00070E09"/>
    <w:rsid w:val="000A6394"/>
    <w:rsid w:val="000B47D1"/>
    <w:rsid w:val="000B7FED"/>
    <w:rsid w:val="000C038A"/>
    <w:rsid w:val="000C6598"/>
    <w:rsid w:val="000D44B3"/>
    <w:rsid w:val="000E1058"/>
    <w:rsid w:val="00103E1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2FB4"/>
    <w:rsid w:val="00284FEB"/>
    <w:rsid w:val="002860C4"/>
    <w:rsid w:val="002B5741"/>
    <w:rsid w:val="002C75D0"/>
    <w:rsid w:val="002E472E"/>
    <w:rsid w:val="00305027"/>
    <w:rsid w:val="00305409"/>
    <w:rsid w:val="00317F3A"/>
    <w:rsid w:val="003609EF"/>
    <w:rsid w:val="0036231A"/>
    <w:rsid w:val="00374DD4"/>
    <w:rsid w:val="003B569F"/>
    <w:rsid w:val="003E1A36"/>
    <w:rsid w:val="00410371"/>
    <w:rsid w:val="004242F1"/>
    <w:rsid w:val="00444768"/>
    <w:rsid w:val="004B75B7"/>
    <w:rsid w:val="004E7FCC"/>
    <w:rsid w:val="00504594"/>
    <w:rsid w:val="005141D9"/>
    <w:rsid w:val="0051580D"/>
    <w:rsid w:val="00522C81"/>
    <w:rsid w:val="005268A0"/>
    <w:rsid w:val="00547111"/>
    <w:rsid w:val="005665B8"/>
    <w:rsid w:val="00592D74"/>
    <w:rsid w:val="005C1B84"/>
    <w:rsid w:val="005E2C44"/>
    <w:rsid w:val="00621188"/>
    <w:rsid w:val="006257ED"/>
    <w:rsid w:val="00653DE4"/>
    <w:rsid w:val="00665C47"/>
    <w:rsid w:val="006720A0"/>
    <w:rsid w:val="00673CAA"/>
    <w:rsid w:val="00695808"/>
    <w:rsid w:val="006A579E"/>
    <w:rsid w:val="006A6C48"/>
    <w:rsid w:val="006B46FB"/>
    <w:rsid w:val="006B62F0"/>
    <w:rsid w:val="006E21FB"/>
    <w:rsid w:val="006E3A37"/>
    <w:rsid w:val="006E6016"/>
    <w:rsid w:val="00723AE2"/>
    <w:rsid w:val="00773565"/>
    <w:rsid w:val="00792342"/>
    <w:rsid w:val="007977A8"/>
    <w:rsid w:val="007B512A"/>
    <w:rsid w:val="007C2097"/>
    <w:rsid w:val="007C503B"/>
    <w:rsid w:val="007D6A07"/>
    <w:rsid w:val="007F7259"/>
    <w:rsid w:val="008040A8"/>
    <w:rsid w:val="008279FA"/>
    <w:rsid w:val="008626E7"/>
    <w:rsid w:val="0086628A"/>
    <w:rsid w:val="00870EE7"/>
    <w:rsid w:val="008863B9"/>
    <w:rsid w:val="008A45A6"/>
    <w:rsid w:val="008D3CCC"/>
    <w:rsid w:val="008E404E"/>
    <w:rsid w:val="008E79BF"/>
    <w:rsid w:val="008F3789"/>
    <w:rsid w:val="008F686C"/>
    <w:rsid w:val="009148DE"/>
    <w:rsid w:val="00920C27"/>
    <w:rsid w:val="00941E30"/>
    <w:rsid w:val="009531B0"/>
    <w:rsid w:val="00962790"/>
    <w:rsid w:val="009741B3"/>
    <w:rsid w:val="009777D9"/>
    <w:rsid w:val="00991B88"/>
    <w:rsid w:val="009A1BB0"/>
    <w:rsid w:val="009A5753"/>
    <w:rsid w:val="009A579D"/>
    <w:rsid w:val="009C79EF"/>
    <w:rsid w:val="009D618E"/>
    <w:rsid w:val="009E3297"/>
    <w:rsid w:val="009F734F"/>
    <w:rsid w:val="00A246B6"/>
    <w:rsid w:val="00A268D2"/>
    <w:rsid w:val="00A408FD"/>
    <w:rsid w:val="00A47E70"/>
    <w:rsid w:val="00A50CF0"/>
    <w:rsid w:val="00A750A3"/>
    <w:rsid w:val="00A7671C"/>
    <w:rsid w:val="00AA2CBC"/>
    <w:rsid w:val="00AC5820"/>
    <w:rsid w:val="00AD1CD8"/>
    <w:rsid w:val="00AE2DD0"/>
    <w:rsid w:val="00AF5A98"/>
    <w:rsid w:val="00AF729A"/>
    <w:rsid w:val="00B258BB"/>
    <w:rsid w:val="00B67B97"/>
    <w:rsid w:val="00B968C8"/>
    <w:rsid w:val="00BA3EC5"/>
    <w:rsid w:val="00BA51D9"/>
    <w:rsid w:val="00BB5DFC"/>
    <w:rsid w:val="00BD279D"/>
    <w:rsid w:val="00BD37A5"/>
    <w:rsid w:val="00BD6BB8"/>
    <w:rsid w:val="00BE78A9"/>
    <w:rsid w:val="00C66BA2"/>
    <w:rsid w:val="00C73D71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7059D"/>
    <w:rsid w:val="00D84AE9"/>
    <w:rsid w:val="00D9124E"/>
    <w:rsid w:val="00D92F69"/>
    <w:rsid w:val="00DE34CF"/>
    <w:rsid w:val="00E13F3D"/>
    <w:rsid w:val="00E34898"/>
    <w:rsid w:val="00E41F99"/>
    <w:rsid w:val="00E44D78"/>
    <w:rsid w:val="00E92366"/>
    <w:rsid w:val="00E959CC"/>
    <w:rsid w:val="00EB09B7"/>
    <w:rsid w:val="00EE7D7C"/>
    <w:rsid w:val="00EF5898"/>
    <w:rsid w:val="00F118E1"/>
    <w:rsid w:val="00F25D98"/>
    <w:rsid w:val="00F300FB"/>
    <w:rsid w:val="00F46E1F"/>
    <w:rsid w:val="00F47326"/>
    <w:rsid w:val="00FA4D4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,SGS Table Basic 1"/>
    <w:basedOn w:val="TableNormal"/>
    <w:uiPriority w:val="39"/>
    <w:qFormat/>
    <w:rsid w:val="003B569F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3B569F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3B56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B569F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B569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3B569F"/>
    <w:rPr>
      <w:rFonts w:ascii="Times New Roman" w:hAnsi="Times New Roman"/>
      <w:lang w:val="en-GB" w:eastAsia="en-US"/>
    </w:rPr>
  </w:style>
  <w:style w:type="paragraph" w:customStyle="1" w:styleId="TableText">
    <w:name w:val="TableText"/>
    <w:basedOn w:val="Normal"/>
    <w:qFormat/>
    <w:rsid w:val="006A579E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SimSun"/>
      <w:snapToGrid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8</TotalTime>
  <Pages>3</Pages>
  <Words>952</Words>
  <Characters>6405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Sayenko</cp:lastModifiedBy>
  <cp:revision>7</cp:revision>
  <cp:lastPrinted>1900-01-01T06:00:00Z</cp:lastPrinted>
  <dcterms:created xsi:type="dcterms:W3CDTF">2025-11-18T16:05:00Z</dcterms:created>
  <dcterms:modified xsi:type="dcterms:W3CDTF">2025-11-18T16:22:00Z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