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02F54B7"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w:t>
      </w:r>
      <w:r w:rsidR="00F034E3" w:rsidRPr="00F034E3">
        <w:rPr>
          <w:b/>
          <w:sz w:val="24"/>
          <w:szCs w:val="24"/>
          <w:lang w:eastAsia="ko-KR"/>
        </w:rPr>
        <w:t>2522426</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05D95BCF"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034E3">
        <w:rPr>
          <w:rFonts w:ascii="Arial" w:eastAsiaTheme="minorEastAsia" w:hAnsi="Arial" w:cs="Arial"/>
          <w:color w:val="000000"/>
          <w:sz w:val="22"/>
          <w:lang w:eastAsia="zh-CN"/>
        </w:rPr>
        <w:t>WF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 xml:space="preserve">[117][106] 6G </w:t>
      </w:r>
      <w:proofErr w:type="spellStart"/>
      <w:r>
        <w:rPr>
          <w:rFonts w:ascii="Arial" w:eastAsiaTheme="minorEastAsia" w:hAnsi="Arial" w:cs="Arial"/>
          <w:color w:val="000000"/>
          <w:sz w:val="22"/>
          <w:lang w:eastAsia="zh-CN"/>
        </w:rPr>
        <w:t>Demod</w:t>
      </w:r>
      <w:proofErr w:type="spellEnd"/>
    </w:p>
    <w:p w14:paraId="387CEF15" w14:textId="0B992E46"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F034E3">
        <w:rPr>
          <w:rFonts w:ascii="Arial" w:eastAsiaTheme="minorEastAsia" w:hAnsi="Arial" w:cs="Arial"/>
          <w:color w:val="000000"/>
          <w:sz w:val="22"/>
          <w:lang w:eastAsia="zh-CN"/>
        </w:rPr>
        <w:t>Approval</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745A0BDE" w:rsidR="00904569" w:rsidRDefault="00F034E3" w:rsidP="001E4328">
      <w:pPr>
        <w:jc w:val="both"/>
        <w:rPr>
          <w:iCs/>
          <w:lang w:eastAsia="zh-CN"/>
        </w:rPr>
      </w:pPr>
      <w:r w:rsidRPr="00F034E3">
        <w:rPr>
          <w:iCs/>
          <w:lang w:eastAsia="zh-CN"/>
        </w:rPr>
        <w:t>This document captures agreements and open issues for FS_6G_Radio under AI 8.</w:t>
      </w:r>
      <w:r>
        <w:rPr>
          <w:iCs/>
          <w:lang w:eastAsia="zh-CN"/>
        </w:rPr>
        <w:t>7</w:t>
      </w:r>
      <w:r w:rsidRPr="00F034E3">
        <w:rPr>
          <w:iCs/>
          <w:lang w:eastAsia="zh-CN"/>
        </w:rPr>
        <w:t xml:space="preserve"> corresponding to RAN4 driven non-AI </w:t>
      </w:r>
      <w:proofErr w:type="spellStart"/>
      <w:r w:rsidRPr="00F034E3">
        <w:rPr>
          <w:iCs/>
          <w:lang w:eastAsia="zh-CN"/>
        </w:rPr>
        <w:t>demod</w:t>
      </w:r>
      <w:proofErr w:type="spellEnd"/>
      <w:r w:rsidRPr="00F034E3">
        <w:rPr>
          <w:iCs/>
          <w:lang w:eastAsia="zh-CN"/>
        </w:rPr>
        <w:t xml:space="preserve"> topics at RAN4#11</w:t>
      </w:r>
      <w:r>
        <w:rPr>
          <w:iCs/>
          <w:lang w:eastAsia="zh-CN"/>
        </w:rPr>
        <w:t>7</w:t>
      </w:r>
      <w:r w:rsidRPr="00F034E3">
        <w:rPr>
          <w:iCs/>
          <w:lang w:eastAsia="zh-CN"/>
        </w:rPr>
        <w:t>. All proposals have been saved for future inspiration</w:t>
      </w:r>
      <w:r w:rsidR="00000000">
        <w:rPr>
          <w:iCs/>
          <w:lang w:eastAsia="zh-CN"/>
        </w:rPr>
        <w:t>.</w:t>
      </w:r>
    </w:p>
    <w:p w14:paraId="387CEF21" w14:textId="77777777" w:rsidR="00904569" w:rsidRPr="00F034E3" w:rsidRDefault="00904569" w:rsidP="00F034E3">
      <w:pPr>
        <w:rPr>
          <w:iCs/>
          <w:lang w:eastAsia="zh-CN"/>
        </w:rPr>
      </w:pPr>
    </w:p>
    <w:p w14:paraId="387CEF22" w14:textId="77777777" w:rsidR="00904569" w:rsidRDefault="00000000">
      <w:pPr>
        <w:pStyle w:val="Heading1"/>
        <w:rPr>
          <w:lang w:eastAsia="ja-JP"/>
        </w:rPr>
      </w:pPr>
      <w:r>
        <w:rPr>
          <w:lang w:eastAsia="ja-JP"/>
        </w:rPr>
        <w:t>Topic #1: 6G demod</w:t>
      </w:r>
    </w:p>
    <w:p w14:paraId="387CEF23" w14:textId="5A1BB0F0" w:rsidR="00904569" w:rsidRDefault="00976F73">
      <w:pPr>
        <w:pStyle w:val="Heading2"/>
      </w:pPr>
      <w:r w:rsidRPr="00976F73">
        <w:t>Agreement summary</w:t>
      </w:r>
    </w:p>
    <w:p w14:paraId="16B56D80" w14:textId="77777777" w:rsidR="00976F73" w:rsidRDefault="00976F73" w:rsidP="00976F73">
      <w:pPr>
        <w:pStyle w:val="Heading3"/>
        <w:numPr>
          <w:ilvl w:val="2"/>
          <w:numId w:val="16"/>
        </w:numPr>
        <w:rPr>
          <w:szCs w:val="16"/>
        </w:rPr>
      </w:pPr>
      <w:r>
        <w:rPr>
          <w:szCs w:val="16"/>
        </w:rPr>
        <w:t>Sub-topic 1-1: General aspects</w:t>
      </w:r>
    </w:p>
    <w:p w14:paraId="6D230370" w14:textId="101DE1E1" w:rsidR="00EB17A1" w:rsidRDefault="00EB17A1" w:rsidP="00EB17A1">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2AB4F600" w14:textId="7453C3D1" w:rsidR="00EB17A1" w:rsidRPr="00EB17A1" w:rsidRDefault="00EB17A1" w:rsidP="00EB17A1">
      <w:pPr>
        <w:pStyle w:val="ListParagraph"/>
        <w:numPr>
          <w:ilvl w:val="0"/>
          <w:numId w:val="17"/>
        </w:numPr>
        <w:ind w:firstLineChars="0"/>
        <w:rPr>
          <w:highlight w:val="green"/>
          <w:lang w:val="sv-SE" w:eastAsia="zh-CN"/>
        </w:rPr>
      </w:pPr>
      <w:r w:rsidRPr="00EB17A1">
        <w:rPr>
          <w:highlight w:val="green"/>
          <w:lang w:val="sv-SE" w:eastAsia="zh-CN"/>
        </w:rPr>
        <w:t>Agreement</w:t>
      </w:r>
    </w:p>
    <w:p w14:paraId="7B4E29C0" w14:textId="60E8D13C" w:rsidR="00EB17A1" w:rsidRPr="00EB17A1" w:rsidRDefault="00EB17A1" w:rsidP="00EB17A1">
      <w:pPr>
        <w:pStyle w:val="ListParagraph"/>
        <w:numPr>
          <w:ilvl w:val="1"/>
          <w:numId w:val="17"/>
        </w:numPr>
        <w:ind w:firstLineChars="0"/>
        <w:rPr>
          <w:lang w:val="sv-SE" w:eastAsia="zh-CN"/>
        </w:rPr>
      </w:pPr>
      <w:r w:rsidRPr="00EB17A1">
        <w:rPr>
          <w:lang w:val="sv-SE" w:eastAsia="zh-CN"/>
        </w:rPr>
        <w:t xml:space="preserve">RAN4 shall address the following topics in the initial stage. </w:t>
      </w:r>
    </w:p>
    <w:p w14:paraId="00A49D18" w14:textId="0F49A75A"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specification principles (topics that do not overlap with operational efficiency thread)</w:t>
      </w:r>
    </w:p>
    <w:p w14:paraId="462B5C63" w14:textId="19F6A8D5" w:rsidR="00EB17A1" w:rsidRPr="00EB17A1" w:rsidRDefault="00EB17A1" w:rsidP="00EB17A1">
      <w:pPr>
        <w:pStyle w:val="ListParagraph"/>
        <w:numPr>
          <w:ilvl w:val="2"/>
          <w:numId w:val="17"/>
        </w:numPr>
        <w:ind w:firstLineChars="0"/>
        <w:rPr>
          <w:lang w:val="sv-SE" w:eastAsia="zh-CN"/>
        </w:rPr>
      </w:pPr>
      <w:r w:rsidRPr="00EB17A1">
        <w:rPr>
          <w:lang w:val="sv-SE" w:eastAsia="zh-CN"/>
        </w:rPr>
        <w:t>e.g. Drafting format, requirement structure, applicability rules</w:t>
      </w:r>
    </w:p>
    <w:p w14:paraId="0884246D" w14:textId="1046A504" w:rsidR="00EB17A1" w:rsidRPr="00EB17A1" w:rsidRDefault="00EB17A1" w:rsidP="00EB17A1">
      <w:pPr>
        <w:pStyle w:val="ListParagraph"/>
        <w:numPr>
          <w:ilvl w:val="2"/>
          <w:numId w:val="17"/>
        </w:numPr>
        <w:ind w:firstLineChars="0"/>
        <w:rPr>
          <w:lang w:val="sv-SE" w:eastAsia="zh-CN"/>
        </w:rPr>
      </w:pPr>
      <w:r w:rsidRPr="00EB17A1">
        <w:rPr>
          <w:lang w:val="sv-SE" w:eastAsia="zh-CN"/>
        </w:rPr>
        <w:t>Channel model</w:t>
      </w:r>
    </w:p>
    <w:p w14:paraId="50761C19" w14:textId="74D0CE0B" w:rsidR="00EB17A1" w:rsidRPr="00EB17A1" w:rsidRDefault="00EB17A1" w:rsidP="00EB17A1">
      <w:pPr>
        <w:pStyle w:val="ListParagraph"/>
        <w:numPr>
          <w:ilvl w:val="2"/>
          <w:numId w:val="17"/>
        </w:numPr>
        <w:ind w:firstLineChars="0"/>
        <w:rPr>
          <w:lang w:val="sv-SE" w:eastAsia="zh-CN"/>
        </w:rPr>
      </w:pPr>
      <w:r w:rsidRPr="00EB17A1">
        <w:rPr>
          <w:lang w:val="sv-SE" w:eastAsia="zh-CN"/>
        </w:rPr>
        <w:t>Receiver assumption</w:t>
      </w:r>
    </w:p>
    <w:p w14:paraId="5E20D541" w14:textId="5EFCF881"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and CSI reporting test framework including TE functionality enhancement</w:t>
      </w:r>
    </w:p>
    <w:p w14:paraId="2CA20737" w14:textId="09A1D5ED" w:rsidR="00EB17A1" w:rsidRPr="00EB17A1" w:rsidRDefault="00EB17A1" w:rsidP="00EB17A1">
      <w:pPr>
        <w:pStyle w:val="ListParagraph"/>
        <w:numPr>
          <w:ilvl w:val="2"/>
          <w:numId w:val="17"/>
        </w:numPr>
        <w:ind w:firstLineChars="0"/>
        <w:rPr>
          <w:lang w:val="sv-SE" w:eastAsia="zh-CN"/>
        </w:rPr>
      </w:pPr>
      <w:r w:rsidRPr="00EB17A1">
        <w:rPr>
          <w:lang w:val="sv-SE" w:eastAsia="zh-CN"/>
        </w:rPr>
        <w:t>Test Equipment limitation (e.g. testable SNR extension, TE TxEVM restriction) need to check</w:t>
      </w:r>
    </w:p>
    <w:p w14:paraId="5EFB9255" w14:textId="2F9C2128" w:rsidR="00EB17A1" w:rsidRPr="00EB17A1" w:rsidRDefault="00EB17A1" w:rsidP="00EB17A1">
      <w:pPr>
        <w:pStyle w:val="ListParagraph"/>
        <w:numPr>
          <w:ilvl w:val="2"/>
          <w:numId w:val="17"/>
        </w:numPr>
        <w:ind w:firstLineChars="0"/>
        <w:rPr>
          <w:lang w:val="sv-SE" w:eastAsia="zh-CN"/>
        </w:rPr>
      </w:pPr>
      <w:r w:rsidRPr="00EB17A1">
        <w:rPr>
          <w:lang w:val="sv-SE" w:eastAsia="zh-CN"/>
        </w:rPr>
        <w:t>Feedback-less</w:t>
      </w:r>
    </w:p>
    <w:p w14:paraId="7429C069" w14:textId="66EC0B9B" w:rsidR="00EB17A1" w:rsidRPr="00EB17A1" w:rsidRDefault="00EB17A1" w:rsidP="00EB17A1">
      <w:pPr>
        <w:pStyle w:val="ListParagraph"/>
        <w:numPr>
          <w:ilvl w:val="2"/>
          <w:numId w:val="17"/>
        </w:numPr>
        <w:ind w:firstLineChars="0"/>
        <w:rPr>
          <w:lang w:val="sv-SE" w:eastAsia="zh-CN"/>
        </w:rPr>
      </w:pPr>
      <w:r w:rsidRPr="00EB17A1">
        <w:rPr>
          <w:lang w:val="sv-SE" w:eastAsia="zh-CN"/>
        </w:rPr>
        <w:t>TxEVM assumption for demodulation</w:t>
      </w:r>
    </w:p>
    <w:p w14:paraId="00C76DD1" w14:textId="068B8B3B" w:rsidR="00EB17A1" w:rsidRPr="00EB17A1" w:rsidRDefault="00EB17A1" w:rsidP="00EB17A1">
      <w:pPr>
        <w:pStyle w:val="ListParagraph"/>
        <w:numPr>
          <w:ilvl w:val="2"/>
          <w:numId w:val="17"/>
        </w:numPr>
        <w:ind w:firstLineChars="0"/>
        <w:rPr>
          <w:lang w:val="sv-SE" w:eastAsia="zh-CN"/>
        </w:rPr>
      </w:pPr>
      <w:r w:rsidRPr="00EB17A1">
        <w:rPr>
          <w:lang w:val="sv-SE" w:eastAsia="zh-CN"/>
        </w:rPr>
        <w:t>Interference profile</w:t>
      </w:r>
    </w:p>
    <w:p w14:paraId="7DCC8D2A" w14:textId="1A29CFD9" w:rsidR="00EB17A1" w:rsidRPr="00EB17A1" w:rsidRDefault="00EB17A1" w:rsidP="00EB17A1">
      <w:pPr>
        <w:pStyle w:val="ListParagraph"/>
        <w:numPr>
          <w:ilvl w:val="1"/>
          <w:numId w:val="17"/>
        </w:numPr>
        <w:ind w:firstLineChars="0"/>
        <w:rPr>
          <w:lang w:val="sv-SE" w:eastAsia="zh-CN"/>
        </w:rPr>
      </w:pPr>
      <w:r w:rsidRPr="00EB17A1">
        <w:rPr>
          <w:lang w:val="sv-SE" w:eastAsia="zh-CN"/>
        </w:rPr>
        <w:t>I</w:t>
      </w:r>
      <w:r w:rsidRPr="00EB17A1">
        <w:rPr>
          <w:lang w:val="sv-SE" w:eastAsia="zh-CN"/>
        </w:rPr>
        <w:t>n RAN4#118, the identified topics will be further prioritized.</w:t>
      </w:r>
    </w:p>
    <w:p w14:paraId="0F4D983C" w14:textId="3144F476" w:rsidR="00EB17A1" w:rsidRDefault="00EB17A1" w:rsidP="00EB17A1">
      <w:pPr>
        <w:pStyle w:val="ListParagraph"/>
        <w:numPr>
          <w:ilvl w:val="2"/>
          <w:numId w:val="17"/>
        </w:numPr>
        <w:ind w:firstLineChars="0"/>
        <w:rPr>
          <w:lang w:val="sv-SE" w:eastAsia="zh-CN"/>
        </w:rPr>
      </w:pPr>
      <w:r w:rsidRPr="00EB17A1">
        <w:rPr>
          <w:lang w:val="sv-SE" w:eastAsia="zh-CN"/>
        </w:rPr>
        <w:t>The interested companies are encourage to provide their prioritized list in the next meeting</w:t>
      </w:r>
    </w:p>
    <w:p w14:paraId="3ED3A97D" w14:textId="77777777" w:rsidR="00AA07B5" w:rsidRDefault="00AA07B5" w:rsidP="00AA07B5">
      <w:pPr>
        <w:rPr>
          <w:lang w:val="sv-SE" w:eastAsia="zh-CN"/>
        </w:rPr>
      </w:pPr>
    </w:p>
    <w:p w14:paraId="62BBA548" w14:textId="2EC5256A" w:rsidR="00E74CFD" w:rsidRDefault="00E74CFD" w:rsidP="00E74CFD">
      <w:pPr>
        <w:rPr>
          <w:b/>
          <w:u w:val="single"/>
          <w:lang w:eastAsia="ko-KR"/>
        </w:rPr>
      </w:pPr>
      <w:r>
        <w:rPr>
          <w:b/>
          <w:u w:val="single"/>
          <w:lang w:eastAsia="ko-KR"/>
        </w:rPr>
        <w:t>Waveform and modulation study</w:t>
      </w:r>
    </w:p>
    <w:p w14:paraId="4751604F"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17E88D52"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waveforms in 6GR before evaluating whether there is demodulation test framework impact.</w:t>
      </w:r>
    </w:p>
    <w:p w14:paraId="1660A9E0" w14:textId="77777777" w:rsidR="00E74CFD" w:rsidRDefault="00E74CFD" w:rsidP="00AA07B5">
      <w:pPr>
        <w:rPr>
          <w:lang w:eastAsia="zh-CN"/>
        </w:rPr>
      </w:pPr>
    </w:p>
    <w:p w14:paraId="2F3A03DE" w14:textId="179FC053" w:rsidR="00E74CFD" w:rsidRDefault="00E74CFD" w:rsidP="00E74CFD">
      <w:pPr>
        <w:rPr>
          <w:b/>
          <w:u w:val="single"/>
          <w:lang w:eastAsia="ko-KR"/>
        </w:rPr>
      </w:pPr>
      <w:r>
        <w:rPr>
          <w:b/>
          <w:u w:val="single"/>
          <w:lang w:eastAsia="ko-KR"/>
        </w:rPr>
        <w:t>SCS</w:t>
      </w:r>
    </w:p>
    <w:p w14:paraId="56EE8687"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17ABBBB1"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SCS options in 6GR before evaluating whether there is demodulation test framework impact.</w:t>
      </w:r>
    </w:p>
    <w:p w14:paraId="5DF4F80A" w14:textId="77777777" w:rsidR="00E74CFD" w:rsidRDefault="00E74CFD" w:rsidP="00AA07B5">
      <w:pPr>
        <w:rPr>
          <w:lang w:eastAsia="zh-CN"/>
        </w:rPr>
      </w:pPr>
    </w:p>
    <w:p w14:paraId="04713B10" w14:textId="5505FBAD" w:rsidR="00E74CFD" w:rsidRDefault="00E74CFD" w:rsidP="00E74CFD">
      <w:pPr>
        <w:rPr>
          <w:b/>
          <w:u w:val="single"/>
          <w:lang w:eastAsia="ko-KR"/>
        </w:rPr>
      </w:pPr>
      <w:r>
        <w:rPr>
          <w:b/>
          <w:u w:val="single"/>
          <w:lang w:eastAsia="ko-KR"/>
        </w:rPr>
        <w:t>ISAC study</w:t>
      </w:r>
    </w:p>
    <w:p w14:paraId="7426E3DC"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13005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and RAN4 6G sensing agenda decisions.</w:t>
      </w:r>
    </w:p>
    <w:p w14:paraId="75617B7A" w14:textId="77777777" w:rsidR="00E74CFD" w:rsidRDefault="00E74CFD" w:rsidP="00AA07B5">
      <w:pPr>
        <w:rPr>
          <w:lang w:eastAsia="zh-CN"/>
        </w:rPr>
      </w:pPr>
    </w:p>
    <w:p w14:paraId="4029B93B" w14:textId="5B99CAD6" w:rsidR="00E74CFD" w:rsidRDefault="00E74CFD" w:rsidP="00E74CFD">
      <w:pPr>
        <w:rPr>
          <w:b/>
          <w:u w:val="single"/>
          <w:lang w:eastAsia="ko-KR"/>
        </w:rPr>
      </w:pPr>
      <w:r>
        <w:rPr>
          <w:b/>
          <w:u w:val="single"/>
          <w:lang w:eastAsia="ko-KR"/>
        </w:rPr>
        <w:t>Conducted and radiated testing</w:t>
      </w:r>
    </w:p>
    <w:p w14:paraId="51C49EB0"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yellow"/>
          <w:lang w:eastAsia="zh-CN"/>
        </w:rPr>
      </w:pPr>
      <w:r>
        <w:rPr>
          <w:rFonts w:eastAsia="SimSun"/>
          <w:szCs w:val="24"/>
          <w:highlight w:val="yellow"/>
          <w:lang w:eastAsia="zh-CN"/>
        </w:rPr>
        <w:t>Agreement to be confirmed (or removed)</w:t>
      </w:r>
    </w:p>
    <w:p w14:paraId="7F08A14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Discuss proposals related to testing under Testability and OTA agenda.</w:t>
      </w:r>
    </w:p>
    <w:p w14:paraId="0CC0C8E8" w14:textId="20EAE616" w:rsidR="003B7E39" w:rsidRDefault="003B7E39" w:rsidP="003B7E39">
      <w:pPr>
        <w:pStyle w:val="ListParagraph"/>
        <w:numPr>
          <w:ilvl w:val="2"/>
          <w:numId w:val="20"/>
        </w:numPr>
        <w:overflowPunct/>
        <w:autoSpaceDE/>
        <w:adjustRightInd/>
        <w:spacing w:after="120"/>
        <w:ind w:firstLineChars="0"/>
        <w:textAlignment w:val="auto"/>
        <w:rPr>
          <w:rFonts w:eastAsia="SimSun"/>
          <w:szCs w:val="24"/>
          <w:lang w:eastAsia="zh-CN"/>
        </w:rPr>
      </w:pPr>
      <w:r w:rsidRPr="003B7E39">
        <w:rPr>
          <w:rFonts w:eastAsia="SimSun"/>
          <w:szCs w:val="24"/>
          <w:lang w:eastAsia="zh-CN"/>
        </w:rPr>
        <w:t>The 6G demodulation thread will determine whether the requirement is conducted or radiated. The 6G testability thread will assess testability and identify any issues</w:t>
      </w:r>
      <w:r>
        <w:rPr>
          <w:rFonts w:eastAsia="SimSun"/>
          <w:szCs w:val="24"/>
          <w:lang w:eastAsia="zh-CN"/>
        </w:rPr>
        <w:t>.</w:t>
      </w:r>
    </w:p>
    <w:p w14:paraId="00E7C8B3" w14:textId="77777777" w:rsidR="00E74CFD" w:rsidRDefault="00E74CFD" w:rsidP="00AA07B5">
      <w:pPr>
        <w:rPr>
          <w:lang w:eastAsia="zh-CN"/>
        </w:rPr>
      </w:pPr>
    </w:p>
    <w:p w14:paraId="04F2DFAE" w14:textId="726E8CBE" w:rsidR="00E74CFD" w:rsidRDefault="00E74CFD" w:rsidP="00E74CFD">
      <w:pPr>
        <w:rPr>
          <w:b/>
          <w:u w:val="single"/>
          <w:lang w:eastAsia="ko-KR"/>
        </w:rPr>
      </w:pPr>
      <w:r>
        <w:rPr>
          <w:b/>
          <w:u w:val="single"/>
          <w:lang w:eastAsia="ko-KR"/>
        </w:rPr>
        <w:t>General simulation assumptions</w:t>
      </w:r>
    </w:p>
    <w:p w14:paraId="74D949A8" w14:textId="77777777" w:rsidR="00E74CFD" w:rsidRDefault="00E74CFD" w:rsidP="00E74CFD">
      <w:pPr>
        <w:pStyle w:val="ListParagraph"/>
        <w:numPr>
          <w:ilvl w:val="0"/>
          <w:numId w:val="20"/>
        </w:numPr>
        <w:overflowPunct/>
        <w:autoSpaceDE/>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w:t>
      </w:r>
    </w:p>
    <w:p w14:paraId="4EEB99F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 6GR air interface will be consider later when available.</w:t>
      </w:r>
    </w:p>
    <w:p w14:paraId="7B215944" w14:textId="77777777" w:rsidR="00E74CFD" w:rsidRPr="00AA07B5" w:rsidRDefault="00E74CFD" w:rsidP="00AA07B5">
      <w:pPr>
        <w:rPr>
          <w:lang w:val="sv-SE" w:eastAsia="zh-CN"/>
        </w:rPr>
      </w:pPr>
    </w:p>
    <w:p w14:paraId="446EF2BA" w14:textId="77777777" w:rsidR="00976F73" w:rsidRDefault="00976F73" w:rsidP="00976F73">
      <w:pPr>
        <w:pStyle w:val="Heading3"/>
        <w:numPr>
          <w:ilvl w:val="2"/>
          <w:numId w:val="16"/>
        </w:numPr>
        <w:rPr>
          <w:szCs w:val="16"/>
        </w:rPr>
      </w:pPr>
      <w:r>
        <w:rPr>
          <w:szCs w:val="16"/>
        </w:rPr>
        <w:t>Sub-topic 1-2: Channel models</w:t>
      </w:r>
    </w:p>
    <w:p w14:paraId="792764B9" w14:textId="08AF88CC" w:rsidR="00EB17A1" w:rsidRDefault="00EB17A1" w:rsidP="00EB17A1">
      <w:pPr>
        <w:rPr>
          <w:b/>
          <w:u w:val="single"/>
          <w:lang w:eastAsia="ko-KR"/>
        </w:rPr>
      </w:pPr>
      <w:r>
        <w:rPr>
          <w:b/>
          <w:u w:val="single"/>
          <w:lang w:eastAsia="ko-KR"/>
        </w:rPr>
        <w:t xml:space="preserve">Channel </w:t>
      </w:r>
      <w:proofErr w:type="gramStart"/>
      <w:r>
        <w:rPr>
          <w:b/>
          <w:u w:val="single"/>
          <w:lang w:eastAsia="ko-KR"/>
        </w:rPr>
        <w:t>type</w:t>
      </w:r>
      <w:proofErr w:type="gramEnd"/>
    </w:p>
    <w:p w14:paraId="0479F819" w14:textId="77777777" w:rsidR="00EB17A1" w:rsidRPr="00E74CFD" w:rsidRDefault="00EB17A1" w:rsidP="00EB17A1">
      <w:pPr>
        <w:pStyle w:val="ListParagraph"/>
        <w:numPr>
          <w:ilvl w:val="0"/>
          <w:numId w:val="19"/>
        </w:numPr>
        <w:ind w:firstLineChars="0"/>
        <w:rPr>
          <w:highlight w:val="green"/>
          <w:lang w:val="sv-SE" w:eastAsia="zh-CN"/>
        </w:rPr>
      </w:pPr>
      <w:r w:rsidRPr="00E74CFD">
        <w:rPr>
          <w:highlight w:val="green"/>
          <w:lang w:val="sv-SE" w:eastAsia="zh-CN"/>
        </w:rPr>
        <w:t>Agreement</w:t>
      </w:r>
    </w:p>
    <w:p w14:paraId="562F920D" w14:textId="77777777" w:rsidR="00EB17A1" w:rsidRPr="00EB17A1" w:rsidRDefault="00EB17A1" w:rsidP="00EB17A1">
      <w:pPr>
        <w:pStyle w:val="ListParagraph"/>
        <w:numPr>
          <w:ilvl w:val="1"/>
          <w:numId w:val="19"/>
        </w:numPr>
        <w:ind w:firstLineChars="0"/>
        <w:rPr>
          <w:lang w:val="sv-SE" w:eastAsia="zh-CN"/>
        </w:rPr>
      </w:pPr>
      <w:r w:rsidRPr="00EB17A1">
        <w:rPr>
          <w:lang w:val="sv-SE" w:eastAsia="zh-CN"/>
        </w:rPr>
        <w:t>Maintain both TDL and rCDL</w:t>
      </w:r>
    </w:p>
    <w:p w14:paraId="7A02D4AF" w14:textId="6E4B687D" w:rsidR="00EB17A1" w:rsidRPr="00EB17A1" w:rsidRDefault="00EB17A1" w:rsidP="00EB17A1">
      <w:pPr>
        <w:pStyle w:val="ListParagraph"/>
        <w:numPr>
          <w:ilvl w:val="2"/>
          <w:numId w:val="19"/>
        </w:numPr>
        <w:ind w:firstLineChars="0"/>
        <w:rPr>
          <w:lang w:val="sv-SE" w:eastAsia="zh-CN"/>
        </w:rPr>
      </w:pPr>
      <w:r w:rsidRPr="00EB17A1">
        <w:rPr>
          <w:lang w:val="sv-SE" w:eastAsia="zh-CN"/>
        </w:rPr>
        <w:t>FFS guidelines when to use each model.</w:t>
      </w:r>
    </w:p>
    <w:p w14:paraId="59A64737" w14:textId="194B6D0B" w:rsidR="00EB17A1" w:rsidRPr="00EB17A1" w:rsidRDefault="00EB17A1" w:rsidP="00EB17A1">
      <w:pPr>
        <w:pStyle w:val="ListParagraph"/>
        <w:numPr>
          <w:ilvl w:val="2"/>
          <w:numId w:val="19"/>
        </w:numPr>
        <w:ind w:firstLineChars="0"/>
        <w:rPr>
          <w:lang w:val="sv-SE" w:eastAsia="zh-CN"/>
        </w:rPr>
      </w:pPr>
      <w:r w:rsidRPr="00EB17A1">
        <w:rPr>
          <w:lang w:val="sv-SE" w:eastAsia="zh-CN"/>
        </w:rPr>
        <w:t>6G study should avoid scope overlapping with ongoing 5G work</w:t>
      </w:r>
    </w:p>
    <w:p w14:paraId="5B06FCBE" w14:textId="27B6E7A5" w:rsidR="00EB17A1" w:rsidRPr="00EB17A1" w:rsidRDefault="00EB17A1" w:rsidP="00EB17A1">
      <w:pPr>
        <w:pStyle w:val="ListParagraph"/>
        <w:numPr>
          <w:ilvl w:val="2"/>
          <w:numId w:val="19"/>
        </w:numPr>
        <w:ind w:firstLineChars="0"/>
        <w:rPr>
          <w:lang w:val="sv-SE" w:eastAsia="zh-CN"/>
        </w:rPr>
      </w:pPr>
      <w:r w:rsidRPr="00EB17A1">
        <w:rPr>
          <w:lang w:val="sv-SE" w:eastAsia="zh-CN"/>
        </w:rPr>
        <w:t xml:space="preserve">Detailed scope of 6G channel model study should be identified. </w:t>
      </w:r>
    </w:p>
    <w:p w14:paraId="55EA9BD7" w14:textId="2C8F4CA6" w:rsidR="00EB17A1" w:rsidRDefault="00EB17A1" w:rsidP="00EB17A1">
      <w:pPr>
        <w:pStyle w:val="ListParagraph"/>
        <w:numPr>
          <w:ilvl w:val="2"/>
          <w:numId w:val="19"/>
        </w:numPr>
        <w:ind w:firstLineChars="0"/>
        <w:rPr>
          <w:lang w:val="sv-SE" w:eastAsia="zh-CN"/>
        </w:rPr>
      </w:pPr>
      <w:r>
        <w:rPr>
          <w:lang w:val="sv-SE" w:eastAsia="zh-CN"/>
        </w:rPr>
        <w:t>T</w:t>
      </w:r>
      <w:r w:rsidRPr="00EB17A1">
        <w:rPr>
          <w:lang w:val="sv-SE" w:eastAsia="zh-CN"/>
        </w:rPr>
        <w:t>he prioritization of this work will be discussed together with other topics.</w:t>
      </w:r>
    </w:p>
    <w:p w14:paraId="662D4F13" w14:textId="77777777" w:rsidR="00AA07B5" w:rsidRDefault="00AA07B5" w:rsidP="00AA07B5">
      <w:pPr>
        <w:rPr>
          <w:lang w:val="sv-SE" w:eastAsia="zh-CN"/>
        </w:rPr>
      </w:pPr>
    </w:p>
    <w:p w14:paraId="647F233F" w14:textId="62CDBDAA" w:rsidR="00E74CFD" w:rsidRDefault="00E74CFD" w:rsidP="00E74CFD">
      <w:pPr>
        <w:rPr>
          <w:b/>
          <w:u w:val="single"/>
          <w:lang w:eastAsia="ko-KR"/>
        </w:rPr>
      </w:pPr>
      <w:r>
        <w:rPr>
          <w:b/>
          <w:u w:val="single"/>
          <w:lang w:eastAsia="ko-KR"/>
        </w:rPr>
        <w:t>MIMO correlation matrices for TDL</w:t>
      </w:r>
    </w:p>
    <w:p w14:paraId="24902104" w14:textId="77777777" w:rsidR="00E74CFD" w:rsidRDefault="00E74CFD" w:rsidP="00E74CFD">
      <w:pPr>
        <w:pStyle w:val="ListParagraph"/>
        <w:numPr>
          <w:ilvl w:val="0"/>
          <w:numId w:val="20"/>
        </w:numPr>
        <w:overflowPunct/>
        <w:autoSpaceDE/>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w:t>
      </w:r>
    </w:p>
    <w:p w14:paraId="484F6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Study practical MIMO correlation matrices for TDL. Companies are invited to share concrete ideas.</w:t>
      </w:r>
    </w:p>
    <w:p w14:paraId="519538E7" w14:textId="77777777" w:rsidR="00E74CFD" w:rsidRPr="00E74CFD" w:rsidRDefault="00E74CFD" w:rsidP="00AA07B5">
      <w:pPr>
        <w:rPr>
          <w:lang w:eastAsia="zh-CN"/>
        </w:rPr>
      </w:pPr>
    </w:p>
    <w:p w14:paraId="42375B89" w14:textId="780BA753" w:rsidR="00E74CFD" w:rsidRDefault="00E74CFD" w:rsidP="00E74CFD">
      <w:pPr>
        <w:rPr>
          <w:b/>
          <w:u w:val="single"/>
          <w:lang w:eastAsia="ko-KR"/>
        </w:rPr>
      </w:pPr>
      <w:r>
        <w:rPr>
          <w:b/>
          <w:u w:val="single"/>
          <w:lang w:eastAsia="ko-KR"/>
        </w:rPr>
        <w:t>Specialized propagation channels</w:t>
      </w:r>
    </w:p>
    <w:p w14:paraId="199AFC18"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69C5F0D8"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Deprioritize these and complete the baseline TDL and </w:t>
      </w:r>
      <w:proofErr w:type="spellStart"/>
      <w:r>
        <w:rPr>
          <w:szCs w:val="24"/>
          <w:lang w:eastAsia="zh-CN"/>
        </w:rPr>
        <w:t>rCDL</w:t>
      </w:r>
      <w:proofErr w:type="spellEnd"/>
      <w:r>
        <w:rPr>
          <w:szCs w:val="24"/>
          <w:lang w:eastAsia="zh-CN"/>
        </w:rPr>
        <w:t xml:space="preserve"> first.</w:t>
      </w:r>
    </w:p>
    <w:p w14:paraId="095662D9" w14:textId="77777777" w:rsidR="00E74CFD" w:rsidRDefault="00E74CFD" w:rsidP="00AA07B5">
      <w:pPr>
        <w:rPr>
          <w:lang w:eastAsia="zh-CN"/>
        </w:rPr>
      </w:pPr>
    </w:p>
    <w:p w14:paraId="41814E09" w14:textId="6503FF2C" w:rsidR="00E74CFD" w:rsidRDefault="00E74CFD" w:rsidP="00E74CFD">
      <w:pPr>
        <w:rPr>
          <w:b/>
          <w:u w:val="single"/>
          <w:lang w:eastAsia="ko-KR"/>
        </w:rPr>
      </w:pPr>
      <w:r>
        <w:rPr>
          <w:b/>
          <w:u w:val="single"/>
          <w:lang w:eastAsia="ko-KR"/>
        </w:rPr>
        <w:t>AI/ML aspects of channel model</w:t>
      </w:r>
    </w:p>
    <w:p w14:paraId="6C105729"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49ECB41C"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 xml:space="preserve">Deprioritize these and complete the baseline TDL and </w:t>
      </w:r>
      <w:proofErr w:type="spellStart"/>
      <w:r>
        <w:rPr>
          <w:szCs w:val="24"/>
          <w:lang w:eastAsia="zh-CN"/>
        </w:rPr>
        <w:t>rCDL</w:t>
      </w:r>
      <w:proofErr w:type="spellEnd"/>
      <w:r>
        <w:rPr>
          <w:szCs w:val="24"/>
          <w:lang w:eastAsia="zh-CN"/>
        </w:rPr>
        <w:t xml:space="preserve"> first.</w:t>
      </w:r>
    </w:p>
    <w:p w14:paraId="18C6658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Theme="minorEastAsia"/>
          <w:szCs w:val="24"/>
          <w:lang w:eastAsia="zh-CN"/>
        </w:rPr>
        <w:t>This</w:t>
      </w:r>
      <w:r>
        <w:rPr>
          <w:rFonts w:eastAsia="Microsoft YaHei"/>
          <w:szCs w:val="24"/>
          <w:lang w:eastAsia="zh-CN"/>
        </w:rPr>
        <w:t xml:space="preserve"> may need input from RAN4 6G AI agenda.</w:t>
      </w:r>
    </w:p>
    <w:p w14:paraId="25A97377" w14:textId="77777777" w:rsidR="00E74CFD" w:rsidRDefault="00E74CFD" w:rsidP="00AA07B5">
      <w:pPr>
        <w:rPr>
          <w:lang w:eastAsia="zh-CN"/>
        </w:rPr>
      </w:pPr>
    </w:p>
    <w:p w14:paraId="1ABA9650" w14:textId="0A15A606" w:rsidR="00E74CFD" w:rsidRDefault="00E74CFD" w:rsidP="00E74CFD">
      <w:pPr>
        <w:rPr>
          <w:b/>
          <w:u w:val="single"/>
          <w:lang w:eastAsia="ko-KR"/>
        </w:rPr>
      </w:pPr>
      <w:r>
        <w:rPr>
          <w:b/>
          <w:u w:val="single"/>
          <w:lang w:eastAsia="ko-KR"/>
        </w:rPr>
        <w:t>PMI bias</w:t>
      </w:r>
    </w:p>
    <w:p w14:paraId="3CC1A1D2" w14:textId="77777777" w:rsidR="00E74CFD"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highlight w:val="green"/>
          <w:lang w:eastAsia="zh-CN"/>
        </w:rPr>
      </w:pPr>
      <w:r>
        <w:rPr>
          <w:rFonts w:eastAsia="SimSun"/>
          <w:szCs w:val="24"/>
          <w:highlight w:val="green"/>
          <w:lang w:eastAsia="zh-CN"/>
        </w:rPr>
        <w:t>Agreement</w:t>
      </w:r>
    </w:p>
    <w:p w14:paraId="6B69C69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the Rel-20 SCM WI conclusions to see whether the issue is resolved.</w:t>
      </w:r>
    </w:p>
    <w:p w14:paraId="0739B3A1" w14:textId="77777777" w:rsidR="00E74CFD" w:rsidRPr="00E74CFD" w:rsidRDefault="00E74CFD" w:rsidP="00AA07B5">
      <w:pPr>
        <w:rPr>
          <w:lang w:eastAsia="zh-CN"/>
        </w:rPr>
      </w:pPr>
    </w:p>
    <w:p w14:paraId="5C2E2B2C" w14:textId="77777777" w:rsidR="00976F73" w:rsidRDefault="00976F73" w:rsidP="00976F73">
      <w:pPr>
        <w:pStyle w:val="Heading3"/>
        <w:numPr>
          <w:ilvl w:val="2"/>
          <w:numId w:val="16"/>
        </w:numPr>
        <w:rPr>
          <w:szCs w:val="16"/>
        </w:rPr>
      </w:pPr>
      <w:r>
        <w:rPr>
          <w:szCs w:val="16"/>
        </w:rPr>
        <w:t>Sub-topic 1-3: Receiver assumptions</w:t>
      </w:r>
    </w:p>
    <w:p w14:paraId="1734C2A7" w14:textId="0F441133" w:rsidR="001E4328" w:rsidRDefault="001E4328" w:rsidP="001E4328">
      <w:pPr>
        <w:rPr>
          <w:b/>
          <w:u w:val="single"/>
          <w:lang w:eastAsia="ko-KR"/>
        </w:rPr>
      </w:pPr>
      <w:r>
        <w:rPr>
          <w:b/>
          <w:u w:val="single"/>
          <w:lang w:eastAsia="ko-KR"/>
        </w:rPr>
        <w:t>Receiver assumption for BS</w:t>
      </w:r>
    </w:p>
    <w:p w14:paraId="7F0817D6" w14:textId="5BD879E0" w:rsidR="001E4328" w:rsidRPr="001E4328" w:rsidRDefault="001E4328" w:rsidP="001E4328">
      <w:pPr>
        <w:pStyle w:val="ListParagraph"/>
        <w:numPr>
          <w:ilvl w:val="0"/>
          <w:numId w:val="19"/>
        </w:numPr>
        <w:ind w:firstLineChars="0"/>
        <w:rPr>
          <w:highlight w:val="green"/>
          <w:lang w:val="sv-SE" w:eastAsia="zh-CN"/>
        </w:rPr>
      </w:pPr>
      <w:r w:rsidRPr="001E4328">
        <w:rPr>
          <w:highlight w:val="green"/>
          <w:lang w:val="sv-SE" w:eastAsia="zh-CN"/>
        </w:rPr>
        <w:t>Agreement:</w:t>
      </w:r>
    </w:p>
    <w:p w14:paraId="240B0324" w14:textId="74877303" w:rsidR="001E4328" w:rsidRDefault="001E4328" w:rsidP="001E4328">
      <w:pPr>
        <w:pStyle w:val="ListParagraph"/>
        <w:numPr>
          <w:ilvl w:val="1"/>
          <w:numId w:val="19"/>
        </w:numPr>
        <w:ind w:firstLineChars="0"/>
        <w:rPr>
          <w:lang w:val="sv-SE" w:eastAsia="zh-CN"/>
        </w:rPr>
      </w:pPr>
      <w:r w:rsidRPr="001E4328">
        <w:rPr>
          <w:lang w:val="sv-SE" w:eastAsia="zh-CN"/>
        </w:rPr>
        <w:t>MMSE-IRC is the baseline receiver for BS in 6G</w:t>
      </w:r>
    </w:p>
    <w:p w14:paraId="183080D7" w14:textId="77777777" w:rsidR="001E4328" w:rsidRPr="001E4328" w:rsidRDefault="001E4328" w:rsidP="001E4328">
      <w:pPr>
        <w:rPr>
          <w:lang w:val="sv-SE" w:eastAsia="zh-CN"/>
        </w:rPr>
      </w:pPr>
    </w:p>
    <w:p w14:paraId="780619EE" w14:textId="20577F7E" w:rsidR="00976F73" w:rsidRDefault="00976F73" w:rsidP="00976F73">
      <w:pPr>
        <w:pStyle w:val="Heading3"/>
      </w:pPr>
      <w:r w:rsidRPr="00976F73">
        <w:t>Sub-topic 1-7: New TE functionalities</w:t>
      </w:r>
    </w:p>
    <w:p w14:paraId="1903B00C" w14:textId="359F13C8" w:rsidR="001E4328" w:rsidRDefault="00606594" w:rsidP="001E4328">
      <w:pPr>
        <w:rPr>
          <w:b/>
          <w:u w:val="single"/>
          <w:lang w:eastAsia="ko-KR"/>
        </w:rPr>
      </w:pPr>
      <w:r>
        <w:rPr>
          <w:b/>
          <w:u w:val="single"/>
          <w:lang w:eastAsia="ko-KR"/>
        </w:rPr>
        <w:t xml:space="preserve">New TE </w:t>
      </w:r>
      <w:r w:rsidRPr="00606594">
        <w:rPr>
          <w:b/>
          <w:u w:val="single"/>
          <w:lang w:eastAsia="ko-KR"/>
        </w:rPr>
        <w:t>precoding procedure</w:t>
      </w:r>
    </w:p>
    <w:p w14:paraId="434713AB" w14:textId="77777777" w:rsidR="001E4328" w:rsidRPr="001E4328" w:rsidRDefault="001E4328" w:rsidP="001E4328">
      <w:pPr>
        <w:pStyle w:val="ListParagraph"/>
        <w:numPr>
          <w:ilvl w:val="0"/>
          <w:numId w:val="19"/>
        </w:numPr>
        <w:ind w:firstLineChars="0"/>
        <w:rPr>
          <w:highlight w:val="green"/>
          <w:lang w:val="sv-SE" w:eastAsia="zh-CN"/>
        </w:rPr>
      </w:pPr>
      <w:r w:rsidRPr="001E4328">
        <w:rPr>
          <w:highlight w:val="green"/>
          <w:lang w:val="sv-SE" w:eastAsia="zh-CN"/>
        </w:rPr>
        <w:t>Agreement</w:t>
      </w:r>
    </w:p>
    <w:p w14:paraId="18CA5F17" w14:textId="428A9B15" w:rsidR="001E4328" w:rsidRPr="001E4328" w:rsidRDefault="001E4328" w:rsidP="001E4328">
      <w:pPr>
        <w:pStyle w:val="ListParagraph"/>
        <w:numPr>
          <w:ilvl w:val="1"/>
          <w:numId w:val="19"/>
        </w:numPr>
        <w:ind w:firstLineChars="0"/>
        <w:rPr>
          <w:lang w:val="sv-SE" w:eastAsia="zh-CN"/>
        </w:rPr>
      </w:pPr>
      <w:r w:rsidRPr="001E4328">
        <w:rPr>
          <w:lang w:val="sv-SE" w:eastAsia="zh-CN"/>
        </w:rPr>
        <w:t xml:space="preserve">Conduct an initial feasibility and necessity study of precoding procedure at TE where full channel state information, e.g. channel coefficients, are available, </w:t>
      </w:r>
    </w:p>
    <w:p w14:paraId="26AEB246" w14:textId="2706B139" w:rsidR="001E4328" w:rsidRPr="001E4328" w:rsidRDefault="001E4328" w:rsidP="001E4328">
      <w:pPr>
        <w:pStyle w:val="ListParagraph"/>
        <w:numPr>
          <w:ilvl w:val="2"/>
          <w:numId w:val="19"/>
        </w:numPr>
        <w:ind w:firstLineChars="0"/>
        <w:rPr>
          <w:lang w:val="sv-SE" w:eastAsia="zh-CN"/>
        </w:rPr>
      </w:pPr>
      <w:r w:rsidRPr="001E4328">
        <w:rPr>
          <w:lang w:val="sv-SE" w:eastAsia="zh-CN"/>
        </w:rPr>
        <w:t>Inputs from TE vendors are requested.</w:t>
      </w:r>
    </w:p>
    <w:p w14:paraId="16F9F4C2" w14:textId="19DB3F1D" w:rsidR="001E4328" w:rsidRPr="001E4328" w:rsidRDefault="001E4328" w:rsidP="001E4328">
      <w:pPr>
        <w:pStyle w:val="ListParagraph"/>
        <w:numPr>
          <w:ilvl w:val="3"/>
          <w:numId w:val="19"/>
        </w:numPr>
        <w:ind w:firstLineChars="0"/>
        <w:rPr>
          <w:lang w:val="sv-SE" w:eastAsia="zh-CN"/>
        </w:rPr>
      </w:pPr>
      <w:r w:rsidRPr="001E4328">
        <w:rPr>
          <w:lang w:val="sv-SE" w:eastAsia="zh-CN"/>
        </w:rPr>
        <w:t>The exact requests to TE vendors can be further discussed.</w:t>
      </w:r>
    </w:p>
    <w:p w14:paraId="0E2F7B57" w14:textId="02174851" w:rsidR="001E4328" w:rsidRPr="001E4328" w:rsidRDefault="001E4328" w:rsidP="001E4328">
      <w:pPr>
        <w:pStyle w:val="ListParagraph"/>
        <w:numPr>
          <w:ilvl w:val="2"/>
          <w:numId w:val="19"/>
        </w:numPr>
        <w:ind w:firstLineChars="0"/>
        <w:rPr>
          <w:lang w:val="sv-SE" w:eastAsia="zh-CN"/>
        </w:rPr>
      </w:pPr>
      <w:r>
        <w:rPr>
          <w:lang w:val="sv-SE" w:eastAsia="zh-CN"/>
        </w:rPr>
        <w:t>I</w:t>
      </w:r>
      <w:r w:rsidRPr="001E4328">
        <w:rPr>
          <w:lang w:val="sv-SE" w:eastAsia="zh-CN"/>
        </w:rPr>
        <w:t>t is FFS on the impairment assumptions, including the noise level.</w:t>
      </w:r>
    </w:p>
    <w:p w14:paraId="773A3E01" w14:textId="312EE129" w:rsidR="001E4328" w:rsidRPr="001E4328" w:rsidRDefault="001E4328" w:rsidP="001E4328">
      <w:pPr>
        <w:pStyle w:val="ListParagraph"/>
        <w:numPr>
          <w:ilvl w:val="2"/>
          <w:numId w:val="19"/>
        </w:numPr>
        <w:ind w:firstLineChars="0"/>
        <w:rPr>
          <w:lang w:val="sv-SE" w:eastAsia="zh-CN"/>
        </w:rPr>
      </w:pPr>
      <w:r>
        <w:rPr>
          <w:lang w:val="sv-SE" w:eastAsia="zh-CN"/>
        </w:rPr>
        <w:t>T</w:t>
      </w:r>
      <w:r w:rsidRPr="001E4328">
        <w:rPr>
          <w:lang w:val="sv-SE" w:eastAsia="zh-CN"/>
        </w:rPr>
        <w:t>he prioritization of this work will be discussed together with other topics.</w:t>
      </w:r>
    </w:p>
    <w:p w14:paraId="69259C68" w14:textId="77777777" w:rsidR="001E4328" w:rsidRPr="001E4328" w:rsidRDefault="001E4328" w:rsidP="001E4328">
      <w:pPr>
        <w:rPr>
          <w:lang w:val="sv-SE" w:eastAsia="zh-CN"/>
        </w:rPr>
      </w:pPr>
    </w:p>
    <w:p w14:paraId="58AB2987" w14:textId="77777777" w:rsidR="00976F73" w:rsidRDefault="00976F73" w:rsidP="00976F73">
      <w:pPr>
        <w:pStyle w:val="Heading3"/>
        <w:numPr>
          <w:ilvl w:val="2"/>
          <w:numId w:val="16"/>
        </w:numPr>
        <w:rPr>
          <w:szCs w:val="16"/>
        </w:rPr>
      </w:pPr>
      <w:r>
        <w:rPr>
          <w:szCs w:val="16"/>
        </w:rPr>
        <w:t>Sub-topic 1-8: UE classification and applicability</w:t>
      </w:r>
    </w:p>
    <w:p w14:paraId="7BB47EF1" w14:textId="77777777" w:rsidR="00A01094" w:rsidRDefault="00A01094" w:rsidP="00A01094">
      <w:pPr>
        <w:rPr>
          <w:b/>
          <w:u w:val="single"/>
          <w:lang w:eastAsia="ko-KR"/>
        </w:rPr>
      </w:pPr>
      <w:r>
        <w:rPr>
          <w:b/>
          <w:u w:val="single"/>
          <w:lang w:eastAsia="ko-KR"/>
        </w:rPr>
        <w:t>UE classification and device types</w:t>
      </w:r>
    </w:p>
    <w:p w14:paraId="5676E8EC" w14:textId="77777777" w:rsidR="00A01094" w:rsidRDefault="00A01094" w:rsidP="00A01094">
      <w:pPr>
        <w:pStyle w:val="ListParagraph"/>
        <w:numPr>
          <w:ilvl w:val="0"/>
          <w:numId w:val="21"/>
        </w:numPr>
        <w:spacing w:after="120"/>
        <w:ind w:firstLineChars="0"/>
        <w:textAlignment w:val="auto"/>
        <w:rPr>
          <w:szCs w:val="24"/>
          <w:lang w:eastAsia="zh-CN"/>
        </w:rPr>
      </w:pPr>
      <w:r>
        <w:rPr>
          <w:szCs w:val="24"/>
          <w:highlight w:val="green"/>
          <w:lang w:eastAsia="zh-CN"/>
        </w:rPr>
        <w:t>Agreement:</w:t>
      </w:r>
    </w:p>
    <w:p w14:paraId="2AD28BDD" w14:textId="77777777" w:rsidR="00A01094" w:rsidRDefault="00A01094" w:rsidP="00A01094">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and UE classification may get defined, before addressing how this is captured in the requirements framework.</w:t>
      </w:r>
    </w:p>
    <w:p w14:paraId="678759DD" w14:textId="77777777" w:rsidR="00976F73" w:rsidRPr="00A01094" w:rsidRDefault="00976F73" w:rsidP="00976F73">
      <w:pPr>
        <w:rPr>
          <w:lang w:eastAsia="zh-CN"/>
        </w:rPr>
      </w:pPr>
    </w:p>
    <w:p w14:paraId="28BABC37" w14:textId="77777777" w:rsidR="00191029" w:rsidRDefault="00191029">
      <w:pPr>
        <w:spacing w:after="0"/>
        <w:rPr>
          <w:rFonts w:ascii="Arial" w:hAnsi="Arial"/>
          <w:sz w:val="28"/>
          <w:szCs w:val="18"/>
          <w:lang w:val="sv-SE" w:eastAsia="zh-CN"/>
        </w:rPr>
      </w:pPr>
      <w:r>
        <w:br w:type="page"/>
      </w:r>
    </w:p>
    <w:p w14:paraId="387CF054" w14:textId="2E024917" w:rsidR="00904569" w:rsidRDefault="00000000">
      <w:pPr>
        <w:pStyle w:val="Heading2"/>
      </w:pPr>
      <w:r>
        <w:rPr>
          <w:rFonts w:hint="eastAsia"/>
        </w:rPr>
        <w:lastRenderedPageBreak/>
        <w:t>Open issues</w:t>
      </w:r>
      <w:r>
        <w:t xml:space="preserve"> summary</w:t>
      </w:r>
    </w:p>
    <w:p w14:paraId="04554AA0" w14:textId="11FAA018" w:rsidR="001C6D67" w:rsidRPr="001E4328" w:rsidRDefault="001C6D67" w:rsidP="001E4328">
      <w:pPr>
        <w:jc w:val="both"/>
        <w:rPr>
          <w:lang w:val="sv-SE" w:eastAsia="zh-CN"/>
        </w:rPr>
      </w:pPr>
      <w:r w:rsidRPr="001C6D67">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Pr>
          <w:lang w:val="sv-SE" w:eastAsia="zh-CN"/>
        </w:rPr>
        <w:t>.</w:t>
      </w:r>
    </w:p>
    <w:p w14:paraId="387CF073" w14:textId="6DD32158" w:rsidR="00904569" w:rsidRPr="00ED653D" w:rsidRDefault="00000000" w:rsidP="00ED653D">
      <w:pPr>
        <w:pStyle w:val="Heading3"/>
        <w:rPr>
          <w:szCs w:val="16"/>
        </w:rPr>
      </w:pPr>
      <w:r>
        <w:rPr>
          <w:szCs w:val="16"/>
        </w:rPr>
        <w:t>Sub-topic 1-1: General aspects</w:t>
      </w:r>
    </w:p>
    <w:p w14:paraId="387CF074" w14:textId="57B31DBC" w:rsidR="00904569" w:rsidRDefault="00000000">
      <w:pPr>
        <w:rPr>
          <w:b/>
          <w:u w:val="single"/>
          <w:lang w:eastAsia="ko-KR"/>
        </w:rPr>
      </w:pPr>
      <w:r>
        <w:rPr>
          <w:b/>
          <w:u w:val="single"/>
          <w:lang w:eastAsia="ko-KR"/>
        </w:rPr>
        <w:t>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4D0A2AD0"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60F33094"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3071FE1"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ED653D">
        <w:rPr>
          <w:szCs w:val="24"/>
          <w:lang w:eastAsia="zh-CN"/>
        </w:rPr>
        <w:t>.</w:t>
      </w:r>
    </w:p>
    <w:p w14:paraId="387CF079" w14:textId="7CF6617E" w:rsidR="00904569" w:rsidRDefault="00000000">
      <w:pPr>
        <w:pStyle w:val="ListParagraph"/>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ED653D">
        <w:rPr>
          <w:szCs w:val="24"/>
          <w:lang w:eastAsia="zh-CN"/>
        </w:rPr>
        <w:t>.</w:t>
      </w:r>
    </w:p>
    <w:p w14:paraId="11FE2202" w14:textId="1B6C52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w:t>
      </w:r>
      <w:r w:rsidR="00ED653D">
        <w:rPr>
          <w:szCs w:val="24"/>
          <w:lang w:eastAsia="zh-CN"/>
        </w:rPr>
        <w:t>.</w:t>
      </w:r>
    </w:p>
    <w:p w14:paraId="6AEE82DD" w14:textId="6C652660"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r w:rsidR="00ED653D">
        <w:rPr>
          <w:szCs w:val="24"/>
          <w:lang w:eastAsia="zh-CN"/>
        </w:rPr>
        <w:t>.</w:t>
      </w:r>
    </w:p>
    <w:p w14:paraId="79FFC36C" w14:textId="1DB1B5E4" w:rsidR="00904569" w:rsidRDefault="00000000">
      <w:pPr>
        <w:pStyle w:val="ListParagraph"/>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w:t>
      </w:r>
      <w:r w:rsidR="00ED653D">
        <w:rPr>
          <w:szCs w:val="24"/>
          <w:lang w:eastAsia="zh-CN"/>
        </w:rPr>
        <w:t>.</w:t>
      </w:r>
    </w:p>
    <w:p w14:paraId="3EC117F0" w14:textId="654D1870"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w:t>
      </w:r>
      <w:r w:rsidR="00ED653D">
        <w:rPr>
          <w:szCs w:val="24"/>
          <w:lang w:eastAsia="zh-CN"/>
        </w:rPr>
        <w:t>.</w:t>
      </w:r>
    </w:p>
    <w:p w14:paraId="387CF07C" w14:textId="77777777" w:rsidR="00904569" w:rsidRDefault="00904569">
      <w:pPr>
        <w:spacing w:after="120"/>
        <w:rPr>
          <w:szCs w:val="24"/>
          <w:lang w:eastAsia="zh-CN"/>
        </w:rPr>
      </w:pPr>
    </w:p>
    <w:p w14:paraId="387CF07D" w14:textId="7F18A18E" w:rsidR="00904569" w:rsidRDefault="00000000">
      <w:pPr>
        <w:rPr>
          <w:b/>
          <w:u w:val="single"/>
          <w:lang w:eastAsia="ko-KR"/>
        </w:rPr>
      </w:pPr>
      <w:r>
        <w:rPr>
          <w:b/>
          <w:u w:val="single"/>
          <w:lang w:eastAsia="ko-KR"/>
        </w:rPr>
        <w:t xml:space="preserve">Broadcast and feedback-less channels/signals </w:t>
      </w:r>
      <w:proofErr w:type="gramStart"/>
      <w:r>
        <w:rPr>
          <w:b/>
          <w:u w:val="single"/>
          <w:lang w:eastAsia="ko-KR"/>
        </w:rPr>
        <w:t>testing</w:t>
      </w:r>
      <w:proofErr w:type="gramEnd"/>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2A30F4C0"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w:t>
      </w:r>
      <w:r w:rsidR="00ED653D">
        <w:rPr>
          <w:szCs w:val="24"/>
          <w:lang w:eastAsia="zh-CN"/>
        </w:rPr>
        <w:t>.</w:t>
      </w:r>
    </w:p>
    <w:p w14:paraId="4F0AABC8" w14:textId="73CA126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w:t>
      </w:r>
      <w:r w:rsidR="00ED653D">
        <w:rPr>
          <w:szCs w:val="24"/>
          <w:lang w:eastAsia="zh-CN"/>
        </w:rPr>
        <w:t>.</w:t>
      </w:r>
    </w:p>
    <w:p w14:paraId="2F6A26EA" w14:textId="1B3E3DA6"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w:t>
      </w:r>
      <w:r w:rsidR="00ED653D">
        <w:rPr>
          <w:szCs w:val="24"/>
          <w:lang w:eastAsia="zh-CN"/>
        </w:rPr>
        <w:t>.</w:t>
      </w:r>
    </w:p>
    <w:p w14:paraId="0214B681" w14:textId="6F557DFB"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w:t>
      </w:r>
      <w:r w:rsidR="00ED653D">
        <w:rPr>
          <w:szCs w:val="24"/>
          <w:lang w:eastAsia="zh-CN"/>
        </w:rPr>
        <w:t>.</w:t>
      </w:r>
    </w:p>
    <w:p w14:paraId="6D3EBF47" w14:textId="515C9618"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w:t>
      </w:r>
      <w:r w:rsidR="00ED653D">
        <w:rPr>
          <w:szCs w:val="24"/>
          <w:lang w:eastAsia="zh-CN"/>
        </w:rPr>
        <w:t>.</w:t>
      </w:r>
    </w:p>
    <w:p w14:paraId="03F548DF" w14:textId="77777777" w:rsidR="00904569" w:rsidRDefault="00904569">
      <w:pPr>
        <w:spacing w:after="120"/>
        <w:rPr>
          <w:szCs w:val="24"/>
          <w:lang w:eastAsia="zh-CN"/>
        </w:rPr>
      </w:pPr>
    </w:p>
    <w:p w14:paraId="072B26D5" w14:textId="71C4B036" w:rsidR="00904569" w:rsidRDefault="00000000">
      <w:pPr>
        <w:rPr>
          <w:b/>
          <w:u w:val="single"/>
          <w:lang w:eastAsia="ko-KR"/>
        </w:rPr>
      </w:pPr>
      <w:r>
        <w:rPr>
          <w:b/>
          <w:u w:val="single"/>
          <w:lang w:eastAsia="ko-KR"/>
        </w:rPr>
        <w:t>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0D1BF602"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w:t>
      </w:r>
      <w:r w:rsidR="00EB1525">
        <w:rPr>
          <w:szCs w:val="24"/>
          <w:lang w:eastAsia="zh-CN"/>
        </w:rPr>
        <w:t>.</w:t>
      </w:r>
    </w:p>
    <w:p w14:paraId="0870468C" w14:textId="77777777" w:rsidR="00904569" w:rsidRDefault="00904569">
      <w:pPr>
        <w:spacing w:after="120"/>
        <w:rPr>
          <w:szCs w:val="24"/>
          <w:lang w:eastAsia="zh-CN"/>
        </w:rPr>
      </w:pPr>
    </w:p>
    <w:p w14:paraId="4EF8EF21" w14:textId="5CF10018" w:rsidR="00904569" w:rsidRDefault="00000000">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4219273A"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Discuss appropriate performance requirement task separation between RRM and </w:t>
      </w:r>
      <w:proofErr w:type="spellStart"/>
      <w:r>
        <w:rPr>
          <w:szCs w:val="24"/>
          <w:lang w:eastAsia="zh-CN"/>
        </w:rPr>
        <w:t>Demod</w:t>
      </w:r>
      <w:proofErr w:type="spellEnd"/>
      <w:r>
        <w:rPr>
          <w:szCs w:val="24"/>
          <w:lang w:eastAsia="zh-CN"/>
        </w:rPr>
        <w:t>, when reports are involved</w:t>
      </w:r>
      <w:r w:rsidR="00EB1525">
        <w:rPr>
          <w:szCs w:val="24"/>
          <w:lang w:eastAsia="zh-CN"/>
        </w:rPr>
        <w:t>.</w:t>
      </w:r>
    </w:p>
    <w:p w14:paraId="387CF08F" w14:textId="77777777" w:rsidR="00904569" w:rsidRDefault="00904569">
      <w:pPr>
        <w:spacing w:after="120"/>
        <w:rPr>
          <w:szCs w:val="24"/>
          <w:lang w:eastAsia="zh-CN"/>
        </w:rPr>
      </w:pPr>
    </w:p>
    <w:p w14:paraId="538F8976" w14:textId="62AD4CF6" w:rsidR="00606594" w:rsidRDefault="00606594" w:rsidP="00606594">
      <w:pPr>
        <w:rPr>
          <w:b/>
          <w:u w:val="single"/>
          <w:lang w:eastAsia="ko-KR"/>
        </w:rPr>
      </w:pPr>
      <w:r>
        <w:rPr>
          <w:b/>
          <w:u w:val="single"/>
          <w:lang w:eastAsia="ko-KR"/>
        </w:rPr>
        <w:t>Applicability rules</w:t>
      </w:r>
    </w:p>
    <w:p w14:paraId="4499549A" w14:textId="77777777" w:rsidR="00606594" w:rsidRDefault="00606594" w:rsidP="00606594">
      <w:pPr>
        <w:pStyle w:val="ListParagraph"/>
        <w:numPr>
          <w:ilvl w:val="0"/>
          <w:numId w:val="20"/>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598AFC" w14:textId="403FCCC8" w:rsidR="00606594" w:rsidRPr="00606594" w:rsidRDefault="00606594" w:rsidP="00606594">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structure of applicability rules based on RAN1 conclusions on UE device type definition and capability classification</w:t>
      </w:r>
      <w:r>
        <w:rPr>
          <w:rFonts w:eastAsia="SimSun"/>
          <w:szCs w:val="24"/>
          <w:lang w:eastAsia="zh-CN"/>
        </w:rPr>
        <w:t>.</w:t>
      </w:r>
    </w:p>
    <w:p w14:paraId="7FC84CF6" w14:textId="77777777" w:rsidR="00606594" w:rsidRDefault="00606594">
      <w:pPr>
        <w:spacing w:after="120"/>
        <w:rPr>
          <w:szCs w:val="24"/>
          <w:lang w:eastAsia="zh-CN"/>
        </w:rPr>
      </w:pPr>
    </w:p>
    <w:p w14:paraId="387CF090" w14:textId="77777777" w:rsidR="00904569" w:rsidRDefault="00000000">
      <w:pPr>
        <w:pStyle w:val="Heading3"/>
        <w:rPr>
          <w:szCs w:val="16"/>
        </w:rPr>
      </w:pPr>
      <w:r>
        <w:rPr>
          <w:szCs w:val="16"/>
        </w:rPr>
        <w:t>Sub-topic 1-2: Channel models</w:t>
      </w:r>
    </w:p>
    <w:p w14:paraId="5655D124" w14:textId="6051938E" w:rsidR="00904569" w:rsidRDefault="00000000">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189FC44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w:t>
      </w:r>
      <w:r w:rsidR="00EB1525">
        <w:rPr>
          <w:rFonts w:eastAsia="SimSun"/>
          <w:szCs w:val="24"/>
          <w:lang w:eastAsia="zh-CN"/>
        </w:rPr>
        <w:t>.</w:t>
      </w:r>
    </w:p>
    <w:p w14:paraId="387CF0A9" w14:textId="77777777" w:rsidR="00904569" w:rsidRDefault="00904569">
      <w:pPr>
        <w:spacing w:after="120"/>
        <w:rPr>
          <w:szCs w:val="24"/>
          <w:lang w:eastAsia="zh-CN"/>
        </w:rPr>
      </w:pPr>
    </w:p>
    <w:p w14:paraId="387CF0AA" w14:textId="4439011A" w:rsidR="00904569" w:rsidRDefault="00000000">
      <w:pPr>
        <w:rPr>
          <w:b/>
          <w:u w:val="single"/>
          <w:lang w:eastAsia="ko-KR"/>
        </w:rPr>
      </w:pPr>
      <w:r>
        <w:rPr>
          <w:b/>
          <w:u w:val="single"/>
          <w:lang w:eastAsia="ko-KR"/>
        </w:rPr>
        <w:t>Frequency related aspects of channel model</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18A8DA9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w:t>
      </w:r>
      <w:r w:rsidR="00EB1525">
        <w:rPr>
          <w:rFonts w:eastAsia="SimSun"/>
          <w:szCs w:val="24"/>
          <w:lang w:eastAsia="zh-CN"/>
        </w:rPr>
        <w:t>.</w:t>
      </w:r>
    </w:p>
    <w:p w14:paraId="091025E2" w14:textId="2BECC2E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w:t>
      </w:r>
      <w:r w:rsidR="00EB1525">
        <w:rPr>
          <w:rFonts w:eastAsia="SimSun"/>
          <w:szCs w:val="24"/>
          <w:lang w:eastAsia="zh-CN"/>
        </w:rPr>
        <w:t>.</w:t>
      </w:r>
    </w:p>
    <w:p w14:paraId="2D092643" w14:textId="702DCCD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w:t>
      </w:r>
      <w:r w:rsidR="00EB1525">
        <w:rPr>
          <w:rFonts w:eastAsia="SimSun"/>
          <w:szCs w:val="24"/>
          <w:lang w:eastAsia="zh-CN"/>
        </w:rPr>
        <w:t>.</w:t>
      </w:r>
    </w:p>
    <w:p w14:paraId="0C1D5AD0" w14:textId="4BF7198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w:t>
      </w:r>
      <w:r w:rsidR="00EB1525">
        <w:rPr>
          <w:rFonts w:eastAsia="SimSun"/>
          <w:szCs w:val="24"/>
          <w:lang w:eastAsia="zh-CN"/>
        </w:rPr>
        <w:t>.</w:t>
      </w:r>
    </w:p>
    <w:p w14:paraId="387CF0AF" w14:textId="380638D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w:t>
      </w:r>
      <w:r w:rsidR="00EB1525">
        <w:rPr>
          <w:rFonts w:eastAsia="SimSun"/>
          <w:szCs w:val="24"/>
          <w:lang w:eastAsia="zh-CN"/>
        </w:rPr>
        <w:t>.</w:t>
      </w:r>
    </w:p>
    <w:p w14:paraId="387CF0B0" w14:textId="5A9F9AE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w:t>
      </w:r>
      <w:r w:rsidR="00EB1525">
        <w:rPr>
          <w:rFonts w:eastAsia="SimSun"/>
          <w:szCs w:val="24"/>
          <w:lang w:eastAsia="zh-CN"/>
        </w:rPr>
        <w:t>.</w:t>
      </w:r>
    </w:p>
    <w:p w14:paraId="387CF0B1" w14:textId="04CD5E9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w:t>
      </w:r>
      <w:r w:rsidR="00EB1525">
        <w:rPr>
          <w:rFonts w:eastAsia="SimSun"/>
          <w:szCs w:val="24"/>
          <w:lang w:eastAsia="zh-CN"/>
        </w:rPr>
        <w:t>.</w:t>
      </w:r>
    </w:p>
    <w:p w14:paraId="162ECA46" w14:textId="36C291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w:t>
      </w:r>
      <w:r w:rsidR="00EB1525">
        <w:rPr>
          <w:rFonts w:eastAsia="SimSun"/>
          <w:szCs w:val="24"/>
          <w:lang w:val="en-US" w:eastAsia="zh-CN"/>
        </w:rPr>
        <w:t>.</w:t>
      </w:r>
    </w:p>
    <w:p w14:paraId="387CF0B7" w14:textId="77777777" w:rsidR="00904569" w:rsidRDefault="00904569">
      <w:pPr>
        <w:spacing w:after="120"/>
        <w:rPr>
          <w:szCs w:val="24"/>
          <w:lang w:eastAsia="zh-CN"/>
        </w:rPr>
      </w:pPr>
    </w:p>
    <w:p w14:paraId="387CF0B8" w14:textId="73FEB5BA" w:rsidR="00904569" w:rsidRDefault="00000000">
      <w:pPr>
        <w:rPr>
          <w:b/>
          <w:u w:val="single"/>
          <w:lang w:eastAsia="ko-KR"/>
        </w:rPr>
      </w:pPr>
      <w:r>
        <w:rPr>
          <w:b/>
          <w:u w:val="single"/>
          <w:lang w:eastAsia="ko-KR"/>
        </w:rPr>
        <w:t>Uplink aspects of channel model</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1B63C14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EB1525">
        <w:rPr>
          <w:szCs w:val="24"/>
          <w:lang w:eastAsia="zh-CN"/>
        </w:rPr>
        <w:t>.</w:t>
      </w:r>
    </w:p>
    <w:p w14:paraId="4B21EE98" w14:textId="1CEABF5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p>
    <w:p w14:paraId="435C7C2F" w14:textId="3DC6E1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2: Confirm that the UL CDL channel is the exact reverse of DL CDL channel</w:t>
      </w:r>
      <w:r w:rsidR="00EB1525">
        <w:rPr>
          <w:rFonts w:eastAsiaTheme="minorEastAsia"/>
          <w:szCs w:val="24"/>
          <w:lang w:eastAsia="zh-CN"/>
        </w:rPr>
        <w:t>.</w:t>
      </w:r>
    </w:p>
    <w:p w14:paraId="387CF0BE" w14:textId="040FFC8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w:t>
      </w:r>
      <w:r w:rsidR="00EB1525">
        <w:rPr>
          <w:rFonts w:eastAsiaTheme="minorEastAsia"/>
          <w:szCs w:val="24"/>
          <w:lang w:eastAsia="zh-CN"/>
        </w:rPr>
        <w:t>.</w:t>
      </w:r>
    </w:p>
    <w:p w14:paraId="387CF0C7" w14:textId="77777777" w:rsidR="00904569" w:rsidRDefault="00904569">
      <w:pPr>
        <w:rPr>
          <w:b/>
          <w:u w:val="single"/>
          <w:lang w:eastAsia="ko-KR"/>
        </w:rPr>
      </w:pPr>
    </w:p>
    <w:p w14:paraId="387CF0C8" w14:textId="6CE32599" w:rsidR="00904569" w:rsidRDefault="00000000">
      <w:pPr>
        <w:rPr>
          <w:b/>
          <w:u w:val="single"/>
          <w:lang w:eastAsia="ko-KR"/>
        </w:rPr>
      </w:pPr>
      <w:r>
        <w:rPr>
          <w:b/>
          <w:u w:val="single"/>
          <w:lang w:eastAsia="ko-KR"/>
        </w:rPr>
        <w:t xml:space="preserve">Channel model </w:t>
      </w:r>
      <w:proofErr w:type="gramStart"/>
      <w:r>
        <w:rPr>
          <w:b/>
          <w:u w:val="single"/>
          <w:lang w:eastAsia="ko-KR"/>
        </w:rPr>
        <w:t>alignment</w:t>
      </w:r>
      <w:proofErr w:type="gramEnd"/>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57AA82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EB1525">
        <w:rPr>
          <w:szCs w:val="24"/>
          <w:lang w:eastAsia="zh-CN"/>
        </w:rPr>
        <w:t>.</w:t>
      </w:r>
    </w:p>
    <w:p w14:paraId="5C00C4F0" w14:textId="5CC5CB0B"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1A: Get alignment if new CDL models with major changes are derived</w:t>
      </w:r>
      <w:r w:rsidR="00EB1525">
        <w:rPr>
          <w:szCs w:val="24"/>
          <w:lang w:eastAsia="zh-CN"/>
        </w:rPr>
        <w:t>.</w:t>
      </w:r>
    </w:p>
    <w:p w14:paraId="387CF0CD" w14:textId="77777777" w:rsidR="00904569" w:rsidRDefault="00904569">
      <w:pPr>
        <w:rPr>
          <w:b/>
          <w:u w:val="single"/>
          <w:lang w:eastAsia="ko-KR"/>
        </w:rPr>
      </w:pPr>
    </w:p>
    <w:p w14:paraId="387CF0CE" w14:textId="2B0B468E" w:rsidR="00904569" w:rsidRDefault="00000000">
      <w:pPr>
        <w:rPr>
          <w:b/>
          <w:u w:val="single"/>
          <w:lang w:eastAsia="ko-KR"/>
        </w:rPr>
      </w:pPr>
      <w:r>
        <w:rPr>
          <w:b/>
          <w:u w:val="single"/>
          <w:lang w:eastAsia="ko-KR"/>
        </w:rPr>
        <w:t>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3" w14:textId="2476BC2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w:t>
      </w:r>
      <w:r w:rsidR="00EB1525">
        <w:rPr>
          <w:szCs w:val="24"/>
          <w:lang w:eastAsia="zh-CN"/>
        </w:rPr>
        <w:t>y.</w:t>
      </w:r>
    </w:p>
    <w:p w14:paraId="387CF0D4" w14:textId="77777777" w:rsidR="00904569" w:rsidRDefault="00904569">
      <w:pPr>
        <w:spacing w:after="120"/>
        <w:rPr>
          <w:szCs w:val="24"/>
          <w:lang w:eastAsia="zh-CN"/>
        </w:rPr>
      </w:pPr>
    </w:p>
    <w:p w14:paraId="387CF0D5" w14:textId="77777777" w:rsidR="00904569" w:rsidRDefault="00000000">
      <w:pPr>
        <w:pStyle w:val="Heading3"/>
        <w:rPr>
          <w:szCs w:val="16"/>
        </w:rPr>
      </w:pPr>
      <w:r>
        <w:rPr>
          <w:szCs w:val="16"/>
        </w:rPr>
        <w:t>Sub-topic 1-3: Receiver assumptions</w:t>
      </w:r>
    </w:p>
    <w:p w14:paraId="387CF0D6" w14:textId="7A1DEA8D" w:rsidR="00904569" w:rsidRDefault="00000000">
      <w:pPr>
        <w:rPr>
          <w:b/>
          <w:u w:val="single"/>
          <w:lang w:eastAsia="ko-KR"/>
        </w:rPr>
      </w:pPr>
      <w:r>
        <w:rPr>
          <w:b/>
          <w:u w:val="single"/>
          <w:lang w:eastAsia="ko-KR"/>
        </w:rPr>
        <w:t>Receiver assumption for UE</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1938D62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EB1525">
        <w:rPr>
          <w:szCs w:val="24"/>
          <w:lang w:eastAsia="zh-CN"/>
        </w:rPr>
        <w:t>.</w:t>
      </w:r>
    </w:p>
    <w:p w14:paraId="387CF0DA" w14:textId="2D4923C9"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w:t>
      </w:r>
      <w:r w:rsidR="00EB1525">
        <w:rPr>
          <w:szCs w:val="24"/>
          <w:lang w:eastAsia="zh-CN"/>
        </w:rPr>
        <w:t>.</w:t>
      </w:r>
    </w:p>
    <w:p w14:paraId="387CF0DB" w14:textId="2BFA144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EB1525">
        <w:rPr>
          <w:szCs w:val="24"/>
          <w:lang w:eastAsia="zh-CN"/>
        </w:rPr>
        <w:t>.</w:t>
      </w:r>
    </w:p>
    <w:p w14:paraId="387CF0DC" w14:textId="795808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w:t>
      </w:r>
    </w:p>
    <w:p w14:paraId="1312AB43" w14:textId="007BE1F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w:t>
      </w:r>
      <w:r w:rsidR="00EB1525">
        <w:rPr>
          <w:lang w:val="en-US" w:eastAsia="zh-CN"/>
        </w:rPr>
        <w:t>.</w:t>
      </w:r>
    </w:p>
    <w:p w14:paraId="387CF0DD" w14:textId="59C9F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r w:rsidR="00EB1525">
        <w:rPr>
          <w:szCs w:val="24"/>
          <w:lang w:eastAsia="zh-CN"/>
        </w:rPr>
        <w:t>.</w:t>
      </w:r>
    </w:p>
    <w:p w14:paraId="387CF0DE" w14:textId="4FFB888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the required information for advanced Rec for MU-MIMO</w:t>
      </w:r>
      <w:r w:rsidR="00EB1525">
        <w:rPr>
          <w:rFonts w:eastAsia="SimSun"/>
          <w:szCs w:val="24"/>
          <w:lang w:eastAsia="zh-CN"/>
        </w:rPr>
        <w:t>.</w:t>
      </w:r>
    </w:p>
    <w:p w14:paraId="387CF0DF" w14:textId="52563EE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EB1525">
        <w:rPr>
          <w:szCs w:val="24"/>
          <w:lang w:eastAsia="zh-CN"/>
        </w:rPr>
        <w:t>.</w:t>
      </w:r>
    </w:p>
    <w:p w14:paraId="387CF0E0" w14:textId="24EC9E14"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EB1525">
        <w:rPr>
          <w:szCs w:val="24"/>
          <w:lang w:eastAsia="zh-CN"/>
        </w:rPr>
        <w:t>.</w:t>
      </w:r>
    </w:p>
    <w:p w14:paraId="70B4A7DF" w14:textId="4003EE19"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w:t>
      </w:r>
      <w:r w:rsidR="00EB1525">
        <w:rPr>
          <w:szCs w:val="24"/>
          <w:lang w:eastAsia="zh-CN"/>
        </w:rPr>
        <w:t>.</w:t>
      </w:r>
    </w:p>
    <w:p w14:paraId="7333C0A5" w14:textId="25A5B13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7: Study suitable receivers for supported channel models and scenarios that require advanced receivers</w:t>
      </w:r>
      <w:r w:rsidR="00EB1525">
        <w:rPr>
          <w:szCs w:val="24"/>
          <w:lang w:eastAsia="zh-CN"/>
        </w:rPr>
        <w:t>.</w:t>
      </w:r>
    </w:p>
    <w:p w14:paraId="4BE8FB06" w14:textId="764947A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w:t>
      </w:r>
      <w:r w:rsidR="00EB1525">
        <w:rPr>
          <w:szCs w:val="24"/>
          <w:lang w:eastAsia="zh-CN"/>
        </w:rPr>
        <w:t>.</w:t>
      </w:r>
    </w:p>
    <w:p w14:paraId="661F60BA" w14:textId="144DE80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9: Evaluate candidate receiver types on following scenarios</w:t>
      </w:r>
      <w:r w:rsidR="00EB1525">
        <w:rPr>
          <w:szCs w:val="24"/>
          <w:lang w:eastAsia="zh-CN"/>
        </w:rPr>
        <w:t>.</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w:t>
      </w:r>
      <w:proofErr w:type="gramStart"/>
      <w:r>
        <w:rPr>
          <w:rFonts w:eastAsia="SimSun"/>
          <w:szCs w:val="24"/>
          <w:lang w:val="en-US" w:eastAsia="zh-CN"/>
        </w:rPr>
        <w:t>4G</w:t>
      </w:r>
      <w:proofErr w:type="gramEnd"/>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66B22A0E"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Option 10: Study the feasibility of defining R-ML receiver for both PDSCH and CSI reporting including both open-loop PDSCH test cases and link adaption PDSCH test cases, where R-ML receiver is assumed for both demodulation and CSI calculation. The study should focus on possibility of alignment</w:t>
      </w:r>
      <w:r w:rsidR="00EB1525">
        <w:rPr>
          <w:szCs w:val="24"/>
          <w:lang w:eastAsia="zh-CN"/>
        </w:rPr>
        <w:t>.</w:t>
      </w:r>
    </w:p>
    <w:p w14:paraId="596219D5" w14:textId="77777777" w:rsidR="00904569" w:rsidRDefault="00904569">
      <w:pPr>
        <w:spacing w:after="120"/>
        <w:rPr>
          <w:szCs w:val="24"/>
          <w:lang w:eastAsia="zh-CN"/>
        </w:rPr>
      </w:pPr>
    </w:p>
    <w:p w14:paraId="1839C30E" w14:textId="1917A61C" w:rsidR="00904569" w:rsidRDefault="00000000">
      <w:pPr>
        <w:rPr>
          <w:b/>
          <w:u w:val="single"/>
          <w:lang w:eastAsia="ko-KR"/>
        </w:rPr>
      </w:pPr>
      <w:r>
        <w:rPr>
          <w:b/>
          <w:u w:val="single"/>
          <w:lang w:eastAsia="ko-KR"/>
        </w:rPr>
        <w:t>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58C7B4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EB1525">
        <w:rPr>
          <w:szCs w:val="24"/>
          <w:lang w:eastAsia="zh-CN"/>
        </w:rPr>
        <w:t>.</w:t>
      </w:r>
    </w:p>
    <w:p w14:paraId="387CF0EC" w14:textId="77777777" w:rsidR="00904569" w:rsidRDefault="00904569">
      <w:pPr>
        <w:rPr>
          <w:lang w:eastAsia="zh-CN"/>
        </w:rPr>
      </w:pPr>
    </w:p>
    <w:p w14:paraId="3A81EAA7" w14:textId="4BFACB64" w:rsidR="00904569" w:rsidRDefault="00000000">
      <w:pPr>
        <w:rPr>
          <w:b/>
          <w:u w:val="single"/>
          <w:lang w:eastAsia="ko-KR"/>
        </w:rPr>
      </w:pPr>
      <w:r>
        <w:rPr>
          <w:b/>
          <w:u w:val="single"/>
          <w:lang w:eastAsia="ko-KR"/>
        </w:rPr>
        <w:t>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03A3CC68" w14:textId="5C3CB70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w:t>
      </w:r>
      <w:r w:rsidR="00EB1525">
        <w:rPr>
          <w:szCs w:val="24"/>
          <w:lang w:eastAsia="zh-CN"/>
        </w:rPr>
        <w:t>.</w:t>
      </w:r>
    </w:p>
    <w:p w14:paraId="5B5CF14C" w14:textId="0B4C3B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EB1525">
        <w:rPr>
          <w:szCs w:val="24"/>
          <w:lang w:eastAsia="zh-CN"/>
        </w:rPr>
        <w:t>.</w:t>
      </w:r>
    </w:p>
    <w:p w14:paraId="3C115755" w14:textId="3957253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w:t>
      </w:r>
      <w:r w:rsidR="00EB1525">
        <w:rPr>
          <w:szCs w:val="24"/>
          <w:lang w:eastAsia="zh-CN"/>
        </w:rPr>
        <w:t>.</w:t>
      </w:r>
    </w:p>
    <w:p w14:paraId="1C3BF3A1" w14:textId="77777777" w:rsidR="00904569" w:rsidRDefault="00904569">
      <w:pPr>
        <w:rPr>
          <w:lang w:val="en-US" w:eastAsia="zh-CN"/>
        </w:rPr>
      </w:pPr>
    </w:p>
    <w:p w14:paraId="387CF0ED" w14:textId="77777777" w:rsidR="00904569" w:rsidRDefault="00000000">
      <w:pPr>
        <w:pStyle w:val="Heading3"/>
        <w:rPr>
          <w:szCs w:val="16"/>
        </w:rPr>
      </w:pPr>
      <w:r>
        <w:rPr>
          <w:szCs w:val="16"/>
        </w:rPr>
        <w:t>Sub-topic 1-4: TxEVM and SNR</w:t>
      </w:r>
    </w:p>
    <w:p w14:paraId="387CF0EE" w14:textId="3D15A739" w:rsidR="00904569"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697C8AC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r w:rsidR="00606594">
        <w:rPr>
          <w:szCs w:val="24"/>
          <w:lang w:eastAsia="zh-CN"/>
        </w:rPr>
        <w:t>.</w:t>
      </w:r>
    </w:p>
    <w:p w14:paraId="387CF0F1" w14:textId="6101367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sidR="00606594">
        <w:rPr>
          <w:szCs w:val="24"/>
          <w:lang w:eastAsia="zh-CN"/>
        </w:rPr>
        <w:t>.</w:t>
      </w:r>
    </w:p>
    <w:p w14:paraId="70791EFE" w14:textId="22D9417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w:t>
      </w:r>
      <w:r w:rsidR="00606594">
        <w:rPr>
          <w:szCs w:val="24"/>
          <w:lang w:eastAsia="zh-CN"/>
        </w:rPr>
        <w:t>.</w:t>
      </w:r>
    </w:p>
    <w:p w14:paraId="5A5C7F00" w14:textId="3253095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w:t>
      </w:r>
      <w:r w:rsidR="00606594">
        <w:rPr>
          <w:szCs w:val="24"/>
          <w:lang w:eastAsia="zh-CN"/>
        </w:rPr>
        <w:t>.</w:t>
      </w:r>
    </w:p>
    <w:p w14:paraId="0CDAEFF2" w14:textId="2713B559"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w:t>
      </w:r>
      <w:r w:rsidR="00606594">
        <w:rPr>
          <w:szCs w:val="24"/>
          <w:lang w:eastAsia="zh-CN"/>
        </w:rPr>
        <w:t>.</w:t>
      </w:r>
    </w:p>
    <w:p w14:paraId="0FC3ACE9" w14:textId="146E48FC"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4: Distinguish and decouple RF </w:t>
      </w:r>
      <w:proofErr w:type="spellStart"/>
      <w:r>
        <w:rPr>
          <w:szCs w:val="24"/>
          <w:lang w:eastAsia="zh-CN"/>
        </w:rPr>
        <w:t>TxEVM</w:t>
      </w:r>
      <w:proofErr w:type="spellEnd"/>
      <w:r>
        <w:rPr>
          <w:szCs w:val="24"/>
          <w:lang w:eastAsia="zh-CN"/>
        </w:rPr>
        <w:t xml:space="preserve"> assumptions from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w:t>
      </w:r>
      <w:r w:rsidR="00606594">
        <w:rPr>
          <w:szCs w:val="24"/>
          <w:lang w:eastAsia="zh-CN"/>
        </w:rPr>
        <w:t>.</w:t>
      </w:r>
    </w:p>
    <w:p w14:paraId="387CF0F2" w14:textId="69548637"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5: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606594">
        <w:rPr>
          <w:szCs w:val="24"/>
          <w:lang w:eastAsia="zh-CN"/>
        </w:rPr>
        <w:t>.</w:t>
      </w:r>
    </w:p>
    <w:p w14:paraId="387CF0F3" w14:textId="572C18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r w:rsidR="00606594">
        <w:rPr>
          <w:szCs w:val="24"/>
          <w:lang w:eastAsia="zh-CN"/>
        </w:rPr>
        <w:t>.</w:t>
      </w:r>
      <w:proofErr w:type="spellEnd"/>
    </w:p>
    <w:p w14:paraId="13EAD3EC" w14:textId="1DB177C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w:t>
      </w:r>
      <w:r w:rsidR="00606594">
        <w:rPr>
          <w:szCs w:val="24"/>
          <w:lang w:eastAsia="zh-CN"/>
        </w:rPr>
        <w:t>.</w:t>
      </w:r>
    </w:p>
    <w:p w14:paraId="0B653A8E" w14:textId="262C856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w:t>
      </w:r>
      <w:r w:rsidR="00606594">
        <w:rPr>
          <w:szCs w:val="24"/>
          <w:lang w:eastAsia="zh-CN"/>
        </w:rPr>
        <w:t>.</w:t>
      </w:r>
    </w:p>
    <w:p w14:paraId="387CF0F6" w14:textId="77777777" w:rsidR="00904569" w:rsidRDefault="00904569">
      <w:pPr>
        <w:rPr>
          <w:lang w:eastAsia="zh-CN"/>
        </w:rPr>
      </w:pPr>
    </w:p>
    <w:p w14:paraId="387CF0F7" w14:textId="15058DC1" w:rsidR="00904569" w:rsidRDefault="00000000">
      <w:pPr>
        <w:rPr>
          <w:b/>
          <w:u w:val="single"/>
          <w:lang w:eastAsia="ko-KR"/>
        </w:rPr>
      </w:pPr>
      <w:r>
        <w:rPr>
          <w:b/>
          <w:u w:val="single"/>
          <w:lang w:eastAsia="ko-KR"/>
        </w:rPr>
        <w:t>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43920DE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Study how to account for SNR degradation from realistic Test Equipment </w:t>
      </w:r>
      <w:proofErr w:type="spellStart"/>
      <w:r>
        <w:rPr>
          <w:szCs w:val="24"/>
          <w:lang w:eastAsia="zh-CN"/>
        </w:rPr>
        <w:t>TxEVM</w:t>
      </w:r>
      <w:proofErr w:type="spellEnd"/>
      <w:r>
        <w:rPr>
          <w:szCs w:val="24"/>
          <w:lang w:eastAsia="zh-CN"/>
        </w:rPr>
        <w:t>, based on performances expected by real Test Equipment. The options could include the use of an impairment margin, or an additional noise-based TE EVM value</w:t>
      </w:r>
      <w:r w:rsidR="00606594">
        <w:rPr>
          <w:szCs w:val="24"/>
          <w:lang w:eastAsia="zh-CN"/>
        </w:rPr>
        <w:t>.</w:t>
      </w:r>
    </w:p>
    <w:p w14:paraId="2B1D4DA5" w14:textId="59DA02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r w:rsidR="00606594">
        <w:rPr>
          <w:szCs w:val="24"/>
          <w:lang w:eastAsia="zh-CN"/>
        </w:rPr>
        <w:t>.</w:t>
      </w:r>
    </w:p>
    <w:p w14:paraId="387CF0FC" w14:textId="2C35BFD8"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FA1B101" w14:textId="3B0513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w:t>
      </w:r>
      <w:r w:rsidR="00606594">
        <w:rPr>
          <w:szCs w:val="24"/>
          <w:lang w:eastAsia="zh-CN"/>
        </w:rPr>
        <w:t>.</w:t>
      </w:r>
    </w:p>
    <w:p w14:paraId="4B9E48C5" w14:textId="476A8ED2" w:rsidR="00904569" w:rsidRDefault="00000000">
      <w:pPr>
        <w:pStyle w:val="ListParagraph"/>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w:t>
      </w:r>
      <w:r w:rsidR="00606594">
        <w:rPr>
          <w:szCs w:val="24"/>
          <w:lang w:eastAsia="zh-CN"/>
        </w:rPr>
        <w:t>.</w:t>
      </w:r>
    </w:p>
    <w:p w14:paraId="0ECFCA80" w14:textId="4921A271" w:rsidR="00904569" w:rsidRDefault="00000000">
      <w:pPr>
        <w:pStyle w:val="ListParagraph"/>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w:t>
      </w:r>
      <w:r w:rsidR="00606594">
        <w:rPr>
          <w:szCs w:val="24"/>
          <w:lang w:eastAsia="zh-CN"/>
        </w:rPr>
        <w:t>.</w:t>
      </w:r>
    </w:p>
    <w:p w14:paraId="716CAB69" w14:textId="08F6A4C4" w:rsidR="00904569" w:rsidRDefault="00000000">
      <w:pPr>
        <w:pStyle w:val="ListParagraph"/>
        <w:numPr>
          <w:ilvl w:val="1"/>
          <w:numId w:val="7"/>
        </w:numPr>
        <w:spacing w:after="120"/>
        <w:ind w:firstLineChars="0"/>
        <w:textAlignment w:val="auto"/>
        <w:rPr>
          <w:szCs w:val="24"/>
          <w:lang w:eastAsia="zh-CN"/>
        </w:rPr>
      </w:pPr>
      <w:r>
        <w:rPr>
          <w:szCs w:val="24"/>
          <w:lang w:eastAsia="zh-CN"/>
        </w:rPr>
        <w:lastRenderedPageBreak/>
        <w:t>Option 7: TE vendors to study the dynamic range/max testable SNR for conducted and OTA test systems when device types, 6GR operating frequencies, etc. are decided</w:t>
      </w:r>
      <w:r w:rsidR="00606594">
        <w:rPr>
          <w:szCs w:val="24"/>
          <w:lang w:eastAsia="zh-CN"/>
        </w:rPr>
        <w:t>.</w:t>
      </w:r>
    </w:p>
    <w:p w14:paraId="387CF0FF" w14:textId="77777777" w:rsidR="00904569" w:rsidRDefault="00904569">
      <w:pPr>
        <w:rPr>
          <w:lang w:eastAsia="zh-CN"/>
        </w:rPr>
      </w:pPr>
    </w:p>
    <w:p w14:paraId="387CF100" w14:textId="77777777" w:rsidR="00904569" w:rsidRDefault="00000000">
      <w:pPr>
        <w:pStyle w:val="Heading3"/>
        <w:rPr>
          <w:szCs w:val="16"/>
        </w:rPr>
      </w:pPr>
      <w:r>
        <w:rPr>
          <w:szCs w:val="16"/>
        </w:rPr>
        <w:t>Sub-topic 1-5: Interference modelling aspects</w:t>
      </w:r>
    </w:p>
    <w:p w14:paraId="387CF101" w14:textId="2EE6F2A3" w:rsidR="00904569" w:rsidRDefault="00000000">
      <w:pPr>
        <w:rPr>
          <w:b/>
          <w:u w:val="single"/>
          <w:lang w:eastAsia="ko-KR"/>
        </w:rPr>
      </w:pPr>
      <w:r>
        <w:rPr>
          <w:b/>
          <w:u w:val="single"/>
          <w:lang w:eastAsia="ko-KR"/>
        </w:rPr>
        <w:t>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655B9A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w:t>
      </w:r>
      <w:r w:rsidR="00606594">
        <w:rPr>
          <w:szCs w:val="24"/>
          <w:lang w:eastAsia="zh-CN"/>
        </w:rPr>
        <w:t>.</w:t>
      </w:r>
    </w:p>
    <w:p w14:paraId="387CF104" w14:textId="574D365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Evaluate interference profiles for intra-cell/interference cell scenarios to reflect real field conditions</w:t>
      </w:r>
      <w:r w:rsidR="00606594">
        <w:rPr>
          <w:rFonts w:eastAsia="SimSun"/>
          <w:szCs w:val="24"/>
          <w:lang w:eastAsia="zh-CN"/>
        </w:rPr>
        <w:t>.</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gNB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Semi-static/Dynamic SBFD operation in gNB</w:t>
      </w:r>
    </w:p>
    <w:p w14:paraId="6260BE53" w14:textId="19B4401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w:t>
      </w:r>
      <w:r w:rsidR="00606594">
        <w:rPr>
          <w:rFonts w:eastAsia="SimSun"/>
          <w:szCs w:val="24"/>
          <w:lang w:eastAsia="zh-CN"/>
        </w:rPr>
        <w:t>.</w:t>
      </w:r>
    </w:p>
    <w:p w14:paraId="7B14F5F9" w14:textId="45A3B86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w:t>
      </w:r>
      <w:r w:rsidR="00606594">
        <w:rPr>
          <w:rFonts w:eastAsia="SimSun"/>
          <w:szCs w:val="24"/>
          <w:lang w:eastAsia="zh-CN"/>
        </w:rPr>
        <w:t>.</w:t>
      </w:r>
    </w:p>
    <w:p w14:paraId="12E3EC9C" w14:textId="7B7AD7E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w:t>
      </w:r>
      <w:r w:rsidR="00606594">
        <w:rPr>
          <w:rFonts w:eastAsia="SimSun"/>
          <w:szCs w:val="24"/>
          <w:lang w:eastAsia="zh-CN"/>
        </w:rPr>
        <w:t>.</w:t>
      </w:r>
    </w:p>
    <w:p w14:paraId="752E2E27" w14:textId="3931B021"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w:t>
      </w:r>
      <w:r w:rsidR="00606594">
        <w:rPr>
          <w:rFonts w:eastAsia="SimSun"/>
          <w:szCs w:val="24"/>
          <w:lang w:eastAsia="zh-CN"/>
        </w:rPr>
        <w:t>.</w:t>
      </w:r>
    </w:p>
    <w:p w14:paraId="27E9EA77" w14:textId="7D6545A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w:t>
      </w:r>
      <w:r w:rsidR="00606594">
        <w:rPr>
          <w:rFonts w:eastAsia="SimSun"/>
          <w:szCs w:val="24"/>
          <w:lang w:eastAsia="zh-CN"/>
        </w:rPr>
        <w:t>.</w:t>
      </w:r>
    </w:p>
    <w:p w14:paraId="387CF106" w14:textId="3A3392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606594">
        <w:rPr>
          <w:szCs w:val="24"/>
          <w:lang w:eastAsia="zh-CN"/>
        </w:rPr>
        <w:t>.</w:t>
      </w:r>
    </w:p>
    <w:p w14:paraId="387CF109" w14:textId="77777777" w:rsidR="00904569" w:rsidRDefault="00904569">
      <w:pPr>
        <w:rPr>
          <w:lang w:val="en-US" w:eastAsia="zh-CN"/>
        </w:rPr>
      </w:pPr>
    </w:p>
    <w:p w14:paraId="387CF10A" w14:textId="77777777" w:rsidR="00904569" w:rsidRDefault="00000000">
      <w:pPr>
        <w:pStyle w:val="Heading3"/>
        <w:rPr>
          <w:szCs w:val="16"/>
        </w:rPr>
      </w:pPr>
      <w:r>
        <w:rPr>
          <w:szCs w:val="16"/>
        </w:rPr>
        <w:t>Sub-topic 1-6: Performance testing and requirement</w:t>
      </w:r>
    </w:p>
    <w:p w14:paraId="387CF11B" w14:textId="3FF5A9DC" w:rsidR="00904569" w:rsidRDefault="00000000">
      <w:pPr>
        <w:rPr>
          <w:b/>
          <w:u w:val="single"/>
          <w:lang w:eastAsia="ko-KR"/>
        </w:rPr>
      </w:pPr>
      <w:r>
        <w:rPr>
          <w:b/>
          <w:u w:val="single"/>
          <w:lang w:eastAsia="ko-KR"/>
        </w:rPr>
        <w:t>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1F0ED21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06594">
        <w:rPr>
          <w:szCs w:val="24"/>
          <w:lang w:eastAsia="zh-CN"/>
        </w:rPr>
        <w:t>.</w:t>
      </w:r>
    </w:p>
    <w:p w14:paraId="2DA4C8F2" w14:textId="1EC0930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w:t>
      </w:r>
      <w:r w:rsidR="00606594">
        <w:rPr>
          <w:szCs w:val="24"/>
          <w:lang w:eastAsia="zh-CN"/>
        </w:rPr>
        <w:t>.</w:t>
      </w:r>
    </w:p>
    <w:p w14:paraId="347AE472" w14:textId="27673D9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w:t>
      </w:r>
      <w:r w:rsidR="00606594">
        <w:rPr>
          <w:szCs w:val="24"/>
          <w:lang w:eastAsia="zh-CN"/>
        </w:rPr>
        <w:t>.</w:t>
      </w:r>
    </w:p>
    <w:p w14:paraId="47D1422C" w14:textId="77777777" w:rsidR="00904569" w:rsidRDefault="00904569">
      <w:pPr>
        <w:spacing w:after="120"/>
        <w:rPr>
          <w:szCs w:val="24"/>
          <w:lang w:eastAsia="zh-CN"/>
        </w:rPr>
      </w:pPr>
    </w:p>
    <w:p w14:paraId="16BD8A2B" w14:textId="3EB18252" w:rsidR="00904569" w:rsidRDefault="00000000">
      <w:pPr>
        <w:rPr>
          <w:b/>
          <w:u w:val="single"/>
          <w:lang w:eastAsia="ko-KR"/>
        </w:rPr>
      </w:pPr>
      <w:r>
        <w:rPr>
          <w:b/>
          <w:u w:val="single"/>
          <w:lang w:eastAsia="ko-KR"/>
        </w:rPr>
        <w:t>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22018EF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p>
    <w:p w14:paraId="7A1BC281" w14:textId="747E07E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Reuse the Rel-15 BS </w:t>
      </w:r>
      <w:proofErr w:type="spellStart"/>
      <w:r>
        <w:rPr>
          <w:szCs w:val="24"/>
          <w:lang w:eastAsia="zh-CN"/>
        </w:rPr>
        <w:t>demod</w:t>
      </w:r>
      <w:proofErr w:type="spellEnd"/>
      <w:r>
        <w:rPr>
          <w:szCs w:val="24"/>
          <w:lang w:eastAsia="zh-CN"/>
        </w:rPr>
        <w:t xml:space="preserve"> SNR derivation procedure with outlier removal for both BS and UE demodulation</w:t>
      </w:r>
      <w:r w:rsidR="00606594">
        <w:rPr>
          <w:szCs w:val="24"/>
          <w:lang w:eastAsia="zh-CN"/>
        </w:rPr>
        <w:t>.</w:t>
      </w:r>
    </w:p>
    <w:p w14:paraId="387CF12E" w14:textId="77777777" w:rsidR="00904569" w:rsidRDefault="00904569">
      <w:pPr>
        <w:rPr>
          <w:lang w:eastAsia="zh-CN"/>
        </w:rPr>
      </w:pPr>
    </w:p>
    <w:p w14:paraId="2C595018" w14:textId="30D7861C" w:rsidR="00904569" w:rsidRDefault="00000000">
      <w:pPr>
        <w:rPr>
          <w:b/>
          <w:u w:val="single"/>
          <w:lang w:eastAsia="ko-KR"/>
        </w:rPr>
      </w:pPr>
      <w:r>
        <w:rPr>
          <w:b/>
          <w:u w:val="single"/>
          <w:lang w:eastAsia="ko-KR"/>
        </w:rPr>
        <w:t>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4E4C7244" w14:textId="57409FD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w:t>
      </w:r>
    </w:p>
    <w:p w14:paraId="1E1EFE4B" w14:textId="77777777" w:rsidR="00904569" w:rsidRDefault="00904569">
      <w:pPr>
        <w:rPr>
          <w:lang w:eastAsia="zh-CN"/>
        </w:rPr>
      </w:pPr>
    </w:p>
    <w:p w14:paraId="737D9685" w14:textId="6541A3E5" w:rsidR="00904569" w:rsidRDefault="00000000">
      <w:pPr>
        <w:rPr>
          <w:b/>
          <w:u w:val="single"/>
          <w:lang w:eastAsia="ko-KR"/>
        </w:rPr>
      </w:pPr>
      <w:r>
        <w:rPr>
          <w:b/>
          <w:u w:val="single"/>
          <w:lang w:eastAsia="ko-KR"/>
        </w:rPr>
        <w:t xml:space="preserve">Link adaptation </w:t>
      </w:r>
      <w:proofErr w:type="gramStart"/>
      <w:r>
        <w:rPr>
          <w:b/>
          <w:u w:val="single"/>
          <w:lang w:eastAsia="ko-KR"/>
        </w:rPr>
        <w:t>testing</w:t>
      </w:r>
      <w:proofErr w:type="gramEnd"/>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679DC45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w:t>
      </w:r>
    </w:p>
    <w:p w14:paraId="30A4925A" w14:textId="31951A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w:t>
      </w:r>
      <w:r w:rsidR="00606594">
        <w:rPr>
          <w:szCs w:val="24"/>
          <w:lang w:eastAsia="zh-CN"/>
        </w:rPr>
        <w:t>.</w:t>
      </w:r>
    </w:p>
    <w:p w14:paraId="292900BB" w14:textId="30022B8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w:t>
      </w:r>
      <w:r w:rsidR="00606594">
        <w:rPr>
          <w:szCs w:val="24"/>
          <w:lang w:eastAsia="zh-CN"/>
        </w:rPr>
        <w:t>.</w:t>
      </w:r>
    </w:p>
    <w:p w14:paraId="250DDFED" w14:textId="5E4D766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3A: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00A7740D" w14:textId="6A72CCF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w:t>
      </w:r>
      <w:proofErr w:type="spellStart"/>
      <w:r>
        <w:rPr>
          <w:szCs w:val="24"/>
          <w:lang w:eastAsia="zh-CN"/>
        </w:rPr>
        <w:t>NumTx</w:t>
      </w:r>
      <w:proofErr w:type="spellEnd"/>
      <w:r>
        <w:rPr>
          <w:szCs w:val="24"/>
          <w:lang w:eastAsia="zh-CN"/>
        </w:rPr>
        <w:t> = 8 and 32, Rank </w:t>
      </w:r>
      <w:r>
        <w:rPr>
          <w:rFonts w:hint="eastAsia"/>
          <w:szCs w:val="24"/>
          <w:lang w:eastAsia="zh-CN"/>
        </w:rPr>
        <w:t>≤</w:t>
      </w:r>
      <w:r>
        <w:rPr>
          <w:szCs w:val="24"/>
          <w:lang w:eastAsia="zh-CN"/>
        </w:rPr>
        <w:t> 4) to assess alignment feasibility</w:t>
      </w:r>
      <w:r w:rsidR="00606594">
        <w:rPr>
          <w:szCs w:val="24"/>
          <w:lang w:eastAsia="zh-CN"/>
        </w:rPr>
        <w:t>.</w:t>
      </w:r>
    </w:p>
    <w:p w14:paraId="44D93FC0" w14:textId="1F989B8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Keep </w:t>
      </w:r>
      <w:proofErr w:type="gramStart"/>
      <w:r>
        <w:rPr>
          <w:szCs w:val="24"/>
          <w:lang w:eastAsia="zh-CN"/>
        </w:rPr>
        <w:t>a number of</w:t>
      </w:r>
      <w:proofErr w:type="gramEnd"/>
      <w:r>
        <w:rPr>
          <w:szCs w:val="24"/>
          <w:lang w:eastAsia="zh-CN"/>
        </w:rPr>
        <w:t xml:space="preserve"> ATP tests without OLLA</w:t>
      </w:r>
      <w:r w:rsidR="00606594">
        <w:rPr>
          <w:szCs w:val="24"/>
          <w:lang w:eastAsia="zh-CN"/>
        </w:rPr>
        <w:t>.</w:t>
      </w:r>
    </w:p>
    <w:p w14:paraId="6AC16DC5" w14:textId="0550D9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sidR="00606594">
        <w:rPr>
          <w:rFonts w:eastAsiaTheme="minorEastAsia"/>
          <w:szCs w:val="24"/>
          <w:lang w:eastAsia="zh-CN"/>
        </w:rPr>
        <w:t>.</w:t>
      </w:r>
    </w:p>
    <w:p w14:paraId="4B9C0FEC" w14:textId="77777777" w:rsidR="00904569" w:rsidRDefault="00904569">
      <w:pPr>
        <w:rPr>
          <w:lang w:eastAsia="zh-CN"/>
        </w:rPr>
      </w:pPr>
    </w:p>
    <w:p w14:paraId="387CF12F" w14:textId="09ABD9DA" w:rsidR="00904569" w:rsidRDefault="00000000">
      <w:pPr>
        <w:rPr>
          <w:b/>
          <w:u w:val="single"/>
          <w:lang w:eastAsia="ko-KR"/>
        </w:rPr>
      </w:pPr>
      <w:r>
        <w:rPr>
          <w:b/>
          <w:u w:val="single"/>
          <w:lang w:eastAsia="ko-KR"/>
        </w:rPr>
        <w:t>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AE10DF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Categorize 6G </w:t>
      </w:r>
      <w:proofErr w:type="spellStart"/>
      <w:r>
        <w:rPr>
          <w:rFonts w:eastAsia="SimSun"/>
          <w:szCs w:val="24"/>
          <w:lang w:eastAsia="zh-CN"/>
        </w:rPr>
        <w:t>demod</w:t>
      </w:r>
      <w:proofErr w:type="spellEnd"/>
      <w:r>
        <w:rPr>
          <w:rFonts w:eastAsia="SimSun"/>
          <w:szCs w:val="24"/>
          <w:lang w:eastAsia="zh-CN"/>
        </w:rPr>
        <w:t xml:space="preserve"> tests into open-loop PDSCH cases which is used to verify demodulation performance and link adaption which is used to verify CSI reporting performance</w:t>
      </w:r>
      <w:r w:rsidR="00606594">
        <w:rPr>
          <w:rFonts w:eastAsia="SimSun"/>
          <w:szCs w:val="24"/>
          <w:lang w:eastAsia="zh-CN"/>
        </w:rPr>
        <w:t>.</w:t>
      </w:r>
    </w:p>
    <w:p w14:paraId="66496637" w14:textId="15E86B3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w:t>
      </w:r>
    </w:p>
    <w:p w14:paraId="158682F5" w14:textId="56EC6E5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w:t>
      </w:r>
      <w:r w:rsidR="00606594">
        <w:rPr>
          <w:rFonts w:eastAsia="SimSun"/>
          <w:szCs w:val="24"/>
          <w:lang w:eastAsia="zh-CN"/>
        </w:rPr>
        <w:t>.</w:t>
      </w:r>
    </w:p>
    <w:p w14:paraId="387CF143" w14:textId="77777777" w:rsidR="00904569" w:rsidRDefault="00904569">
      <w:pPr>
        <w:rPr>
          <w:lang w:eastAsia="zh-CN"/>
        </w:rPr>
      </w:pPr>
    </w:p>
    <w:p w14:paraId="34446967" w14:textId="4751E788" w:rsidR="00904569" w:rsidRDefault="00000000">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3E01DC2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w:t>
      </w:r>
      <w:r w:rsidR="00606594">
        <w:rPr>
          <w:szCs w:val="24"/>
          <w:lang w:eastAsia="zh-CN"/>
        </w:rPr>
        <w:t>.</w:t>
      </w:r>
    </w:p>
    <w:p w14:paraId="1BF51134" w14:textId="22D7771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r w:rsidR="00606594">
        <w:rPr>
          <w:szCs w:val="24"/>
          <w:lang w:eastAsia="zh-CN"/>
        </w:rPr>
        <w:t>.</w:t>
      </w:r>
    </w:p>
    <w:p w14:paraId="43BC9869" w14:textId="77777777" w:rsidR="00904569" w:rsidRDefault="00904569">
      <w:pPr>
        <w:rPr>
          <w:lang w:eastAsia="zh-CN"/>
        </w:rPr>
      </w:pPr>
    </w:p>
    <w:p w14:paraId="64DE6B76" w14:textId="3F015AB8" w:rsidR="00904569" w:rsidRDefault="00000000">
      <w:pPr>
        <w:rPr>
          <w:b/>
          <w:u w:val="single"/>
          <w:lang w:eastAsia="ko-KR"/>
        </w:rPr>
      </w:pPr>
      <w:r>
        <w:rPr>
          <w:b/>
          <w:u w:val="single"/>
          <w:lang w:eastAsia="ko-KR"/>
        </w:rPr>
        <w:t>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D0EBF3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PMI reporting testing process and setting requirements directly in terms of throughput/SNR instead of measuring γ</w:t>
      </w:r>
      <w:r w:rsidR="00606594">
        <w:rPr>
          <w:szCs w:val="24"/>
          <w:lang w:eastAsia="zh-CN"/>
        </w:rPr>
        <w:t>.</w:t>
      </w:r>
    </w:p>
    <w:p w14:paraId="672FF4D3" w14:textId="363E0A2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w:t>
      </w:r>
      <w:r w:rsidR="00606594">
        <w:rPr>
          <w:szCs w:val="24"/>
          <w:lang w:eastAsia="zh-CN"/>
        </w:rPr>
        <w:t>.</w:t>
      </w:r>
    </w:p>
    <w:p w14:paraId="1722C53C" w14:textId="7F19B4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r w:rsidR="00606594">
        <w:rPr>
          <w:szCs w:val="24"/>
          <w:lang w:eastAsia="zh-CN"/>
        </w:rPr>
        <w:t>.</w:t>
      </w:r>
    </w:p>
    <w:p w14:paraId="60494884" w14:textId="5439060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the necessity of PMI reporting requirements in addition to combined demodulation and link adaptation testing</w:t>
      </w:r>
      <w:r w:rsidR="00606594">
        <w:rPr>
          <w:szCs w:val="24"/>
          <w:lang w:eastAsia="zh-CN"/>
        </w:rPr>
        <w:t>.</w:t>
      </w:r>
    </w:p>
    <w:p w14:paraId="7826EF0F" w14:textId="77777777" w:rsidR="00904569" w:rsidRDefault="00904569">
      <w:pPr>
        <w:rPr>
          <w:lang w:eastAsia="zh-CN"/>
        </w:rPr>
      </w:pPr>
    </w:p>
    <w:p w14:paraId="330EDDED" w14:textId="2AA8A437" w:rsidR="00904569" w:rsidRDefault="00000000">
      <w:pPr>
        <w:rPr>
          <w:b/>
          <w:u w:val="single"/>
          <w:lang w:eastAsia="ko-KR"/>
        </w:rPr>
      </w:pPr>
      <w:r>
        <w:rPr>
          <w:b/>
          <w:u w:val="single"/>
          <w:lang w:eastAsia="ko-KR"/>
        </w:rPr>
        <w:t>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6162B202" w14:textId="2645F96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w:t>
      </w:r>
      <w:r w:rsidR="00606594">
        <w:rPr>
          <w:szCs w:val="24"/>
          <w:lang w:eastAsia="zh-CN"/>
        </w:rPr>
        <w:t>.</w:t>
      </w:r>
    </w:p>
    <w:p w14:paraId="50CF4C7D" w14:textId="17BE687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w:t>
      </w:r>
      <w:r w:rsidR="00606594">
        <w:rPr>
          <w:szCs w:val="24"/>
          <w:lang w:eastAsia="zh-CN"/>
        </w:rPr>
        <w:t>.</w:t>
      </w:r>
    </w:p>
    <w:p w14:paraId="060F4D72" w14:textId="77777777" w:rsidR="00904569" w:rsidRDefault="00904569">
      <w:pPr>
        <w:rPr>
          <w:lang w:eastAsia="zh-CN"/>
        </w:rPr>
      </w:pPr>
    </w:p>
    <w:p w14:paraId="070AC6E5" w14:textId="77777777" w:rsidR="00904569" w:rsidRDefault="00000000">
      <w:pPr>
        <w:pStyle w:val="Heading3"/>
      </w:pPr>
      <w:r>
        <w:t>Sub-topic 1-7: New TE functionalities</w:t>
      </w:r>
    </w:p>
    <w:p w14:paraId="437CF8A9" w14:textId="2D0E2AEF" w:rsidR="00904569" w:rsidRDefault="00000000">
      <w:pPr>
        <w:rPr>
          <w:b/>
          <w:u w:val="single"/>
          <w:lang w:eastAsia="ko-KR"/>
        </w:rPr>
      </w:pPr>
      <w:r>
        <w:rPr>
          <w:b/>
          <w:u w:val="single"/>
          <w:lang w:eastAsia="ko-KR"/>
        </w:rPr>
        <w:t>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5C7F51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p>
    <w:p w14:paraId="1584B74E" w14:textId="263A231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p>
    <w:p w14:paraId="47B90371" w14:textId="6A36B7D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w:t>
      </w:r>
      <w:r w:rsidR="00606594">
        <w:rPr>
          <w:szCs w:val="24"/>
          <w:lang w:eastAsia="zh-CN"/>
        </w:rPr>
        <w:t>.</w:t>
      </w:r>
    </w:p>
    <w:p w14:paraId="6301C764" w14:textId="0F1E965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1C: Compare results with existing ATP requirements defined without OLLA</w:t>
      </w:r>
      <w:r w:rsidR="00606594">
        <w:rPr>
          <w:szCs w:val="24"/>
          <w:lang w:eastAsia="zh-CN"/>
        </w:rPr>
        <w:t>.</w:t>
      </w:r>
    </w:p>
    <w:p w14:paraId="495F2BF3" w14:textId="5563CF3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w:t>
      </w:r>
      <w:r w:rsidR="00606594">
        <w:rPr>
          <w:szCs w:val="24"/>
          <w:lang w:eastAsia="zh-CN"/>
        </w:rPr>
        <w:t>.</w:t>
      </w:r>
    </w:p>
    <w:p w14:paraId="1AEB8986" w14:textId="133DEF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427BB3DC" w14:textId="138E1A9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w:t>
      </w:r>
      <w:r w:rsidR="00606594">
        <w:rPr>
          <w:szCs w:val="24"/>
          <w:lang w:eastAsia="zh-CN"/>
        </w:rPr>
        <w:t>.</w:t>
      </w:r>
    </w:p>
    <w:p w14:paraId="4C5C14E6" w14:textId="77777777" w:rsidR="00904569" w:rsidRDefault="00904569">
      <w:pPr>
        <w:spacing w:after="120"/>
        <w:rPr>
          <w:szCs w:val="24"/>
          <w:lang w:eastAsia="zh-CN"/>
        </w:rPr>
      </w:pPr>
    </w:p>
    <w:p w14:paraId="5CEA493F" w14:textId="4D9FD4D2" w:rsidR="00904569" w:rsidRDefault="00000000">
      <w:pPr>
        <w:rPr>
          <w:b/>
          <w:u w:val="single"/>
          <w:lang w:eastAsia="ko-KR"/>
        </w:rPr>
      </w:pPr>
      <w:r>
        <w:rPr>
          <w:b/>
          <w:u w:val="single"/>
          <w:lang w:eastAsia="ko-KR"/>
        </w:rPr>
        <w:t>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5B6B7F3F"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w:t>
      </w:r>
    </w:p>
    <w:p w14:paraId="70EF1181" w14:textId="2A40242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w:t>
      </w:r>
    </w:p>
    <w:p w14:paraId="7F03049B" w14:textId="77777777" w:rsidR="00904569" w:rsidRDefault="00904569">
      <w:pPr>
        <w:rPr>
          <w:b/>
          <w:u w:val="single"/>
          <w:lang w:eastAsia="ko-KR"/>
        </w:rPr>
      </w:pPr>
    </w:p>
    <w:p w14:paraId="1F78E449" w14:textId="5B8EE7FF" w:rsidR="00904569" w:rsidRDefault="00606594">
      <w:pPr>
        <w:rPr>
          <w:b/>
          <w:u w:val="single"/>
          <w:lang w:eastAsia="ko-KR"/>
        </w:rPr>
      </w:pPr>
      <w:r w:rsidRPr="00606594">
        <w:rPr>
          <w:b/>
          <w:u w:val="single"/>
          <w:lang w:eastAsia="ko-KR"/>
        </w:rPr>
        <w:t>New TE precoding procedure</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1467169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precoding procedure in TE to enable aligned simulation assumptions.</w:t>
      </w:r>
    </w:p>
    <w:p w14:paraId="7E722D98" w14:textId="455D1A0E"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w:t>
      </w:r>
      <w:r w:rsidR="00606594">
        <w:rPr>
          <w:szCs w:val="24"/>
          <w:lang w:eastAsia="zh-CN"/>
        </w:rPr>
        <w:t>.</w:t>
      </w:r>
    </w:p>
    <w:p w14:paraId="7B790211" w14:textId="298E96B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precoding</w:t>
      </w:r>
      <w:r w:rsidR="00606594">
        <w:rPr>
          <w:szCs w:val="24"/>
          <w:lang w:eastAsia="zh-CN"/>
        </w:rPr>
        <w:t xml:space="preserve"> procedure in TE.</w:t>
      </w:r>
    </w:p>
    <w:p w14:paraId="544FE222" w14:textId="3F8587A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2</w:t>
      </w:r>
      <w:r>
        <w:rPr>
          <w:szCs w:val="24"/>
          <w:lang w:eastAsia="zh-CN"/>
        </w:rPr>
        <w:t>: Study different precoding methods SVD, MF, and ZF</w:t>
      </w:r>
      <w:r w:rsidR="00606594">
        <w:rPr>
          <w:szCs w:val="24"/>
          <w:lang w:eastAsia="zh-CN"/>
        </w:rPr>
        <w:t>.</w:t>
      </w:r>
    </w:p>
    <w:p w14:paraId="59EC62D7" w14:textId="2DB787D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2</w:t>
      </w:r>
      <w:r>
        <w:rPr>
          <w:szCs w:val="24"/>
          <w:lang w:eastAsia="zh-CN"/>
        </w:rPr>
        <w:t>A: Focus on SVD based precoding</w:t>
      </w:r>
      <w:r w:rsidR="00606594">
        <w:rPr>
          <w:szCs w:val="24"/>
          <w:lang w:eastAsia="zh-CN"/>
        </w:rPr>
        <w:t>.</w:t>
      </w:r>
    </w:p>
    <w:p w14:paraId="38D91538" w14:textId="78069D5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3</w:t>
      </w:r>
      <w:r>
        <w:rPr>
          <w:szCs w:val="24"/>
          <w:lang w:eastAsia="zh-CN"/>
        </w:rPr>
        <w:t>: Study SRS power imbalance</w:t>
      </w:r>
      <w:r w:rsidR="00606594">
        <w:rPr>
          <w:szCs w:val="24"/>
          <w:lang w:eastAsia="zh-CN"/>
        </w:rPr>
        <w:t>.</w:t>
      </w:r>
    </w:p>
    <w:p w14:paraId="617DCC5D" w14:textId="5B9D56E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4</w:t>
      </w:r>
      <w:r>
        <w:rPr>
          <w:szCs w:val="24"/>
          <w:lang w:eastAsia="zh-CN"/>
        </w:rPr>
        <w:t>: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18307141" w14:textId="49F92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5</w:t>
      </w:r>
      <w:r>
        <w:rPr>
          <w:szCs w:val="24"/>
          <w:lang w:eastAsia="zh-CN"/>
        </w:rPr>
        <w:t>: Keep fixed or PMI based precoding as the baseline</w:t>
      </w:r>
      <w:r w:rsidR="00606594">
        <w:rPr>
          <w:szCs w:val="24"/>
          <w:lang w:eastAsia="zh-CN"/>
        </w:rPr>
        <w:t>.</w:t>
      </w:r>
    </w:p>
    <w:p w14:paraId="1262E7ED" w14:textId="77777777" w:rsidR="00904569" w:rsidRDefault="00904569">
      <w:pPr>
        <w:spacing w:after="120"/>
        <w:rPr>
          <w:szCs w:val="24"/>
          <w:lang w:eastAsia="zh-CN"/>
        </w:rPr>
      </w:pPr>
    </w:p>
    <w:p w14:paraId="49F2521C" w14:textId="76866576" w:rsidR="00904569" w:rsidRDefault="00000000">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0DAF093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Consider SRS based precoding as a new BS test to verify the BS DL SRS-based precoder calculation accuracy.</w:t>
      </w:r>
    </w:p>
    <w:p w14:paraId="06F8E386" w14:textId="77777777" w:rsidR="00904569" w:rsidRDefault="00904569">
      <w:pPr>
        <w:rPr>
          <w:b/>
          <w:u w:val="single"/>
          <w:lang w:eastAsia="ko-KR"/>
        </w:rPr>
      </w:pPr>
    </w:p>
    <w:p w14:paraId="153D363E" w14:textId="0F012E38" w:rsidR="00904569" w:rsidRDefault="00000000">
      <w:pPr>
        <w:rPr>
          <w:b/>
          <w:u w:val="single"/>
          <w:lang w:eastAsia="ko-KR"/>
        </w:rPr>
      </w:pPr>
      <w:r>
        <w:rPr>
          <w:b/>
          <w:u w:val="single"/>
          <w:lang w:eastAsia="ko-KR"/>
        </w:rPr>
        <w:t xml:space="preserve">Time/frequency/phase offset </w:t>
      </w:r>
      <w:proofErr w:type="gramStart"/>
      <w:r>
        <w:rPr>
          <w:b/>
          <w:u w:val="single"/>
          <w:lang w:eastAsia="ko-KR"/>
        </w:rPr>
        <w:t>precompensation</w:t>
      </w:r>
      <w:proofErr w:type="gramEnd"/>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053E4CA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1: Study inclusion of higher layer aspects in demodulation requirements via dynamic TE decisions using known algorithms, e.g., applying timing offset reports in CJT</w:t>
      </w:r>
      <w:r w:rsidR="00606594">
        <w:t>.</w:t>
      </w:r>
    </w:p>
    <w:p w14:paraId="6D20E154" w14:textId="0582FE4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51776D3F" w14:textId="75C4D64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w:t>
      </w:r>
      <w:r w:rsidR="00606594">
        <w:rPr>
          <w:szCs w:val="24"/>
          <w:lang w:eastAsia="zh-CN"/>
        </w:rPr>
        <w:t>.</w:t>
      </w:r>
    </w:p>
    <w:p w14:paraId="21704206" w14:textId="55FD5D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w:t>
      </w:r>
      <w:r w:rsidR="00606594">
        <w:rPr>
          <w:szCs w:val="24"/>
          <w:lang w:eastAsia="zh-CN"/>
        </w:rPr>
        <w:t>.</w:t>
      </w:r>
    </w:p>
    <w:p w14:paraId="437818F6" w14:textId="3C45A8D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w:t>
      </w:r>
      <w:r w:rsidR="00606594">
        <w:rPr>
          <w:szCs w:val="24"/>
          <w:lang w:eastAsia="zh-CN"/>
        </w:rPr>
        <w:t>.</w:t>
      </w:r>
    </w:p>
    <w:p w14:paraId="35C41852" w14:textId="4E34CCA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w:t>
      </w:r>
      <w:r w:rsidR="00606594">
        <w:rPr>
          <w:szCs w:val="24"/>
          <w:lang w:eastAsia="zh-CN"/>
        </w:rPr>
        <w:t>.</w:t>
      </w:r>
    </w:p>
    <w:p w14:paraId="1BCC9AC7" w14:textId="6B95EAF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Network vendors to define time and frequency precompensation use cases, signalling, and procedures</w:t>
      </w:r>
      <w:r w:rsidR="00606594">
        <w:rPr>
          <w:szCs w:val="24"/>
          <w:lang w:eastAsia="zh-CN"/>
        </w:rPr>
        <w:t>.</w:t>
      </w:r>
    </w:p>
    <w:p w14:paraId="57EA85E9" w14:textId="1A5650C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Discuss the detailed procedure case by case for TO/FO/PO precompensation in TE side</w:t>
      </w:r>
      <w:r w:rsidR="00606594">
        <w:rPr>
          <w:szCs w:val="24"/>
          <w:lang w:eastAsia="zh-CN"/>
        </w:rPr>
        <w:t>.</w:t>
      </w:r>
    </w:p>
    <w:p w14:paraId="6F17B32B" w14:textId="77777777" w:rsidR="00904569" w:rsidRDefault="00904569">
      <w:pPr>
        <w:rPr>
          <w:b/>
          <w:u w:val="single"/>
          <w:lang w:eastAsia="ko-KR"/>
        </w:rPr>
      </w:pPr>
    </w:p>
    <w:p w14:paraId="7B4160C5" w14:textId="7C65BBFB" w:rsidR="00904569" w:rsidRDefault="00000000">
      <w:pPr>
        <w:rPr>
          <w:b/>
          <w:u w:val="single"/>
          <w:lang w:eastAsia="ko-KR"/>
        </w:rPr>
      </w:pPr>
      <w:r>
        <w:rPr>
          <w:b/>
          <w:u w:val="single"/>
          <w:lang w:eastAsia="ko-KR"/>
        </w:rPr>
        <w:t>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6091D7D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p>
    <w:p w14:paraId="08779E10" w14:textId="45F3A6C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w:t>
      </w:r>
    </w:p>
    <w:p w14:paraId="7B89E129" w14:textId="0EA91E1B"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w:t>
      </w:r>
      <w:r w:rsidR="00606594">
        <w:rPr>
          <w:lang w:eastAsia="sv-SE"/>
        </w:rPr>
        <w:t>.</w:t>
      </w:r>
    </w:p>
    <w:p w14:paraId="387CF157" w14:textId="469A0CE4" w:rsidR="00904569" w:rsidRPr="00606594" w:rsidRDefault="00000000" w:rsidP="00606594">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w:t>
      </w:r>
      <w:r w:rsidR="00606594">
        <w:rPr>
          <w:szCs w:val="24"/>
          <w:lang w:eastAsia="zh-CN"/>
        </w:rPr>
        <w:t>.</w:t>
      </w:r>
    </w:p>
    <w:p w14:paraId="12C4FBC1" w14:textId="77777777" w:rsidR="00606594" w:rsidRDefault="00606594" w:rsidP="00606594">
      <w:pPr>
        <w:rPr>
          <w:lang w:eastAsia="sv-SE"/>
        </w:rPr>
      </w:pP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F128" w14:textId="77777777" w:rsidR="00EB41E5" w:rsidRDefault="00EB41E5">
      <w:pPr>
        <w:spacing w:after="0"/>
      </w:pPr>
      <w:r>
        <w:separator/>
      </w:r>
    </w:p>
  </w:endnote>
  <w:endnote w:type="continuationSeparator" w:id="0">
    <w:p w14:paraId="4CE5DE2A" w14:textId="77777777" w:rsidR="00EB41E5" w:rsidRDefault="00EB41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2881" w14:textId="77777777" w:rsidR="00EB41E5" w:rsidRDefault="00EB41E5">
      <w:pPr>
        <w:spacing w:after="0"/>
      </w:pPr>
      <w:r>
        <w:separator/>
      </w:r>
    </w:p>
  </w:footnote>
  <w:footnote w:type="continuationSeparator" w:id="0">
    <w:p w14:paraId="565250B1" w14:textId="77777777" w:rsidR="00EB41E5" w:rsidRDefault="00EB41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A8D582B"/>
    <w:multiLevelType w:val="hybridMultilevel"/>
    <w:tmpl w:val="8912F1C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5B132E5A"/>
    <w:multiLevelType w:val="hybridMultilevel"/>
    <w:tmpl w:val="FB163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0A09CE"/>
    <w:multiLevelType w:val="hybridMultilevel"/>
    <w:tmpl w:val="6524710A"/>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1"/>
  </w:num>
  <w:num w:numId="7" w16cid:durableId="397939657">
    <w:abstractNumId w:val="12"/>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5"/>
  </w:num>
  <w:num w:numId="15" w16cid:durableId="152571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0334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111048">
    <w:abstractNumId w:val="13"/>
  </w:num>
  <w:num w:numId="18" w16cid:durableId="2052147046">
    <w:abstractNumId w:val="9"/>
  </w:num>
  <w:num w:numId="19" w16cid:durableId="1318261125">
    <w:abstractNumId w:val="14"/>
  </w:num>
  <w:num w:numId="20" w16cid:durableId="1356154686">
    <w:abstractNumId w:val="12"/>
    <w:lvlOverride w:ilvl="0"/>
    <w:lvlOverride w:ilvl="1"/>
    <w:lvlOverride w:ilvl="2"/>
    <w:lvlOverride w:ilvl="3"/>
    <w:lvlOverride w:ilvl="4"/>
    <w:lvlOverride w:ilvl="5"/>
    <w:lvlOverride w:ilvl="6"/>
    <w:lvlOverride w:ilvl="7"/>
    <w:lvlOverride w:ilvl="8"/>
  </w:num>
  <w:num w:numId="21" w16cid:durableId="65419118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53586"/>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1029"/>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6D67"/>
    <w:rsid w:val="001C7B73"/>
    <w:rsid w:val="001D0363"/>
    <w:rsid w:val="001D12B4"/>
    <w:rsid w:val="001D1B07"/>
    <w:rsid w:val="001D7D94"/>
    <w:rsid w:val="001E0A28"/>
    <w:rsid w:val="001E3848"/>
    <w:rsid w:val="001E4218"/>
    <w:rsid w:val="001E432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B7E39"/>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0659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6F73"/>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1094"/>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07B5"/>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263"/>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74CFD"/>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1525"/>
    <w:rsid w:val="00EB17A1"/>
    <w:rsid w:val="00EB41E5"/>
    <w:rsid w:val="00EB61AE"/>
    <w:rsid w:val="00EB6EB8"/>
    <w:rsid w:val="00EC322D"/>
    <w:rsid w:val="00ED2CEE"/>
    <w:rsid w:val="00ED383A"/>
    <w:rsid w:val="00ED400F"/>
    <w:rsid w:val="00ED653D"/>
    <w:rsid w:val="00EE1080"/>
    <w:rsid w:val="00EE3336"/>
    <w:rsid w:val="00EF197C"/>
    <w:rsid w:val="00EF1EC5"/>
    <w:rsid w:val="00EF4C88"/>
    <w:rsid w:val="00EF55EB"/>
    <w:rsid w:val="00EF581C"/>
    <w:rsid w:val="00F00DCC"/>
    <w:rsid w:val="00F0156F"/>
    <w:rsid w:val="00F034E3"/>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E66CD"/>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rsid w:val="00976F73"/>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976F73"/>
    <w:rPr>
      <w:rFonts w:ascii="Arial" w:hAnsi="Arial"/>
      <w:sz w:val="24"/>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678">
      <w:bodyDiv w:val="1"/>
      <w:marLeft w:val="0"/>
      <w:marRight w:val="0"/>
      <w:marTop w:val="0"/>
      <w:marBottom w:val="0"/>
      <w:divBdr>
        <w:top w:val="none" w:sz="0" w:space="0" w:color="auto"/>
        <w:left w:val="none" w:sz="0" w:space="0" w:color="auto"/>
        <w:bottom w:val="none" w:sz="0" w:space="0" w:color="auto"/>
        <w:right w:val="none" w:sz="0" w:space="0" w:color="auto"/>
      </w:divBdr>
    </w:div>
    <w:div w:id="52239534">
      <w:bodyDiv w:val="1"/>
      <w:marLeft w:val="0"/>
      <w:marRight w:val="0"/>
      <w:marTop w:val="0"/>
      <w:marBottom w:val="0"/>
      <w:divBdr>
        <w:top w:val="none" w:sz="0" w:space="0" w:color="auto"/>
        <w:left w:val="none" w:sz="0" w:space="0" w:color="auto"/>
        <w:bottom w:val="none" w:sz="0" w:space="0" w:color="auto"/>
        <w:right w:val="none" w:sz="0" w:space="0" w:color="auto"/>
      </w:divBdr>
    </w:div>
    <w:div w:id="121730145">
      <w:bodyDiv w:val="1"/>
      <w:marLeft w:val="0"/>
      <w:marRight w:val="0"/>
      <w:marTop w:val="0"/>
      <w:marBottom w:val="0"/>
      <w:divBdr>
        <w:top w:val="none" w:sz="0" w:space="0" w:color="auto"/>
        <w:left w:val="none" w:sz="0" w:space="0" w:color="auto"/>
        <w:bottom w:val="none" w:sz="0" w:space="0" w:color="auto"/>
        <w:right w:val="none" w:sz="0" w:space="0" w:color="auto"/>
      </w:divBdr>
    </w:div>
    <w:div w:id="227695445">
      <w:bodyDiv w:val="1"/>
      <w:marLeft w:val="0"/>
      <w:marRight w:val="0"/>
      <w:marTop w:val="0"/>
      <w:marBottom w:val="0"/>
      <w:divBdr>
        <w:top w:val="none" w:sz="0" w:space="0" w:color="auto"/>
        <w:left w:val="none" w:sz="0" w:space="0" w:color="auto"/>
        <w:bottom w:val="none" w:sz="0" w:space="0" w:color="auto"/>
        <w:right w:val="none" w:sz="0" w:space="0" w:color="auto"/>
      </w:divBdr>
    </w:div>
    <w:div w:id="268320372">
      <w:bodyDiv w:val="1"/>
      <w:marLeft w:val="0"/>
      <w:marRight w:val="0"/>
      <w:marTop w:val="0"/>
      <w:marBottom w:val="0"/>
      <w:divBdr>
        <w:top w:val="none" w:sz="0" w:space="0" w:color="auto"/>
        <w:left w:val="none" w:sz="0" w:space="0" w:color="auto"/>
        <w:bottom w:val="none" w:sz="0" w:space="0" w:color="auto"/>
        <w:right w:val="none" w:sz="0" w:space="0" w:color="auto"/>
      </w:divBdr>
    </w:div>
    <w:div w:id="271934025">
      <w:bodyDiv w:val="1"/>
      <w:marLeft w:val="0"/>
      <w:marRight w:val="0"/>
      <w:marTop w:val="0"/>
      <w:marBottom w:val="0"/>
      <w:divBdr>
        <w:top w:val="none" w:sz="0" w:space="0" w:color="auto"/>
        <w:left w:val="none" w:sz="0" w:space="0" w:color="auto"/>
        <w:bottom w:val="none" w:sz="0" w:space="0" w:color="auto"/>
        <w:right w:val="none" w:sz="0" w:space="0" w:color="auto"/>
      </w:divBdr>
    </w:div>
    <w:div w:id="272711366">
      <w:bodyDiv w:val="1"/>
      <w:marLeft w:val="0"/>
      <w:marRight w:val="0"/>
      <w:marTop w:val="0"/>
      <w:marBottom w:val="0"/>
      <w:divBdr>
        <w:top w:val="none" w:sz="0" w:space="0" w:color="auto"/>
        <w:left w:val="none" w:sz="0" w:space="0" w:color="auto"/>
        <w:bottom w:val="none" w:sz="0" w:space="0" w:color="auto"/>
        <w:right w:val="none" w:sz="0" w:space="0" w:color="auto"/>
      </w:divBdr>
    </w:div>
    <w:div w:id="457989443">
      <w:bodyDiv w:val="1"/>
      <w:marLeft w:val="0"/>
      <w:marRight w:val="0"/>
      <w:marTop w:val="0"/>
      <w:marBottom w:val="0"/>
      <w:divBdr>
        <w:top w:val="none" w:sz="0" w:space="0" w:color="auto"/>
        <w:left w:val="none" w:sz="0" w:space="0" w:color="auto"/>
        <w:bottom w:val="none" w:sz="0" w:space="0" w:color="auto"/>
        <w:right w:val="none" w:sz="0" w:space="0" w:color="auto"/>
      </w:divBdr>
    </w:div>
    <w:div w:id="505634172">
      <w:bodyDiv w:val="1"/>
      <w:marLeft w:val="0"/>
      <w:marRight w:val="0"/>
      <w:marTop w:val="0"/>
      <w:marBottom w:val="0"/>
      <w:divBdr>
        <w:top w:val="none" w:sz="0" w:space="0" w:color="auto"/>
        <w:left w:val="none" w:sz="0" w:space="0" w:color="auto"/>
        <w:bottom w:val="none" w:sz="0" w:space="0" w:color="auto"/>
        <w:right w:val="none" w:sz="0" w:space="0" w:color="auto"/>
      </w:divBdr>
    </w:div>
    <w:div w:id="529218945">
      <w:bodyDiv w:val="1"/>
      <w:marLeft w:val="0"/>
      <w:marRight w:val="0"/>
      <w:marTop w:val="0"/>
      <w:marBottom w:val="0"/>
      <w:divBdr>
        <w:top w:val="none" w:sz="0" w:space="0" w:color="auto"/>
        <w:left w:val="none" w:sz="0" w:space="0" w:color="auto"/>
        <w:bottom w:val="none" w:sz="0" w:space="0" w:color="auto"/>
        <w:right w:val="none" w:sz="0" w:space="0" w:color="auto"/>
      </w:divBdr>
    </w:div>
    <w:div w:id="553542455">
      <w:bodyDiv w:val="1"/>
      <w:marLeft w:val="0"/>
      <w:marRight w:val="0"/>
      <w:marTop w:val="0"/>
      <w:marBottom w:val="0"/>
      <w:divBdr>
        <w:top w:val="none" w:sz="0" w:space="0" w:color="auto"/>
        <w:left w:val="none" w:sz="0" w:space="0" w:color="auto"/>
        <w:bottom w:val="none" w:sz="0" w:space="0" w:color="auto"/>
        <w:right w:val="none" w:sz="0" w:space="0" w:color="auto"/>
      </w:divBdr>
    </w:div>
    <w:div w:id="561715027">
      <w:bodyDiv w:val="1"/>
      <w:marLeft w:val="0"/>
      <w:marRight w:val="0"/>
      <w:marTop w:val="0"/>
      <w:marBottom w:val="0"/>
      <w:divBdr>
        <w:top w:val="none" w:sz="0" w:space="0" w:color="auto"/>
        <w:left w:val="none" w:sz="0" w:space="0" w:color="auto"/>
        <w:bottom w:val="none" w:sz="0" w:space="0" w:color="auto"/>
        <w:right w:val="none" w:sz="0" w:space="0" w:color="auto"/>
      </w:divBdr>
    </w:div>
    <w:div w:id="685985623">
      <w:bodyDiv w:val="1"/>
      <w:marLeft w:val="0"/>
      <w:marRight w:val="0"/>
      <w:marTop w:val="0"/>
      <w:marBottom w:val="0"/>
      <w:divBdr>
        <w:top w:val="none" w:sz="0" w:space="0" w:color="auto"/>
        <w:left w:val="none" w:sz="0" w:space="0" w:color="auto"/>
        <w:bottom w:val="none" w:sz="0" w:space="0" w:color="auto"/>
        <w:right w:val="none" w:sz="0" w:space="0" w:color="auto"/>
      </w:divBdr>
    </w:div>
    <w:div w:id="819923473">
      <w:bodyDiv w:val="1"/>
      <w:marLeft w:val="0"/>
      <w:marRight w:val="0"/>
      <w:marTop w:val="0"/>
      <w:marBottom w:val="0"/>
      <w:divBdr>
        <w:top w:val="none" w:sz="0" w:space="0" w:color="auto"/>
        <w:left w:val="none" w:sz="0" w:space="0" w:color="auto"/>
        <w:bottom w:val="none" w:sz="0" w:space="0" w:color="auto"/>
        <w:right w:val="none" w:sz="0" w:space="0" w:color="auto"/>
      </w:divBdr>
    </w:div>
    <w:div w:id="829177830">
      <w:bodyDiv w:val="1"/>
      <w:marLeft w:val="0"/>
      <w:marRight w:val="0"/>
      <w:marTop w:val="0"/>
      <w:marBottom w:val="0"/>
      <w:divBdr>
        <w:top w:val="none" w:sz="0" w:space="0" w:color="auto"/>
        <w:left w:val="none" w:sz="0" w:space="0" w:color="auto"/>
        <w:bottom w:val="none" w:sz="0" w:space="0" w:color="auto"/>
        <w:right w:val="none" w:sz="0" w:space="0" w:color="auto"/>
      </w:divBdr>
    </w:div>
    <w:div w:id="832985457">
      <w:bodyDiv w:val="1"/>
      <w:marLeft w:val="0"/>
      <w:marRight w:val="0"/>
      <w:marTop w:val="0"/>
      <w:marBottom w:val="0"/>
      <w:divBdr>
        <w:top w:val="none" w:sz="0" w:space="0" w:color="auto"/>
        <w:left w:val="none" w:sz="0" w:space="0" w:color="auto"/>
        <w:bottom w:val="none" w:sz="0" w:space="0" w:color="auto"/>
        <w:right w:val="none" w:sz="0" w:space="0" w:color="auto"/>
      </w:divBdr>
    </w:div>
    <w:div w:id="881670960">
      <w:bodyDiv w:val="1"/>
      <w:marLeft w:val="0"/>
      <w:marRight w:val="0"/>
      <w:marTop w:val="0"/>
      <w:marBottom w:val="0"/>
      <w:divBdr>
        <w:top w:val="none" w:sz="0" w:space="0" w:color="auto"/>
        <w:left w:val="none" w:sz="0" w:space="0" w:color="auto"/>
        <w:bottom w:val="none" w:sz="0" w:space="0" w:color="auto"/>
        <w:right w:val="none" w:sz="0" w:space="0" w:color="auto"/>
      </w:divBdr>
    </w:div>
    <w:div w:id="1000347862">
      <w:bodyDiv w:val="1"/>
      <w:marLeft w:val="0"/>
      <w:marRight w:val="0"/>
      <w:marTop w:val="0"/>
      <w:marBottom w:val="0"/>
      <w:divBdr>
        <w:top w:val="none" w:sz="0" w:space="0" w:color="auto"/>
        <w:left w:val="none" w:sz="0" w:space="0" w:color="auto"/>
        <w:bottom w:val="none" w:sz="0" w:space="0" w:color="auto"/>
        <w:right w:val="none" w:sz="0" w:space="0" w:color="auto"/>
      </w:divBdr>
    </w:div>
    <w:div w:id="1022167095">
      <w:bodyDiv w:val="1"/>
      <w:marLeft w:val="0"/>
      <w:marRight w:val="0"/>
      <w:marTop w:val="0"/>
      <w:marBottom w:val="0"/>
      <w:divBdr>
        <w:top w:val="none" w:sz="0" w:space="0" w:color="auto"/>
        <w:left w:val="none" w:sz="0" w:space="0" w:color="auto"/>
        <w:bottom w:val="none" w:sz="0" w:space="0" w:color="auto"/>
        <w:right w:val="none" w:sz="0" w:space="0" w:color="auto"/>
      </w:divBdr>
    </w:div>
    <w:div w:id="1033767703">
      <w:bodyDiv w:val="1"/>
      <w:marLeft w:val="0"/>
      <w:marRight w:val="0"/>
      <w:marTop w:val="0"/>
      <w:marBottom w:val="0"/>
      <w:divBdr>
        <w:top w:val="none" w:sz="0" w:space="0" w:color="auto"/>
        <w:left w:val="none" w:sz="0" w:space="0" w:color="auto"/>
        <w:bottom w:val="none" w:sz="0" w:space="0" w:color="auto"/>
        <w:right w:val="none" w:sz="0" w:space="0" w:color="auto"/>
      </w:divBdr>
    </w:div>
    <w:div w:id="1087120343">
      <w:bodyDiv w:val="1"/>
      <w:marLeft w:val="0"/>
      <w:marRight w:val="0"/>
      <w:marTop w:val="0"/>
      <w:marBottom w:val="0"/>
      <w:divBdr>
        <w:top w:val="none" w:sz="0" w:space="0" w:color="auto"/>
        <w:left w:val="none" w:sz="0" w:space="0" w:color="auto"/>
        <w:bottom w:val="none" w:sz="0" w:space="0" w:color="auto"/>
        <w:right w:val="none" w:sz="0" w:space="0" w:color="auto"/>
      </w:divBdr>
    </w:div>
    <w:div w:id="1131246594">
      <w:bodyDiv w:val="1"/>
      <w:marLeft w:val="0"/>
      <w:marRight w:val="0"/>
      <w:marTop w:val="0"/>
      <w:marBottom w:val="0"/>
      <w:divBdr>
        <w:top w:val="none" w:sz="0" w:space="0" w:color="auto"/>
        <w:left w:val="none" w:sz="0" w:space="0" w:color="auto"/>
        <w:bottom w:val="none" w:sz="0" w:space="0" w:color="auto"/>
        <w:right w:val="none" w:sz="0" w:space="0" w:color="auto"/>
      </w:divBdr>
    </w:div>
    <w:div w:id="1180509712">
      <w:bodyDiv w:val="1"/>
      <w:marLeft w:val="0"/>
      <w:marRight w:val="0"/>
      <w:marTop w:val="0"/>
      <w:marBottom w:val="0"/>
      <w:divBdr>
        <w:top w:val="none" w:sz="0" w:space="0" w:color="auto"/>
        <w:left w:val="none" w:sz="0" w:space="0" w:color="auto"/>
        <w:bottom w:val="none" w:sz="0" w:space="0" w:color="auto"/>
        <w:right w:val="none" w:sz="0" w:space="0" w:color="auto"/>
      </w:divBdr>
    </w:div>
    <w:div w:id="1292247374">
      <w:bodyDiv w:val="1"/>
      <w:marLeft w:val="0"/>
      <w:marRight w:val="0"/>
      <w:marTop w:val="0"/>
      <w:marBottom w:val="0"/>
      <w:divBdr>
        <w:top w:val="none" w:sz="0" w:space="0" w:color="auto"/>
        <w:left w:val="none" w:sz="0" w:space="0" w:color="auto"/>
        <w:bottom w:val="none" w:sz="0" w:space="0" w:color="auto"/>
        <w:right w:val="none" w:sz="0" w:space="0" w:color="auto"/>
      </w:divBdr>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589343426">
      <w:bodyDiv w:val="1"/>
      <w:marLeft w:val="0"/>
      <w:marRight w:val="0"/>
      <w:marTop w:val="0"/>
      <w:marBottom w:val="0"/>
      <w:divBdr>
        <w:top w:val="none" w:sz="0" w:space="0" w:color="auto"/>
        <w:left w:val="none" w:sz="0" w:space="0" w:color="auto"/>
        <w:bottom w:val="none" w:sz="0" w:space="0" w:color="auto"/>
        <w:right w:val="none" w:sz="0" w:space="0" w:color="auto"/>
      </w:divBdr>
    </w:div>
    <w:div w:id="1599217575">
      <w:bodyDiv w:val="1"/>
      <w:marLeft w:val="0"/>
      <w:marRight w:val="0"/>
      <w:marTop w:val="0"/>
      <w:marBottom w:val="0"/>
      <w:divBdr>
        <w:top w:val="none" w:sz="0" w:space="0" w:color="auto"/>
        <w:left w:val="none" w:sz="0" w:space="0" w:color="auto"/>
        <w:bottom w:val="none" w:sz="0" w:space="0" w:color="auto"/>
        <w:right w:val="none" w:sz="0" w:space="0" w:color="auto"/>
      </w:divBdr>
    </w:div>
    <w:div w:id="1599827950">
      <w:bodyDiv w:val="1"/>
      <w:marLeft w:val="0"/>
      <w:marRight w:val="0"/>
      <w:marTop w:val="0"/>
      <w:marBottom w:val="0"/>
      <w:divBdr>
        <w:top w:val="none" w:sz="0" w:space="0" w:color="auto"/>
        <w:left w:val="none" w:sz="0" w:space="0" w:color="auto"/>
        <w:bottom w:val="none" w:sz="0" w:space="0" w:color="auto"/>
        <w:right w:val="none" w:sz="0" w:space="0" w:color="auto"/>
      </w:divBdr>
    </w:div>
    <w:div w:id="1670671644">
      <w:bodyDiv w:val="1"/>
      <w:marLeft w:val="0"/>
      <w:marRight w:val="0"/>
      <w:marTop w:val="0"/>
      <w:marBottom w:val="0"/>
      <w:divBdr>
        <w:top w:val="none" w:sz="0" w:space="0" w:color="auto"/>
        <w:left w:val="none" w:sz="0" w:space="0" w:color="auto"/>
        <w:bottom w:val="none" w:sz="0" w:space="0" w:color="auto"/>
        <w:right w:val="none" w:sz="0" w:space="0" w:color="auto"/>
      </w:divBdr>
    </w:div>
    <w:div w:id="1889216969">
      <w:bodyDiv w:val="1"/>
      <w:marLeft w:val="0"/>
      <w:marRight w:val="0"/>
      <w:marTop w:val="0"/>
      <w:marBottom w:val="0"/>
      <w:divBdr>
        <w:top w:val="none" w:sz="0" w:space="0" w:color="auto"/>
        <w:left w:val="none" w:sz="0" w:space="0" w:color="auto"/>
        <w:bottom w:val="none" w:sz="0" w:space="0" w:color="auto"/>
        <w:right w:val="none" w:sz="0" w:space="0" w:color="auto"/>
      </w:divBdr>
    </w:div>
    <w:div w:id="1929804306">
      <w:bodyDiv w:val="1"/>
      <w:marLeft w:val="0"/>
      <w:marRight w:val="0"/>
      <w:marTop w:val="0"/>
      <w:marBottom w:val="0"/>
      <w:divBdr>
        <w:top w:val="none" w:sz="0" w:space="0" w:color="auto"/>
        <w:left w:val="none" w:sz="0" w:space="0" w:color="auto"/>
        <w:bottom w:val="none" w:sz="0" w:space="0" w:color="auto"/>
        <w:right w:val="none" w:sz="0" w:space="0" w:color="auto"/>
      </w:divBdr>
    </w:div>
    <w:div w:id="1975910566">
      <w:bodyDiv w:val="1"/>
      <w:marLeft w:val="0"/>
      <w:marRight w:val="0"/>
      <w:marTop w:val="0"/>
      <w:marBottom w:val="0"/>
      <w:divBdr>
        <w:top w:val="none" w:sz="0" w:space="0" w:color="auto"/>
        <w:left w:val="none" w:sz="0" w:space="0" w:color="auto"/>
        <w:bottom w:val="none" w:sz="0" w:space="0" w:color="auto"/>
        <w:right w:val="none" w:sz="0" w:space="0" w:color="auto"/>
      </w:divBdr>
    </w:div>
    <w:div w:id="1989816723">
      <w:bodyDiv w:val="1"/>
      <w:marLeft w:val="0"/>
      <w:marRight w:val="0"/>
      <w:marTop w:val="0"/>
      <w:marBottom w:val="0"/>
      <w:divBdr>
        <w:top w:val="none" w:sz="0" w:space="0" w:color="auto"/>
        <w:left w:val="none" w:sz="0" w:space="0" w:color="auto"/>
        <w:bottom w:val="none" w:sz="0" w:space="0" w:color="auto"/>
        <w:right w:val="none" w:sz="0" w:space="0" w:color="auto"/>
      </w:divBdr>
    </w:div>
    <w:div w:id="2012566259">
      <w:bodyDiv w:val="1"/>
      <w:marLeft w:val="0"/>
      <w:marRight w:val="0"/>
      <w:marTop w:val="0"/>
      <w:marBottom w:val="0"/>
      <w:divBdr>
        <w:top w:val="none" w:sz="0" w:space="0" w:color="auto"/>
        <w:left w:val="none" w:sz="0" w:space="0" w:color="auto"/>
        <w:bottom w:val="none" w:sz="0" w:space="0" w:color="auto"/>
        <w:right w:val="none" w:sz="0" w:space="0" w:color="auto"/>
      </w:divBdr>
    </w:div>
    <w:div w:id="213713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90</TotalTime>
  <Pages>11</Pages>
  <Words>2269</Words>
  <Characters>18384</Characters>
  <Application>Microsoft Office Word</Application>
  <DocSecurity>0</DocSecurity>
  <Lines>153</Lines>
  <Paragraphs>41</Paragraphs>
  <ScaleCrop>false</ScaleCrop>
  <Company>MTK</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27</cp:revision>
  <cp:lastPrinted>2019-04-25T01:09:00Z</cp:lastPrinted>
  <dcterms:created xsi:type="dcterms:W3CDTF">2025-11-13T07:53:00Z</dcterms:created>
  <dcterms:modified xsi:type="dcterms:W3CDTF">2025-11-21T14:57:00Z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