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6CBD97D5" w:rsidR="00C73187" w:rsidRPr="00C46830"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w:t>
      </w:r>
      <w:r w:rsidRPr="00C46830">
        <w:rPr>
          <w:rFonts w:ascii="Arial" w:eastAsia="MS Gothic" w:hAnsi="Arial" w:cs="Arial"/>
          <w:b/>
          <w:bCs/>
          <w:sz w:val="24"/>
          <w:szCs w:val="24"/>
          <w:lang w:eastAsia="ja-JP"/>
        </w:rPr>
        <w:t xml:space="preserve">PP </w:t>
      </w:r>
      <w:r w:rsidR="00C46830">
        <w:rPr>
          <w:rFonts w:ascii="Arial" w:hAnsi="Arial" w:cs="Arial"/>
          <w:b/>
          <w:sz w:val="24"/>
          <w:szCs w:val="28"/>
        </w:rPr>
        <w:t>TSG RAN WG4 Meeting</w:t>
      </w:r>
      <w:r w:rsidRPr="00C46830">
        <w:rPr>
          <w:rFonts w:ascii="Arial" w:eastAsia="MS Gothic" w:hAnsi="Arial" w:cs="Arial"/>
          <w:b/>
          <w:bCs/>
          <w:sz w:val="24"/>
          <w:szCs w:val="24"/>
          <w:lang w:eastAsia="ja-JP"/>
        </w:rPr>
        <w:t xml:space="preserve"> #1</w:t>
      </w:r>
      <w:r w:rsidR="00DA3B65" w:rsidRPr="00C46830">
        <w:rPr>
          <w:rFonts w:ascii="Arial" w:eastAsia="MS Gothic" w:hAnsi="Arial" w:cs="Arial"/>
          <w:b/>
          <w:bCs/>
          <w:sz w:val="24"/>
          <w:szCs w:val="24"/>
          <w:lang w:eastAsia="ja-JP"/>
        </w:rPr>
        <w:t>1</w:t>
      </w:r>
      <w:r w:rsidR="0089755B">
        <w:rPr>
          <w:rFonts w:ascii="Arial" w:eastAsia="MS Gothic" w:hAnsi="Arial" w:cs="Arial"/>
          <w:b/>
          <w:bCs/>
          <w:sz w:val="24"/>
          <w:szCs w:val="24"/>
          <w:lang w:eastAsia="ja-JP"/>
        </w:rPr>
        <w:t>8</w:t>
      </w:r>
      <w:r w:rsidRPr="00C46830">
        <w:rPr>
          <w:rFonts w:ascii="Arial" w:eastAsia="MS Gothic" w:hAnsi="Arial"/>
          <w:sz w:val="24"/>
          <w:szCs w:val="24"/>
          <w:lang w:eastAsia="ja-JP"/>
        </w:rPr>
        <w:t xml:space="preserve">    </w:t>
      </w:r>
      <w:r w:rsidRPr="00C46830">
        <w:rPr>
          <w:rFonts w:ascii="Arial" w:eastAsia="MS Gothic" w:hAnsi="Arial"/>
          <w:sz w:val="24"/>
          <w:szCs w:val="24"/>
          <w:lang w:eastAsia="ja-JP"/>
        </w:rPr>
        <w:tab/>
      </w:r>
      <w:r w:rsidRPr="00C46830">
        <w:rPr>
          <w:rFonts w:ascii="Arial" w:eastAsia="MS Gothic" w:hAnsi="Arial"/>
          <w:sz w:val="24"/>
          <w:szCs w:val="24"/>
          <w:lang w:eastAsia="ja-JP"/>
        </w:rPr>
        <w:tab/>
        <w:t xml:space="preserve">                          </w:t>
      </w:r>
      <w:r w:rsidR="002539F2" w:rsidRPr="002539F2">
        <w:rPr>
          <w:rFonts w:ascii="Arial" w:eastAsia="MS Gothic" w:hAnsi="Arial"/>
          <w:b/>
          <w:sz w:val="24"/>
          <w:szCs w:val="24"/>
          <w:lang w:eastAsia="ja-JP"/>
        </w:rPr>
        <w:t>R4-2602124</w:t>
      </w:r>
    </w:p>
    <w:bookmarkEnd w:id="0"/>
    <w:p w14:paraId="47B02B9C" w14:textId="77777777" w:rsidR="00D7692E" w:rsidRPr="003E0111" w:rsidRDefault="00D7692E" w:rsidP="00D7692E">
      <w:pPr>
        <w:widowControl w:val="0"/>
        <w:spacing w:after="240" w:line="240" w:lineRule="auto"/>
        <w:rPr>
          <w:rFonts w:ascii="Arial" w:eastAsia="等线" w:hAnsi="Arial" w:cs="Arial"/>
          <w:b/>
          <w:bCs/>
          <w:sz w:val="24"/>
          <w:szCs w:val="24"/>
          <w:lang w:eastAsia="zh-CN"/>
        </w:rPr>
      </w:pPr>
      <w:r w:rsidRPr="003E0111">
        <w:rPr>
          <w:rFonts w:ascii="Arial" w:eastAsia="等线" w:hAnsi="Arial" w:cs="Arial"/>
          <w:b/>
          <w:bCs/>
          <w:sz w:val="24"/>
          <w:szCs w:val="24"/>
          <w:lang w:eastAsia="zh-CN"/>
        </w:rPr>
        <w:t>Gothenburg, Sweden, Feb. 09-13, 2026</w:t>
      </w:r>
    </w:p>
    <w:p w14:paraId="66297322" w14:textId="69FF13C8"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DA3B65">
        <w:rPr>
          <w:rFonts w:ascii="Arial" w:eastAsia="Malgun Gothic" w:hAnsi="Arial"/>
          <w:sz w:val="24"/>
          <w:szCs w:val="24"/>
          <w:lang w:eastAsia="ko-KR"/>
        </w:rPr>
        <w:t>7.6.4.2</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1F32F4B0" w:rsidR="00F44C59" w:rsidRPr="00DA3B65"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Malgun Gothic" w:hAnsi="Arial" w:cs="Arial"/>
          <w:sz w:val="24"/>
          <w:lang w:eastAsia="ko-KR"/>
        </w:rPr>
        <w:t>Discussion</w:t>
      </w:r>
      <w:r w:rsidR="009818A9">
        <w:rPr>
          <w:rFonts w:ascii="Arial" w:eastAsia="Malgun Gothic" w:hAnsi="Arial" w:cs="Arial"/>
          <w:sz w:val="24"/>
          <w:lang w:eastAsia="ko-KR"/>
        </w:rPr>
        <w:t xml:space="preserve"> </w:t>
      </w:r>
      <w:r w:rsidR="006061A8">
        <w:rPr>
          <w:rFonts w:ascii="Arial" w:eastAsia="Malgun Gothic" w:hAnsi="Arial" w:cs="Arial"/>
          <w:sz w:val="24"/>
          <w:lang w:eastAsia="ko-KR"/>
        </w:rPr>
        <w:t xml:space="preserve">on </w:t>
      </w:r>
      <w:r w:rsidR="00DA3B65" w:rsidRPr="00DA3B65">
        <w:rPr>
          <w:rFonts w:ascii="Arial" w:eastAsia="Malgun Gothic" w:hAnsi="Arial" w:cs="Arial"/>
          <w:sz w:val="24"/>
          <w:lang w:eastAsia="ko-KR"/>
        </w:rPr>
        <w:t>HD-FDD for Ku band with FR1 numerology</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宋体" w:cs="Arial"/>
          <w:kern w:val="28"/>
          <w:sz w:val="32"/>
          <w:szCs w:val="18"/>
          <w:lang w:eastAsia="zh-CN"/>
        </w:rPr>
      </w:pPr>
      <w:r>
        <w:rPr>
          <w:rFonts w:eastAsia="宋体" w:cs="Arial"/>
          <w:kern w:val="28"/>
          <w:sz w:val="32"/>
          <w:szCs w:val="18"/>
          <w:lang w:eastAsia="zh-CN"/>
        </w:rPr>
        <w:t>Introduction</w:t>
      </w:r>
    </w:p>
    <w:p w14:paraId="25B85A37" w14:textId="3DD4E99B" w:rsidR="00620779" w:rsidRPr="004522ED" w:rsidRDefault="004522ED" w:rsidP="004522ED">
      <w:pPr>
        <w:spacing w:beforeLines="50" w:before="120" w:afterLines="50" w:after="120"/>
        <w:rPr>
          <w:rFonts w:eastAsia="宋体"/>
        </w:rPr>
      </w:pPr>
      <w:bookmarkStart w:id="4" w:name="_Hlk145277988"/>
      <w:r>
        <w:rPr>
          <w:rFonts w:eastAsia="宋体" w:hint="eastAsia"/>
        </w:rPr>
        <w:t>I</w:t>
      </w:r>
      <w:r>
        <w:rPr>
          <w:rFonts w:eastAsia="宋体"/>
        </w:rPr>
        <w:t xml:space="preserve">n </w:t>
      </w:r>
      <w:r>
        <w:rPr>
          <w:rFonts w:eastAsia="宋体" w:hint="eastAsia"/>
          <w:lang w:eastAsia="zh-CN"/>
        </w:rPr>
        <w:t>the</w:t>
      </w:r>
      <w:r>
        <w:rPr>
          <w:rFonts w:eastAsia="宋体"/>
        </w:rPr>
        <w:t xml:space="preserve"> RAN4#11</w:t>
      </w:r>
      <w:r w:rsidR="00661472">
        <w:rPr>
          <w:rFonts w:eastAsia="宋体"/>
        </w:rPr>
        <w:t>7</w:t>
      </w:r>
      <w:r>
        <w:rPr>
          <w:rFonts w:eastAsia="宋体"/>
        </w:rPr>
        <w:t xml:space="preserve">, we have already discussed the RRM requirements </w:t>
      </w:r>
      <w:r w:rsidRPr="00803DEB">
        <w:rPr>
          <w:lang w:eastAsia="zh-CN"/>
        </w:rPr>
        <w:t>for HD-FDD for Ku band with FR1 numerology</w:t>
      </w:r>
      <w:r>
        <w:rPr>
          <w:rFonts w:eastAsia="宋体"/>
        </w:rPr>
        <w:t xml:space="preserve"> and latest agreements are included in [1]. There are still some </w:t>
      </w:r>
      <w:r w:rsidR="00661472">
        <w:rPr>
          <w:rFonts w:eastAsia="宋体"/>
        </w:rPr>
        <w:t>FFS issues</w:t>
      </w:r>
      <w:r>
        <w:rPr>
          <w:rFonts w:eastAsia="宋体"/>
        </w:rPr>
        <w:t xml:space="preserve"> in [1]. In this contribution, we continue to discuss the FFS parts of RRM requirements </w:t>
      </w:r>
      <w:r w:rsidRPr="00803DEB">
        <w:rPr>
          <w:lang w:eastAsia="zh-CN"/>
        </w:rPr>
        <w:t>for HD-FDD</w:t>
      </w:r>
      <w:r w:rsidR="00EC66F5">
        <w:rPr>
          <w:lang w:eastAsia="zh-CN"/>
        </w:rPr>
        <w:t xml:space="preserve"> VSAT</w:t>
      </w:r>
      <w:r w:rsidRPr="00803DEB">
        <w:rPr>
          <w:lang w:eastAsia="zh-CN"/>
        </w:rPr>
        <w:t xml:space="preserve"> for Ku band with FR1 numerology</w:t>
      </w:r>
      <w:r>
        <w:rPr>
          <w:rFonts w:eastAsia="宋体"/>
        </w:rPr>
        <w:t>.</w:t>
      </w:r>
    </w:p>
    <w:p w14:paraId="60C5BAF8" w14:textId="28902AE4" w:rsidR="00CC3DEA" w:rsidRDefault="00CC3DEA">
      <w:pPr>
        <w:spacing w:after="0" w:line="240" w:lineRule="auto"/>
        <w:rPr>
          <w:rFonts w:eastAsia="MS Gothic"/>
          <w:szCs w:val="16"/>
          <w:lang w:eastAsia="ko-KR"/>
        </w:rPr>
      </w:pPr>
    </w:p>
    <w:bookmarkEnd w:id="1"/>
    <w:p w14:paraId="572C5A52" w14:textId="6BE4B465" w:rsidR="003B56F4" w:rsidRPr="00340B1A" w:rsidRDefault="00244640" w:rsidP="00C1172E">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Discussion</w:t>
      </w:r>
      <w:r w:rsidR="000664C4">
        <w:rPr>
          <w:rFonts w:ascii="Arial" w:eastAsia="宋体" w:hAnsi="Arial" w:cs="Arial"/>
          <w:kern w:val="28"/>
          <w:sz w:val="32"/>
          <w:szCs w:val="18"/>
          <w:lang w:eastAsia="zh-CN"/>
        </w:rPr>
        <w:t xml:space="preserve"> </w:t>
      </w:r>
    </w:p>
    <w:p w14:paraId="214ADE2F" w14:textId="008E0014" w:rsidR="0058231F" w:rsidRDefault="0058231F" w:rsidP="005F57E0">
      <w:pPr>
        <w:pStyle w:val="afc"/>
        <w:rPr>
          <w:rFonts w:ascii="Times New Roman" w:eastAsia="宋体" w:hAnsi="Times New Roman" w:cs="Times New Roman"/>
          <w:sz w:val="20"/>
          <w:szCs w:val="20"/>
        </w:rPr>
      </w:pPr>
      <w:r>
        <w:rPr>
          <w:rFonts w:ascii="Times New Roman" w:eastAsia="等线" w:hAnsi="Times New Roman" w:cs="Times New Roman" w:hint="eastAsia"/>
          <w:sz w:val="20"/>
          <w:szCs w:val="16"/>
          <w:lang w:eastAsia="zh-CN"/>
        </w:rPr>
        <w:t>I</w:t>
      </w:r>
      <w:r>
        <w:rPr>
          <w:rFonts w:ascii="Times New Roman" w:eastAsia="等线" w:hAnsi="Times New Roman" w:cs="Times New Roman"/>
          <w:sz w:val="20"/>
          <w:szCs w:val="16"/>
          <w:lang w:eastAsia="zh-CN"/>
        </w:rPr>
        <w:t>n the RAN4#11</w:t>
      </w:r>
      <w:r w:rsidR="00661472">
        <w:rPr>
          <w:rFonts w:ascii="Times New Roman" w:eastAsia="等线" w:hAnsi="Times New Roman" w:cs="Times New Roman"/>
          <w:sz w:val="20"/>
          <w:szCs w:val="16"/>
          <w:lang w:eastAsia="zh-CN"/>
        </w:rPr>
        <w:t>7</w:t>
      </w:r>
      <w:r>
        <w:rPr>
          <w:rFonts w:ascii="Times New Roman" w:eastAsia="等线" w:hAnsi="Times New Roman" w:cs="Times New Roman"/>
          <w:sz w:val="20"/>
          <w:szCs w:val="16"/>
          <w:lang w:eastAsia="zh-CN"/>
        </w:rPr>
        <w:t xml:space="preserve"> meeting, </w:t>
      </w:r>
      <w:r w:rsidR="004522ED" w:rsidRPr="00656AB9">
        <w:rPr>
          <w:rFonts w:ascii="Times New Roman" w:eastAsia="宋体" w:hAnsi="Times New Roman" w:cs="Times New Roman"/>
          <w:sz w:val="20"/>
          <w:szCs w:val="20"/>
        </w:rPr>
        <w:t>the potential issues for further discussion are captured in WF [1] as below:</w:t>
      </w:r>
    </w:p>
    <w:tbl>
      <w:tblPr>
        <w:tblStyle w:val="af2"/>
        <w:tblW w:w="0" w:type="auto"/>
        <w:tblLook w:val="04A0" w:firstRow="1" w:lastRow="0" w:firstColumn="1" w:lastColumn="0" w:noHBand="0" w:noVBand="1"/>
      </w:tblPr>
      <w:tblGrid>
        <w:gridCol w:w="9737"/>
      </w:tblGrid>
      <w:tr w:rsidR="00661472" w14:paraId="349D5E55" w14:textId="77777777" w:rsidTr="00661472">
        <w:tc>
          <w:tcPr>
            <w:tcW w:w="9737" w:type="dxa"/>
          </w:tcPr>
          <w:p w14:paraId="40C61E0A" w14:textId="77777777" w:rsidR="00661472" w:rsidRPr="00661472" w:rsidRDefault="00661472" w:rsidP="00661472">
            <w:pPr>
              <w:keepNext/>
              <w:keepLines/>
              <w:spacing w:before="120" w:line="240" w:lineRule="auto"/>
              <w:ind w:left="864" w:hanging="864"/>
              <w:outlineLvl w:val="3"/>
              <w:rPr>
                <w:rFonts w:ascii="Arial" w:eastAsia="宋体" w:hAnsi="Arial"/>
                <w:sz w:val="24"/>
                <w:szCs w:val="18"/>
                <w:lang w:val="sv-SE" w:eastAsia="zh-CN"/>
              </w:rPr>
            </w:pPr>
            <w:r w:rsidRPr="00661472">
              <w:rPr>
                <w:rFonts w:ascii="Arial" w:eastAsia="宋体" w:hAnsi="Arial"/>
                <w:sz w:val="24"/>
                <w:szCs w:val="18"/>
                <w:lang w:val="sv-SE" w:eastAsia="zh-CN"/>
              </w:rPr>
              <w:t>Issue 2-1-1: RRM requirements scope for HD-FDD VSAT with FR1 numerology</w:t>
            </w:r>
          </w:p>
          <w:p w14:paraId="0B7B4D7D" w14:textId="77777777" w:rsidR="00661472" w:rsidRPr="00661472" w:rsidRDefault="00661472" w:rsidP="00661472">
            <w:pPr>
              <w:spacing w:line="240" w:lineRule="auto"/>
              <w:rPr>
                <w:rFonts w:eastAsia="宋体"/>
                <w:lang w:val="sv-SE" w:eastAsia="zh-CN"/>
              </w:rPr>
            </w:pPr>
            <w:r w:rsidRPr="00661472">
              <w:rPr>
                <w:rFonts w:eastAsia="宋体"/>
                <w:lang w:val="sv-SE" w:eastAsia="zh-CN"/>
              </w:rPr>
              <w:t>Agreement</w:t>
            </w:r>
          </w:p>
          <w:p w14:paraId="14585E73" w14:textId="77777777" w:rsidR="00661472" w:rsidRPr="00661472" w:rsidRDefault="00661472" w:rsidP="00661472">
            <w:pPr>
              <w:numPr>
                <w:ilvl w:val="0"/>
                <w:numId w:val="25"/>
              </w:numPr>
              <w:overflowPunct w:val="0"/>
              <w:autoSpaceDE w:val="0"/>
              <w:autoSpaceDN w:val="0"/>
              <w:adjustRightInd w:val="0"/>
              <w:spacing w:after="120" w:line="240" w:lineRule="auto"/>
              <w:rPr>
                <w:rFonts w:eastAsia="MS Mincho"/>
                <w:lang w:val="en-GB"/>
              </w:rPr>
            </w:pPr>
            <w:r w:rsidRPr="00661472">
              <w:rPr>
                <w:rFonts w:eastAsia="MS Mincho"/>
                <w:lang w:val="en-GB"/>
              </w:rPr>
              <w:t>RAN4 to confirm that VSATs in Ku bands with FR1 numerology does not take inter-satellite measurements into this WI scope.</w:t>
            </w:r>
          </w:p>
          <w:p w14:paraId="1D2C116F" w14:textId="77777777" w:rsidR="00661472" w:rsidRPr="00661472" w:rsidRDefault="00661472" w:rsidP="00661472">
            <w:pPr>
              <w:numPr>
                <w:ilvl w:val="0"/>
                <w:numId w:val="25"/>
              </w:numPr>
              <w:overflowPunct w:val="0"/>
              <w:autoSpaceDE w:val="0"/>
              <w:autoSpaceDN w:val="0"/>
              <w:adjustRightInd w:val="0"/>
              <w:spacing w:after="120" w:line="240" w:lineRule="auto"/>
              <w:rPr>
                <w:rFonts w:eastAsia="MS Mincho"/>
                <w:lang w:val="en-GB"/>
              </w:rPr>
            </w:pPr>
            <w:r w:rsidRPr="00661472">
              <w:rPr>
                <w:rFonts w:eastAsia="MS Mincho"/>
                <w:lang w:val="en-GB"/>
              </w:rPr>
              <w:t>Discuss whether to capture requirement applicability rule regarding the VSAT types,</w:t>
            </w:r>
          </w:p>
          <w:p w14:paraId="3EA596E2" w14:textId="77777777" w:rsidR="00661472" w:rsidRPr="00661472" w:rsidRDefault="00661472" w:rsidP="00661472">
            <w:pPr>
              <w:numPr>
                <w:ilvl w:val="1"/>
                <w:numId w:val="25"/>
              </w:numPr>
              <w:overflowPunct w:val="0"/>
              <w:autoSpaceDE w:val="0"/>
              <w:autoSpaceDN w:val="0"/>
              <w:adjustRightInd w:val="0"/>
              <w:spacing w:after="120" w:line="240" w:lineRule="auto"/>
              <w:rPr>
                <w:rFonts w:eastAsia="MS Mincho"/>
                <w:lang w:val="en-GB"/>
              </w:rPr>
            </w:pPr>
            <w:r w:rsidRPr="00661472">
              <w:rPr>
                <w:rFonts w:eastAsia="MS Mincho"/>
                <w:lang w:val="en-GB"/>
              </w:rPr>
              <w:t>Option 1: clarify the HD-FDD VSAT</w:t>
            </w:r>
            <w:r w:rsidRPr="00661472">
              <w:rPr>
                <w:rFonts w:ascii="PMingLiU" w:eastAsia="PMingLiU" w:hAnsi="PMingLiU" w:hint="eastAsia"/>
                <w:lang w:val="en-GB" w:eastAsia="zh-TW"/>
              </w:rPr>
              <w:t xml:space="preserve"> </w:t>
            </w:r>
            <w:r w:rsidRPr="00661472">
              <w:rPr>
                <w:rFonts w:eastAsia="MS Mincho"/>
                <w:lang w:val="en-GB"/>
              </w:rPr>
              <w:t>requirements applicability in clause 3 in CR</w:t>
            </w:r>
          </w:p>
          <w:p w14:paraId="41BAC17B" w14:textId="6D599A35" w:rsidR="00661472" w:rsidRPr="00661472" w:rsidRDefault="00661472" w:rsidP="00661472">
            <w:pPr>
              <w:numPr>
                <w:ilvl w:val="1"/>
                <w:numId w:val="25"/>
              </w:numPr>
              <w:overflowPunct w:val="0"/>
              <w:autoSpaceDE w:val="0"/>
              <w:autoSpaceDN w:val="0"/>
              <w:adjustRightInd w:val="0"/>
              <w:spacing w:after="120" w:line="240" w:lineRule="auto"/>
              <w:rPr>
                <w:rFonts w:eastAsia="MS Mincho"/>
                <w:lang w:val="en-GB"/>
              </w:rPr>
            </w:pPr>
            <w:r w:rsidRPr="00661472">
              <w:rPr>
                <w:rFonts w:eastAsia="MS Mincho"/>
                <w:lang w:val="en-GB"/>
              </w:rPr>
              <w:t>Option 2: no applicability rule for VSAT type needed.</w:t>
            </w:r>
          </w:p>
        </w:tc>
      </w:tr>
    </w:tbl>
    <w:p w14:paraId="5704E783" w14:textId="21FA57E6" w:rsidR="001B3E12" w:rsidRPr="00E26846" w:rsidRDefault="00E26846" w:rsidP="002641CA">
      <w:pPr>
        <w:pStyle w:val="afc"/>
        <w:jc w:val="both"/>
        <w:rPr>
          <w:rFonts w:ascii="Times New Roman" w:eastAsia="等线" w:hAnsi="Times New Roman" w:cs="Times New Roman"/>
          <w:sz w:val="20"/>
          <w:szCs w:val="20"/>
          <w:lang w:val="x-none" w:eastAsia="zh-CN"/>
        </w:rPr>
      </w:pPr>
      <w:r>
        <w:rPr>
          <w:rFonts w:ascii="Times New Roman" w:eastAsia="等线" w:hAnsi="Times New Roman" w:cs="Times New Roman" w:hint="eastAsia"/>
          <w:sz w:val="20"/>
          <w:szCs w:val="20"/>
          <w:lang w:eastAsia="zh-CN"/>
        </w:rPr>
        <w:t>I</w:t>
      </w:r>
      <w:r>
        <w:rPr>
          <w:rFonts w:ascii="Times New Roman" w:eastAsia="等线" w:hAnsi="Times New Roman" w:cs="Times New Roman"/>
          <w:sz w:val="20"/>
          <w:szCs w:val="20"/>
          <w:lang w:eastAsia="zh-CN"/>
        </w:rPr>
        <w:t xml:space="preserve">n WID, </w:t>
      </w:r>
      <w:r w:rsidR="002641CA">
        <w:rPr>
          <w:rFonts w:ascii="Times New Roman" w:eastAsia="等线" w:hAnsi="Times New Roman" w:cs="Times New Roman"/>
          <w:sz w:val="20"/>
          <w:szCs w:val="20"/>
          <w:lang w:eastAsia="zh-CN"/>
        </w:rPr>
        <w:t>t</w:t>
      </w:r>
      <w:r>
        <w:rPr>
          <w:rFonts w:ascii="Times New Roman" w:eastAsia="等线" w:hAnsi="Times New Roman" w:cs="Times New Roman"/>
          <w:sz w:val="20"/>
          <w:szCs w:val="20"/>
          <w:lang w:eastAsia="zh-CN"/>
        </w:rPr>
        <w:t xml:space="preserve">he objective of the WI </w:t>
      </w:r>
      <w:r w:rsidR="002641CA">
        <w:rPr>
          <w:rFonts w:ascii="Times New Roman" w:eastAsia="等线" w:hAnsi="Times New Roman" w:cs="Times New Roman"/>
          <w:sz w:val="20"/>
          <w:szCs w:val="20"/>
          <w:lang w:eastAsia="zh-CN"/>
        </w:rPr>
        <w:t>is</w:t>
      </w:r>
      <w:r>
        <w:rPr>
          <w:rFonts w:ascii="Times New Roman" w:eastAsia="等线" w:hAnsi="Times New Roman" w:cs="Times New Roman"/>
          <w:sz w:val="20"/>
          <w:szCs w:val="20"/>
          <w:lang w:eastAsia="zh-CN"/>
        </w:rPr>
        <w:t xml:space="preserve"> to i</w:t>
      </w:r>
      <w:r w:rsidRPr="00E26846">
        <w:rPr>
          <w:rFonts w:ascii="Times New Roman" w:eastAsia="等线" w:hAnsi="Times New Roman" w:cs="Times New Roman"/>
          <w:sz w:val="20"/>
          <w:szCs w:val="20"/>
          <w:lang w:eastAsia="zh-CN"/>
        </w:rPr>
        <w:t>ntroduce a single set of requirements for HD-FDD for VSAT types 2, 3, 5, 6 with electronically steered antenna</w:t>
      </w:r>
      <w:r>
        <w:rPr>
          <w:rFonts w:ascii="Times New Roman" w:eastAsia="等线" w:hAnsi="Times New Roman" w:cs="Times New Roman"/>
          <w:sz w:val="20"/>
          <w:szCs w:val="20"/>
          <w:lang w:eastAsia="zh-CN"/>
        </w:rPr>
        <w:t xml:space="preserve"> and </w:t>
      </w:r>
      <w:r w:rsidRPr="00E26846">
        <w:rPr>
          <w:rFonts w:ascii="Times New Roman" w:eastAsia="等线" w:hAnsi="Times New Roman" w:cs="Times New Roman"/>
          <w:sz w:val="20"/>
          <w:szCs w:val="20"/>
          <w:lang w:eastAsia="zh-CN"/>
        </w:rPr>
        <w:t>Mobile VSAT with small antennas (e.g., 20x20cm) with a new VSAT type</w:t>
      </w:r>
      <w:r>
        <w:rPr>
          <w:rFonts w:ascii="Times New Roman" w:eastAsia="等线" w:hAnsi="Times New Roman" w:cs="Times New Roman"/>
          <w:sz w:val="20"/>
          <w:szCs w:val="20"/>
          <w:lang w:eastAsia="zh-CN"/>
        </w:rPr>
        <w:t xml:space="preserve">. </w:t>
      </w:r>
      <w:r w:rsidR="002641CA" w:rsidRPr="002641CA">
        <w:rPr>
          <w:rFonts w:ascii="Times New Roman" w:eastAsia="等线" w:hAnsi="Times New Roman" w:cs="Times New Roman"/>
          <w:sz w:val="20"/>
          <w:szCs w:val="20"/>
          <w:lang w:eastAsia="zh-CN"/>
        </w:rPr>
        <w:t>When the relevant requirements are defined, it is necessary to clearly describe the applicable VSAT types for these requirements. If the applicability of HD-FDD VSAT requirements is not clarified in clause 3 of the CR, then each requirement</w:t>
      </w:r>
      <w:r w:rsidR="002641CA">
        <w:rPr>
          <w:rFonts w:ascii="Times New Roman" w:eastAsia="等线" w:hAnsi="Times New Roman" w:cs="Times New Roman"/>
          <w:sz w:val="20"/>
          <w:szCs w:val="20"/>
          <w:lang w:eastAsia="zh-CN"/>
        </w:rPr>
        <w:t xml:space="preserve"> shall </w:t>
      </w:r>
      <w:r w:rsidR="002641CA" w:rsidRPr="002641CA">
        <w:rPr>
          <w:rFonts w:ascii="Times New Roman" w:eastAsia="等线" w:hAnsi="Times New Roman" w:cs="Times New Roman"/>
          <w:sz w:val="20"/>
          <w:szCs w:val="20"/>
          <w:lang w:eastAsia="zh-CN"/>
        </w:rPr>
        <w:t>specify the applicable HD-FDD VSAT types, leading to some redundant wording. Therefore, we prefer Option 1, which clarifies the applicability of HD-FDD VSAT requirements in clause 3 of the CR.</w:t>
      </w:r>
    </w:p>
    <w:tbl>
      <w:tblPr>
        <w:tblStyle w:val="af2"/>
        <w:tblW w:w="0" w:type="auto"/>
        <w:tblLook w:val="04A0" w:firstRow="1" w:lastRow="0" w:firstColumn="1" w:lastColumn="0" w:noHBand="0" w:noVBand="1"/>
      </w:tblPr>
      <w:tblGrid>
        <w:gridCol w:w="9737"/>
      </w:tblGrid>
      <w:tr w:rsidR="00E26846" w14:paraId="6260A20F" w14:textId="77777777" w:rsidTr="00E26846">
        <w:tc>
          <w:tcPr>
            <w:tcW w:w="9737" w:type="dxa"/>
          </w:tcPr>
          <w:p w14:paraId="56F57E87" w14:textId="77777777" w:rsidR="00E26846" w:rsidRPr="002641CA" w:rsidRDefault="00E26846" w:rsidP="00E26846">
            <w:pPr>
              <w:rPr>
                <w:u w:val="single"/>
              </w:rPr>
            </w:pPr>
            <w:r w:rsidRPr="002641CA">
              <w:rPr>
                <w:u w:val="single"/>
              </w:rPr>
              <w:t>HD-FDD for NTN Core Part</w:t>
            </w:r>
          </w:p>
          <w:p w14:paraId="2303D87D" w14:textId="77777777" w:rsidR="00E26846" w:rsidRPr="002641CA" w:rsidRDefault="00E26846" w:rsidP="00E26846">
            <w:pPr>
              <w:pStyle w:val="afd"/>
              <w:numPr>
                <w:ilvl w:val="0"/>
                <w:numId w:val="13"/>
              </w:numPr>
              <w:overflowPunct w:val="0"/>
              <w:autoSpaceDE w:val="0"/>
              <w:autoSpaceDN w:val="0"/>
              <w:adjustRightInd w:val="0"/>
              <w:spacing w:line="240" w:lineRule="auto"/>
              <w:ind w:left="810" w:hanging="450"/>
              <w:contextualSpacing/>
              <w:rPr>
                <w:rFonts w:ascii="Times New Roman" w:hAnsi="Times New Roman"/>
                <w:sz w:val="20"/>
                <w:szCs w:val="20"/>
              </w:rPr>
            </w:pPr>
            <w:r w:rsidRPr="002641CA">
              <w:rPr>
                <w:rFonts w:ascii="Times New Roman" w:hAnsi="Times New Roman"/>
                <w:sz w:val="20"/>
                <w:szCs w:val="20"/>
              </w:rPr>
              <w:t>Specify RF and RRM requirements to support HD-FDD VSATs in both Ka and Ku bands with FR1 and FR2 numerologies</w:t>
            </w:r>
          </w:p>
          <w:p w14:paraId="6594E5E9" w14:textId="77777777" w:rsidR="00E26846" w:rsidRPr="002641CA" w:rsidRDefault="00E26846" w:rsidP="00E26846">
            <w:pPr>
              <w:pStyle w:val="afd"/>
              <w:numPr>
                <w:ilvl w:val="0"/>
                <w:numId w:val="14"/>
              </w:numPr>
              <w:spacing w:line="240" w:lineRule="auto"/>
              <w:contextualSpacing/>
              <w:rPr>
                <w:rFonts w:ascii="Times New Roman" w:hAnsi="Times New Roman"/>
                <w:sz w:val="20"/>
                <w:szCs w:val="20"/>
              </w:rPr>
            </w:pPr>
            <w:r w:rsidRPr="002641CA">
              <w:rPr>
                <w:rFonts w:ascii="Times New Roman" w:hAnsi="Times New Roman"/>
                <w:sz w:val="20"/>
                <w:szCs w:val="20"/>
              </w:rPr>
              <w:t>Phase 1: Ku</w:t>
            </w:r>
            <w:r w:rsidRPr="002641CA">
              <w:rPr>
                <w:rFonts w:ascii="Times New Roman" w:hAnsi="Times New Roman"/>
                <w:sz w:val="20"/>
                <w:szCs w:val="20"/>
                <w:lang w:eastAsia="ko-KR"/>
              </w:rPr>
              <w:t xml:space="preserve"> band with </w:t>
            </w:r>
            <w:r w:rsidRPr="002641CA">
              <w:rPr>
                <w:rFonts w:ascii="Times New Roman" w:hAnsi="Times New Roman"/>
                <w:sz w:val="20"/>
                <w:szCs w:val="20"/>
              </w:rPr>
              <w:t>FR1 numerology</w:t>
            </w:r>
          </w:p>
          <w:p w14:paraId="1C4505D2" w14:textId="77777777" w:rsidR="00E26846" w:rsidRPr="002641CA" w:rsidRDefault="00E26846" w:rsidP="00E26846">
            <w:pPr>
              <w:pStyle w:val="afd"/>
              <w:numPr>
                <w:ilvl w:val="1"/>
                <w:numId w:val="14"/>
              </w:numPr>
              <w:spacing w:line="240" w:lineRule="auto"/>
              <w:contextualSpacing/>
              <w:rPr>
                <w:rFonts w:ascii="Times New Roman" w:hAnsi="Times New Roman"/>
                <w:bCs/>
                <w:sz w:val="20"/>
                <w:szCs w:val="20"/>
              </w:rPr>
            </w:pPr>
            <w:r w:rsidRPr="002641CA">
              <w:rPr>
                <w:rFonts w:ascii="Times New Roman" w:hAnsi="Times New Roman"/>
                <w:bCs/>
                <w:sz w:val="20"/>
                <w:szCs w:val="20"/>
              </w:rPr>
              <w:t>Introduce a single set of requirements for HD-FDD for VSAT types 2, 3, 5, 6 with electronically steered antenna</w:t>
            </w:r>
          </w:p>
          <w:p w14:paraId="25B66C2C" w14:textId="0E90F938" w:rsidR="00E26846" w:rsidRPr="00E26846" w:rsidRDefault="00E26846" w:rsidP="00E26846">
            <w:pPr>
              <w:pStyle w:val="afd"/>
              <w:numPr>
                <w:ilvl w:val="1"/>
                <w:numId w:val="14"/>
              </w:numPr>
              <w:spacing w:line="240" w:lineRule="auto"/>
              <w:contextualSpacing/>
              <w:rPr>
                <w:rFonts w:ascii="Times New Roman" w:hAnsi="Times New Roman"/>
                <w:bCs/>
              </w:rPr>
            </w:pPr>
            <w:r w:rsidRPr="002641CA">
              <w:rPr>
                <w:rFonts w:ascii="Times New Roman" w:hAnsi="Times New Roman"/>
                <w:bCs/>
                <w:sz w:val="20"/>
                <w:szCs w:val="20"/>
              </w:rPr>
              <w:t xml:space="preserve">Introduce requirements for HD-FDD </w:t>
            </w:r>
            <w:r w:rsidRPr="002641CA">
              <w:rPr>
                <w:rFonts w:ascii="Times New Roman" w:hAnsi="Times New Roman"/>
                <w:bCs/>
                <w:sz w:val="20"/>
                <w:szCs w:val="20"/>
                <w:lang w:eastAsia="ko-KR"/>
              </w:rPr>
              <w:t xml:space="preserve">Mobile </w:t>
            </w:r>
            <w:r w:rsidRPr="002641CA">
              <w:rPr>
                <w:rFonts w:ascii="Times New Roman" w:hAnsi="Times New Roman"/>
                <w:bCs/>
                <w:sz w:val="20"/>
                <w:szCs w:val="20"/>
              </w:rPr>
              <w:t>VSAT with small antennas (e.g., 20x20cm) with a new VSAT type</w:t>
            </w:r>
          </w:p>
        </w:tc>
      </w:tr>
    </w:tbl>
    <w:p w14:paraId="4460E728" w14:textId="754927E5" w:rsidR="00E26846" w:rsidRPr="002641CA" w:rsidRDefault="002641CA" w:rsidP="009C4AD5">
      <w:pPr>
        <w:pStyle w:val="afc"/>
        <w:rPr>
          <w:rFonts w:ascii="Times New Roman" w:eastAsiaTheme="minorEastAsia"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1</w:t>
      </w:r>
      <w:r w:rsidRPr="00F2553E">
        <w:rPr>
          <w:rFonts w:ascii="Times New Roman" w:eastAsia="MS Gothic" w:hAnsi="Times New Roman" w:cs="Times New Roman" w:hint="eastAsia"/>
          <w:b/>
          <w:bCs/>
          <w:sz w:val="20"/>
          <w:szCs w:val="16"/>
          <w:u w:val="single"/>
        </w:rPr>
        <w:t xml:space="preserve">: </w:t>
      </w:r>
      <w:r>
        <w:rPr>
          <w:rFonts w:ascii="Times New Roman" w:eastAsia="MS Gothic" w:hAnsi="Times New Roman" w:cs="Times New Roman"/>
          <w:b/>
          <w:bCs/>
          <w:sz w:val="20"/>
          <w:szCs w:val="16"/>
          <w:u w:val="single"/>
        </w:rPr>
        <w:t xml:space="preserve">RAN4 to </w:t>
      </w:r>
      <w:r w:rsidRPr="002641CA">
        <w:rPr>
          <w:rFonts w:ascii="Times New Roman" w:eastAsia="MS Gothic" w:hAnsi="Times New Roman" w:cs="Times New Roman"/>
          <w:b/>
          <w:bCs/>
          <w:sz w:val="20"/>
          <w:szCs w:val="16"/>
          <w:u w:val="single"/>
        </w:rPr>
        <w:t>clarify the HD-FDD VSAT requirements applicability in clause 3 in CR</w:t>
      </w:r>
      <w:r w:rsidRPr="00B67D52">
        <w:rPr>
          <w:rFonts w:ascii="Times New Roman" w:eastAsia="MS Gothic" w:hAnsi="Times New Roman" w:cs="Times New Roman"/>
          <w:b/>
          <w:bCs/>
          <w:sz w:val="20"/>
          <w:szCs w:val="16"/>
          <w:u w:val="single"/>
        </w:rPr>
        <w:t>.</w:t>
      </w:r>
      <w:r>
        <w:rPr>
          <w:rFonts w:ascii="Times New Roman" w:eastAsia="MS Gothic" w:hAnsi="Times New Roman" w:cs="Times New Roman"/>
          <w:b/>
          <w:bCs/>
          <w:sz w:val="20"/>
          <w:szCs w:val="16"/>
          <w:u w:val="single"/>
        </w:rPr>
        <w:t xml:space="preserve"> </w:t>
      </w:r>
    </w:p>
    <w:tbl>
      <w:tblPr>
        <w:tblStyle w:val="af2"/>
        <w:tblW w:w="0" w:type="auto"/>
        <w:tblLook w:val="04A0" w:firstRow="1" w:lastRow="0" w:firstColumn="1" w:lastColumn="0" w:noHBand="0" w:noVBand="1"/>
      </w:tblPr>
      <w:tblGrid>
        <w:gridCol w:w="9737"/>
      </w:tblGrid>
      <w:tr w:rsidR="001B3E12" w14:paraId="05F93897" w14:textId="77777777" w:rsidTr="001B3E12">
        <w:tc>
          <w:tcPr>
            <w:tcW w:w="9737" w:type="dxa"/>
          </w:tcPr>
          <w:p w14:paraId="162F1CA8" w14:textId="77777777" w:rsidR="001B3E12" w:rsidRPr="001B3E12" w:rsidRDefault="001B3E12" w:rsidP="001B3E12">
            <w:pPr>
              <w:keepNext/>
              <w:keepLines/>
              <w:spacing w:before="120" w:line="240" w:lineRule="auto"/>
              <w:ind w:left="864" w:hanging="864"/>
              <w:outlineLvl w:val="3"/>
              <w:rPr>
                <w:rFonts w:ascii="Arial" w:eastAsia="PMingLiU" w:hAnsi="Arial"/>
                <w:sz w:val="24"/>
                <w:szCs w:val="18"/>
                <w:lang w:val="sv-SE" w:eastAsia="zh-CN"/>
              </w:rPr>
            </w:pPr>
            <w:r w:rsidRPr="001B3E12">
              <w:rPr>
                <w:rFonts w:ascii="Arial" w:eastAsia="宋体" w:hAnsi="Arial"/>
                <w:sz w:val="24"/>
                <w:szCs w:val="18"/>
                <w:lang w:val="sv-SE" w:eastAsia="zh-CN"/>
              </w:rPr>
              <w:lastRenderedPageBreak/>
              <w:t xml:space="preserve">Issue 2-1-2: Handover and statellite switch </w:t>
            </w:r>
          </w:p>
          <w:p w14:paraId="286B04F1" w14:textId="77777777" w:rsidR="001B3E12" w:rsidRPr="001B3E12" w:rsidRDefault="001B3E12" w:rsidP="001B3E12">
            <w:pPr>
              <w:spacing w:line="240" w:lineRule="auto"/>
              <w:rPr>
                <w:rFonts w:eastAsia="宋体"/>
                <w:lang w:val="sv-SE" w:eastAsia="zh-CN"/>
              </w:rPr>
            </w:pPr>
            <w:r w:rsidRPr="001B3E12">
              <w:rPr>
                <w:rFonts w:eastAsia="宋体"/>
                <w:lang w:val="sv-SE" w:eastAsia="zh-CN"/>
              </w:rPr>
              <w:t>Agreement</w:t>
            </w:r>
          </w:p>
          <w:p w14:paraId="2CA955F6" w14:textId="77777777" w:rsidR="001B3E12" w:rsidRPr="001B3E12" w:rsidRDefault="001B3E12" w:rsidP="001B3E12">
            <w:pPr>
              <w:numPr>
                <w:ilvl w:val="0"/>
                <w:numId w:val="26"/>
              </w:numPr>
              <w:overflowPunct w:val="0"/>
              <w:autoSpaceDE w:val="0"/>
              <w:autoSpaceDN w:val="0"/>
              <w:adjustRightInd w:val="0"/>
              <w:spacing w:after="120" w:line="240" w:lineRule="auto"/>
              <w:rPr>
                <w:rFonts w:eastAsia="MS Mincho"/>
                <w:bCs/>
                <w:shd w:val="pct10" w:color="auto" w:fill="FFFFFF"/>
                <w:lang w:val="en-GB"/>
              </w:rPr>
            </w:pPr>
            <w:r w:rsidRPr="001B3E12">
              <w:rPr>
                <w:rFonts w:eastAsia="MS Mincho"/>
                <w:lang w:val="en-GB"/>
              </w:rPr>
              <w:t xml:space="preserve">For HD-FDD VSAT, reuse the existing handover, conditional handover, satellite switch requirements defined for NTN VSAT </w:t>
            </w:r>
          </w:p>
          <w:p w14:paraId="775391FC" w14:textId="77777777" w:rsidR="001B3E12" w:rsidRPr="001B3E12" w:rsidRDefault="001B3E12" w:rsidP="001B3E12">
            <w:pPr>
              <w:numPr>
                <w:ilvl w:val="0"/>
                <w:numId w:val="26"/>
              </w:numPr>
              <w:overflowPunct w:val="0"/>
              <w:autoSpaceDE w:val="0"/>
              <w:autoSpaceDN w:val="0"/>
              <w:adjustRightInd w:val="0"/>
              <w:spacing w:after="120" w:line="240" w:lineRule="auto"/>
              <w:rPr>
                <w:rFonts w:eastAsia="MS Mincho"/>
                <w:lang w:val="en-GB"/>
              </w:rPr>
            </w:pPr>
            <w:r w:rsidRPr="001B3E12">
              <w:rPr>
                <w:rFonts w:eastAsia="MS Mincho"/>
                <w:lang w:val="en-GB"/>
              </w:rPr>
              <w:t>FFS whether to capture the following applicability conditions in CR</w:t>
            </w:r>
          </w:p>
          <w:p w14:paraId="5C1465A9" w14:textId="77777777" w:rsidR="001B3E12" w:rsidRPr="001B3E12" w:rsidRDefault="001B3E12" w:rsidP="001B3E12">
            <w:pPr>
              <w:numPr>
                <w:ilvl w:val="1"/>
                <w:numId w:val="26"/>
              </w:numPr>
              <w:overflowPunct w:val="0"/>
              <w:autoSpaceDE w:val="0"/>
              <w:autoSpaceDN w:val="0"/>
              <w:adjustRightInd w:val="0"/>
              <w:spacing w:beforeLines="50" w:before="120" w:afterLines="50" w:after="120" w:line="240" w:lineRule="auto"/>
              <w:jc w:val="both"/>
              <w:rPr>
                <w:rFonts w:eastAsia="MS Mincho"/>
                <w:lang w:eastAsia="zh-CN"/>
              </w:rPr>
            </w:pPr>
            <w:r w:rsidRPr="001B3E12">
              <w:rPr>
                <w:rFonts w:eastAsia="MS Mincho"/>
                <w:lang w:eastAsia="zh-CN"/>
              </w:rPr>
              <w:t xml:space="preserve">For RACH-based HO, </w:t>
            </w:r>
          </w:p>
          <w:p w14:paraId="158CDAA4" w14:textId="77777777" w:rsidR="001B3E12" w:rsidRPr="001B3E12" w:rsidRDefault="001B3E12" w:rsidP="001B3E12">
            <w:pPr>
              <w:numPr>
                <w:ilvl w:val="2"/>
                <w:numId w:val="26"/>
              </w:numPr>
              <w:overflowPunct w:val="0"/>
              <w:autoSpaceDE w:val="0"/>
              <w:autoSpaceDN w:val="0"/>
              <w:adjustRightInd w:val="0"/>
              <w:spacing w:beforeLines="50" w:before="120" w:afterLines="50" w:after="120" w:line="240" w:lineRule="auto"/>
              <w:jc w:val="both"/>
              <w:rPr>
                <w:rFonts w:eastAsia="MS Mincho"/>
                <w:lang w:eastAsia="zh-CN"/>
              </w:rPr>
            </w:pPr>
            <w:r w:rsidRPr="001B3E12">
              <w:rPr>
                <w:rFonts w:eastAsia="MS Mincho"/>
                <w:lang w:eastAsia="zh-CN"/>
              </w:rPr>
              <w:t xml:space="preserve">SSB is available at the UE once every SMTC period during </w:t>
            </w:r>
            <w:proofErr w:type="spellStart"/>
            <w:r w:rsidRPr="001B3E12">
              <w:rPr>
                <w:rFonts w:eastAsia="MS Mincho"/>
                <w:lang w:eastAsia="zh-CN"/>
              </w:rPr>
              <w:t>Tsearch</w:t>
            </w:r>
            <w:proofErr w:type="spellEnd"/>
          </w:p>
          <w:p w14:paraId="57AC7BAD" w14:textId="77777777" w:rsidR="001B3E12" w:rsidRPr="001B3E12" w:rsidRDefault="001B3E12" w:rsidP="001B3E12">
            <w:pPr>
              <w:numPr>
                <w:ilvl w:val="2"/>
                <w:numId w:val="26"/>
              </w:numPr>
              <w:overflowPunct w:val="0"/>
              <w:autoSpaceDE w:val="0"/>
              <w:autoSpaceDN w:val="0"/>
              <w:adjustRightInd w:val="0"/>
              <w:spacing w:beforeLines="50" w:before="120" w:afterLines="50" w:after="120" w:line="240" w:lineRule="auto"/>
              <w:jc w:val="both"/>
              <w:rPr>
                <w:rFonts w:eastAsia="MS Mincho"/>
                <w:lang w:eastAsia="zh-CN"/>
              </w:rPr>
            </w:pPr>
            <w:r w:rsidRPr="001B3E12">
              <w:rPr>
                <w:rFonts w:eastAsia="MS Mincho"/>
                <w:lang w:eastAsia="zh-CN"/>
              </w:rPr>
              <w:t>One SSB is available during T</w:t>
            </w:r>
            <w:r w:rsidRPr="001B3E12">
              <w:rPr>
                <w:rFonts w:eastAsia="MS Mincho"/>
                <w:vertAlign w:val="subscript"/>
                <w:lang w:eastAsia="zh-CN"/>
              </w:rPr>
              <w:t>∆</w:t>
            </w:r>
          </w:p>
          <w:p w14:paraId="0F117B3C" w14:textId="77777777" w:rsidR="001B3E12" w:rsidRPr="001B3E12" w:rsidRDefault="001B3E12" w:rsidP="001B3E12">
            <w:pPr>
              <w:numPr>
                <w:ilvl w:val="2"/>
                <w:numId w:val="26"/>
              </w:numPr>
              <w:overflowPunct w:val="0"/>
              <w:autoSpaceDE w:val="0"/>
              <w:autoSpaceDN w:val="0"/>
              <w:adjustRightInd w:val="0"/>
              <w:spacing w:beforeLines="50" w:before="120" w:afterLines="50" w:after="120" w:line="240" w:lineRule="auto"/>
              <w:jc w:val="both"/>
              <w:rPr>
                <w:rFonts w:eastAsia="MS Mincho"/>
                <w:lang w:eastAsia="zh-CN"/>
              </w:rPr>
            </w:pPr>
            <w:r w:rsidRPr="001B3E12">
              <w:rPr>
                <w:rFonts w:eastAsia="MS Mincho"/>
                <w:lang w:eastAsia="zh-CN"/>
              </w:rPr>
              <w:t>One SSB is available during T</w:t>
            </w:r>
            <w:r w:rsidRPr="001B3E12">
              <w:rPr>
                <w:rFonts w:eastAsia="MS Mincho"/>
                <w:vertAlign w:val="subscript"/>
                <w:lang w:eastAsia="zh-CN"/>
              </w:rPr>
              <w:t>IU</w:t>
            </w:r>
          </w:p>
          <w:p w14:paraId="2CB1690A" w14:textId="77777777" w:rsidR="001B3E12" w:rsidRPr="001B3E12" w:rsidRDefault="001B3E12" w:rsidP="001B3E12">
            <w:pPr>
              <w:numPr>
                <w:ilvl w:val="1"/>
                <w:numId w:val="26"/>
              </w:numPr>
              <w:overflowPunct w:val="0"/>
              <w:autoSpaceDE w:val="0"/>
              <w:autoSpaceDN w:val="0"/>
              <w:adjustRightInd w:val="0"/>
              <w:spacing w:beforeLines="50" w:before="120" w:afterLines="50" w:after="120" w:line="240" w:lineRule="auto"/>
              <w:jc w:val="both"/>
              <w:rPr>
                <w:rFonts w:eastAsia="MS Mincho"/>
                <w:lang w:eastAsia="zh-CN"/>
              </w:rPr>
            </w:pPr>
            <w:r w:rsidRPr="001B3E12">
              <w:rPr>
                <w:rFonts w:eastAsia="MS Mincho"/>
                <w:lang w:eastAsia="zh-CN"/>
              </w:rPr>
              <w:t xml:space="preserve">For Time/location-based CHO, </w:t>
            </w:r>
          </w:p>
          <w:p w14:paraId="2D177FF9" w14:textId="77777777" w:rsidR="001B3E12" w:rsidRPr="001B3E12" w:rsidRDefault="001B3E12" w:rsidP="001B3E12">
            <w:pPr>
              <w:numPr>
                <w:ilvl w:val="2"/>
                <w:numId w:val="26"/>
              </w:numPr>
              <w:overflowPunct w:val="0"/>
              <w:autoSpaceDE w:val="0"/>
              <w:autoSpaceDN w:val="0"/>
              <w:adjustRightInd w:val="0"/>
              <w:spacing w:beforeLines="50" w:before="120" w:afterLines="50" w:after="120" w:line="240" w:lineRule="auto"/>
              <w:jc w:val="both"/>
              <w:rPr>
                <w:rFonts w:eastAsia="MS Mincho"/>
                <w:lang w:eastAsia="zh-CN"/>
              </w:rPr>
            </w:pPr>
            <w:r w:rsidRPr="001B3E12">
              <w:rPr>
                <w:rFonts w:eastAsia="MS Mincho"/>
                <w:lang w:eastAsia="zh-CN"/>
              </w:rPr>
              <w:t>One SSB is available during T</w:t>
            </w:r>
            <w:r w:rsidRPr="001B3E12">
              <w:rPr>
                <w:rFonts w:eastAsia="MS Mincho"/>
                <w:vertAlign w:val="subscript"/>
                <w:lang w:eastAsia="zh-CN"/>
              </w:rPr>
              <w:t>∆</w:t>
            </w:r>
          </w:p>
          <w:p w14:paraId="7995370A" w14:textId="77777777" w:rsidR="001B3E12" w:rsidRPr="001B3E12" w:rsidRDefault="001B3E12" w:rsidP="001B3E12">
            <w:pPr>
              <w:numPr>
                <w:ilvl w:val="2"/>
                <w:numId w:val="26"/>
              </w:numPr>
              <w:overflowPunct w:val="0"/>
              <w:autoSpaceDE w:val="0"/>
              <w:autoSpaceDN w:val="0"/>
              <w:adjustRightInd w:val="0"/>
              <w:spacing w:beforeLines="50" w:before="120" w:afterLines="50" w:after="120" w:line="240" w:lineRule="auto"/>
              <w:jc w:val="both"/>
              <w:rPr>
                <w:rFonts w:eastAsia="MS Mincho"/>
                <w:lang w:eastAsia="zh-CN"/>
              </w:rPr>
            </w:pPr>
            <w:r w:rsidRPr="001B3E12">
              <w:rPr>
                <w:rFonts w:eastAsia="MS Mincho"/>
                <w:lang w:eastAsia="zh-CN"/>
              </w:rPr>
              <w:t>One SSB is available during T</w:t>
            </w:r>
            <w:r w:rsidRPr="001B3E12">
              <w:rPr>
                <w:rFonts w:eastAsia="MS Mincho"/>
                <w:vertAlign w:val="subscript"/>
                <w:lang w:eastAsia="zh-CN"/>
              </w:rPr>
              <w:t>IU</w:t>
            </w:r>
          </w:p>
          <w:p w14:paraId="6C6D74B0" w14:textId="77777777" w:rsidR="001B3E12" w:rsidRPr="001B3E12" w:rsidRDefault="001B3E12" w:rsidP="001B3E12">
            <w:pPr>
              <w:numPr>
                <w:ilvl w:val="1"/>
                <w:numId w:val="26"/>
              </w:numPr>
              <w:overflowPunct w:val="0"/>
              <w:autoSpaceDE w:val="0"/>
              <w:autoSpaceDN w:val="0"/>
              <w:adjustRightInd w:val="0"/>
              <w:spacing w:beforeLines="50" w:before="120" w:afterLines="50" w:after="120" w:line="240" w:lineRule="auto"/>
              <w:jc w:val="both"/>
              <w:rPr>
                <w:rFonts w:eastAsia="MS Mincho"/>
                <w:lang w:eastAsia="zh-CN"/>
              </w:rPr>
            </w:pPr>
            <w:r w:rsidRPr="001B3E12">
              <w:rPr>
                <w:rFonts w:eastAsia="MS Mincho"/>
                <w:lang w:eastAsia="zh-CN"/>
              </w:rPr>
              <w:t xml:space="preserve">For satellite switching requirements,  </w:t>
            </w:r>
          </w:p>
          <w:p w14:paraId="3E228018" w14:textId="77777777" w:rsidR="001B3E12" w:rsidRPr="001B3E12" w:rsidRDefault="001B3E12" w:rsidP="001B3E12">
            <w:pPr>
              <w:numPr>
                <w:ilvl w:val="2"/>
                <w:numId w:val="26"/>
              </w:numPr>
              <w:overflowPunct w:val="0"/>
              <w:autoSpaceDE w:val="0"/>
              <w:autoSpaceDN w:val="0"/>
              <w:adjustRightInd w:val="0"/>
              <w:spacing w:beforeLines="50" w:before="120" w:afterLines="50" w:after="120" w:line="240" w:lineRule="auto"/>
              <w:jc w:val="both"/>
              <w:rPr>
                <w:rFonts w:eastAsia="MS Mincho"/>
                <w:lang w:eastAsia="zh-CN"/>
              </w:rPr>
            </w:pPr>
            <w:r w:rsidRPr="001B3E12">
              <w:rPr>
                <w:rFonts w:eastAsia="MS Mincho"/>
                <w:lang w:eastAsia="zh-CN"/>
              </w:rPr>
              <w:t xml:space="preserve">SSB is available at the UE once every SMTC period during </w:t>
            </w:r>
            <w:proofErr w:type="spellStart"/>
            <w:r w:rsidRPr="001B3E12">
              <w:rPr>
                <w:rFonts w:eastAsia="MS Mincho"/>
                <w:lang w:eastAsia="zh-CN"/>
              </w:rPr>
              <w:t>T</w:t>
            </w:r>
            <w:r w:rsidRPr="001B3E12">
              <w:rPr>
                <w:rFonts w:eastAsia="MS Mincho"/>
                <w:vertAlign w:val="subscript"/>
                <w:lang w:eastAsia="zh-CN"/>
              </w:rPr>
              <w:t>search</w:t>
            </w:r>
            <w:proofErr w:type="spellEnd"/>
          </w:p>
          <w:p w14:paraId="4C98F1CF" w14:textId="77777777" w:rsidR="001B3E12" w:rsidRPr="001B3E12" w:rsidRDefault="001B3E12" w:rsidP="001B3E12">
            <w:pPr>
              <w:numPr>
                <w:ilvl w:val="2"/>
                <w:numId w:val="26"/>
              </w:numPr>
              <w:overflowPunct w:val="0"/>
              <w:autoSpaceDE w:val="0"/>
              <w:autoSpaceDN w:val="0"/>
              <w:adjustRightInd w:val="0"/>
              <w:spacing w:beforeLines="50" w:before="120" w:afterLines="50" w:after="120" w:line="240" w:lineRule="auto"/>
              <w:jc w:val="both"/>
              <w:rPr>
                <w:rFonts w:eastAsia="MS Mincho"/>
                <w:lang w:eastAsia="zh-CN"/>
              </w:rPr>
            </w:pPr>
            <w:r w:rsidRPr="001B3E12">
              <w:rPr>
                <w:rFonts w:eastAsia="MS Mincho"/>
                <w:lang w:eastAsia="zh-CN"/>
              </w:rPr>
              <w:t>One SSB is available during T</w:t>
            </w:r>
            <w:r w:rsidRPr="001B3E12">
              <w:rPr>
                <w:rFonts w:eastAsia="MS Mincho"/>
                <w:vertAlign w:val="subscript"/>
                <w:lang w:eastAsia="zh-CN"/>
              </w:rPr>
              <w:t>∆</w:t>
            </w:r>
          </w:p>
          <w:p w14:paraId="17C5451D" w14:textId="1AE719A4" w:rsidR="001B3E12" w:rsidRPr="001B3E12" w:rsidRDefault="001B3E12" w:rsidP="009C4AD5">
            <w:pPr>
              <w:numPr>
                <w:ilvl w:val="2"/>
                <w:numId w:val="26"/>
              </w:numPr>
              <w:overflowPunct w:val="0"/>
              <w:autoSpaceDE w:val="0"/>
              <w:autoSpaceDN w:val="0"/>
              <w:adjustRightInd w:val="0"/>
              <w:spacing w:beforeLines="50" w:before="120" w:afterLines="50" w:after="120" w:line="240" w:lineRule="auto"/>
              <w:jc w:val="both"/>
              <w:rPr>
                <w:rFonts w:eastAsia="Times New Roman"/>
                <w:lang w:eastAsia="zh-CN"/>
              </w:rPr>
            </w:pPr>
            <w:r w:rsidRPr="001B3E12">
              <w:rPr>
                <w:rFonts w:eastAsia="MS Mincho"/>
                <w:lang w:eastAsia="zh-CN"/>
              </w:rPr>
              <w:t>One SSB is available during T</w:t>
            </w:r>
            <w:r w:rsidRPr="001B3E12">
              <w:rPr>
                <w:rFonts w:eastAsia="MS Mincho"/>
                <w:vertAlign w:val="subscript"/>
                <w:lang w:eastAsia="zh-CN"/>
              </w:rPr>
              <w:t>IU</w:t>
            </w:r>
          </w:p>
        </w:tc>
      </w:tr>
    </w:tbl>
    <w:p w14:paraId="0D309672" w14:textId="7EE554D8" w:rsidR="00A04CC0" w:rsidRPr="00A04CC0" w:rsidRDefault="001B3E12" w:rsidP="00A04CC0">
      <w:pPr>
        <w:pStyle w:val="afc"/>
        <w:rPr>
          <w:rFonts w:ascii="Times New Roman" w:eastAsia="等线" w:hAnsi="Times New Roman" w:cs="Times New Roman"/>
          <w:sz w:val="20"/>
          <w:szCs w:val="16"/>
          <w:lang w:eastAsia="zh-CN"/>
        </w:rPr>
      </w:pPr>
      <w:r>
        <w:rPr>
          <w:rFonts w:ascii="Times New Roman" w:eastAsia="等线" w:hAnsi="Times New Roman" w:cs="Times New Roman"/>
          <w:sz w:val="20"/>
          <w:szCs w:val="16"/>
          <w:lang w:eastAsia="zh-CN"/>
        </w:rPr>
        <w:t xml:space="preserve">RAN4 have already </w:t>
      </w:r>
      <w:r>
        <w:rPr>
          <w:rFonts w:ascii="Times New Roman" w:eastAsia="等线" w:hAnsi="Times New Roman" w:cs="Times New Roman" w:hint="eastAsia"/>
          <w:sz w:val="20"/>
          <w:szCs w:val="16"/>
          <w:lang w:eastAsia="zh-CN"/>
        </w:rPr>
        <w:t>discussed</w:t>
      </w:r>
      <w:r>
        <w:rPr>
          <w:rFonts w:ascii="Times New Roman" w:eastAsia="等线" w:hAnsi="Times New Roman" w:cs="Times New Roman"/>
          <w:sz w:val="20"/>
          <w:szCs w:val="16"/>
          <w:lang w:eastAsia="zh-CN"/>
        </w:rPr>
        <w:t xml:space="preserve"> </w:t>
      </w:r>
      <w:r>
        <w:rPr>
          <w:rFonts w:ascii="Times New Roman" w:eastAsia="等线" w:hAnsi="Times New Roman" w:cs="Times New Roman" w:hint="eastAsia"/>
          <w:sz w:val="20"/>
          <w:szCs w:val="16"/>
          <w:lang w:eastAsia="zh-CN"/>
        </w:rPr>
        <w:t>the</w:t>
      </w:r>
      <w:r>
        <w:rPr>
          <w:rFonts w:ascii="Times New Roman" w:eastAsia="等线" w:hAnsi="Times New Roman" w:cs="Times New Roman"/>
          <w:sz w:val="20"/>
          <w:szCs w:val="16"/>
          <w:lang w:eastAsia="zh-CN"/>
        </w:rPr>
        <w:t xml:space="preserve"> </w:t>
      </w:r>
      <w:r>
        <w:rPr>
          <w:rFonts w:ascii="Times New Roman" w:eastAsia="等线" w:hAnsi="Times New Roman" w:cs="Times New Roman" w:hint="eastAsia"/>
          <w:sz w:val="20"/>
          <w:szCs w:val="16"/>
          <w:lang w:eastAsia="zh-CN"/>
        </w:rPr>
        <w:t>same</w:t>
      </w:r>
      <w:r>
        <w:rPr>
          <w:rFonts w:ascii="Times New Roman" w:eastAsia="等线" w:hAnsi="Times New Roman" w:cs="Times New Roman"/>
          <w:sz w:val="20"/>
          <w:szCs w:val="16"/>
          <w:lang w:eastAsia="zh-CN"/>
        </w:rPr>
        <w:t xml:space="preserve"> </w:t>
      </w:r>
      <w:r>
        <w:rPr>
          <w:rFonts w:ascii="Times New Roman" w:eastAsia="等线" w:hAnsi="Times New Roman" w:cs="Times New Roman" w:hint="eastAsia"/>
          <w:sz w:val="20"/>
          <w:szCs w:val="16"/>
          <w:lang w:eastAsia="zh-CN"/>
        </w:rPr>
        <w:t>issue</w:t>
      </w:r>
      <w:r>
        <w:rPr>
          <w:rFonts w:ascii="Times New Roman" w:eastAsia="等线" w:hAnsi="Times New Roman" w:cs="Times New Roman"/>
          <w:sz w:val="20"/>
          <w:szCs w:val="16"/>
          <w:lang w:eastAsia="zh-CN"/>
        </w:rPr>
        <w:t xml:space="preserve"> </w:t>
      </w:r>
      <w:r w:rsidRPr="001B3E12">
        <w:rPr>
          <w:rFonts w:ascii="Times New Roman" w:eastAsia="等线" w:hAnsi="Times New Roman" w:cs="Times New Roman"/>
          <w:sz w:val="20"/>
          <w:szCs w:val="16"/>
          <w:lang w:eastAsia="zh-CN"/>
        </w:rPr>
        <w:t xml:space="preserve">in </w:t>
      </w:r>
      <w:proofErr w:type="spellStart"/>
      <w:r w:rsidRPr="001B3E12">
        <w:rPr>
          <w:rFonts w:ascii="Times New Roman" w:eastAsia="等线" w:hAnsi="Times New Roman" w:cs="Times New Roman"/>
          <w:sz w:val="20"/>
          <w:szCs w:val="16"/>
          <w:lang w:eastAsia="zh-CN"/>
        </w:rPr>
        <w:t>RedCap</w:t>
      </w:r>
      <w:proofErr w:type="spellEnd"/>
      <w:r w:rsidRPr="001B3E12">
        <w:rPr>
          <w:rFonts w:ascii="Times New Roman" w:eastAsia="等线" w:hAnsi="Times New Roman" w:cs="Times New Roman"/>
          <w:sz w:val="20"/>
          <w:szCs w:val="16"/>
          <w:lang w:eastAsia="zh-CN"/>
        </w:rPr>
        <w:t xml:space="preserve"> with NTN in R19</w:t>
      </w:r>
      <w:r>
        <w:rPr>
          <w:rFonts w:ascii="Times New Roman" w:eastAsia="等线" w:hAnsi="Times New Roman" w:cs="Times New Roman"/>
          <w:sz w:val="20"/>
          <w:szCs w:val="16"/>
          <w:lang w:eastAsia="zh-CN"/>
        </w:rPr>
        <w:t xml:space="preserve">, and RAN1 has </w:t>
      </w:r>
      <w:r w:rsidR="0039352E">
        <w:rPr>
          <w:rFonts w:ascii="Times New Roman" w:eastAsia="等线" w:hAnsi="Times New Roman" w:cs="Times New Roman"/>
          <w:sz w:val="20"/>
          <w:szCs w:val="16"/>
          <w:lang w:eastAsia="zh-CN"/>
        </w:rPr>
        <w:t>defined that SSB</w:t>
      </w:r>
      <w:r w:rsidR="0039352E" w:rsidRPr="0039352E">
        <w:rPr>
          <w:rFonts w:ascii="Times New Roman" w:eastAsia="等线" w:hAnsi="Times New Roman" w:cs="Times New Roman"/>
          <w:sz w:val="20"/>
          <w:szCs w:val="16"/>
          <w:lang w:eastAsia="zh-CN"/>
        </w:rPr>
        <w:t xml:space="preserve"> is always prioritized over UL</w:t>
      </w:r>
      <w:r w:rsidR="0039352E">
        <w:rPr>
          <w:rFonts w:ascii="Times New Roman" w:eastAsia="等线" w:hAnsi="Times New Roman" w:cs="Times New Roman"/>
          <w:sz w:val="20"/>
          <w:szCs w:val="16"/>
          <w:lang w:eastAsia="zh-CN"/>
        </w:rPr>
        <w:t xml:space="preserve">. </w:t>
      </w:r>
      <w:r w:rsidRPr="00E275AB">
        <w:rPr>
          <w:rFonts w:ascii="Times New Roman" w:eastAsia="等线" w:hAnsi="Times New Roman" w:cs="Times New Roman"/>
          <w:sz w:val="20"/>
          <w:szCs w:val="16"/>
          <w:lang w:eastAsia="zh-CN"/>
        </w:rPr>
        <w:t>Considering that</w:t>
      </w:r>
      <w:r>
        <w:rPr>
          <w:rFonts w:ascii="Times New Roman" w:eastAsia="等线" w:hAnsi="Times New Roman" w:cs="Times New Roman"/>
          <w:sz w:val="20"/>
          <w:szCs w:val="16"/>
          <w:lang w:eastAsia="zh-CN"/>
        </w:rPr>
        <w:t xml:space="preserve"> HD-FDD</w:t>
      </w:r>
      <w:r w:rsidRPr="00E275AB">
        <w:rPr>
          <w:rFonts w:ascii="Times New Roman" w:eastAsia="等线" w:hAnsi="Times New Roman" w:cs="Times New Roman"/>
          <w:sz w:val="20"/>
          <w:szCs w:val="16"/>
          <w:lang w:eastAsia="zh-CN"/>
        </w:rPr>
        <w:t xml:space="preserve"> VSA</w:t>
      </w:r>
      <w:r>
        <w:rPr>
          <w:rFonts w:ascii="Times New Roman" w:eastAsia="等线" w:hAnsi="Times New Roman" w:cs="Times New Roman"/>
          <w:sz w:val="20"/>
          <w:szCs w:val="16"/>
          <w:lang w:eastAsia="zh-CN"/>
        </w:rPr>
        <w:t>T with FR1-NTN</w:t>
      </w:r>
      <w:r w:rsidRPr="00E275AB">
        <w:rPr>
          <w:rFonts w:ascii="Times New Roman" w:eastAsia="等线" w:hAnsi="Times New Roman" w:cs="Times New Roman"/>
          <w:sz w:val="20"/>
          <w:szCs w:val="16"/>
          <w:lang w:eastAsia="zh-CN"/>
        </w:rPr>
        <w:t xml:space="preserve"> does not introduce any special </w:t>
      </w:r>
      <w:r w:rsidRPr="005F483E">
        <w:rPr>
          <w:rFonts w:ascii="Times New Roman" w:eastAsia="等线" w:hAnsi="Times New Roman" w:cs="Times New Roman"/>
          <w:sz w:val="20"/>
          <w:szCs w:val="16"/>
          <w:lang w:eastAsia="zh-CN"/>
        </w:rPr>
        <w:t>characteristics</w:t>
      </w:r>
      <w:r w:rsidRPr="00E275AB">
        <w:rPr>
          <w:rFonts w:ascii="Times New Roman" w:eastAsia="等线" w:hAnsi="Times New Roman" w:cs="Times New Roman"/>
          <w:sz w:val="20"/>
          <w:szCs w:val="16"/>
          <w:lang w:eastAsia="zh-CN"/>
        </w:rPr>
        <w:t xml:space="preserve"> for handover</w:t>
      </w:r>
      <w:r>
        <w:rPr>
          <w:rFonts w:ascii="Times New Roman" w:hAnsi="Times New Roman" w:cs="Times New Roman"/>
          <w:sz w:val="20"/>
          <w:szCs w:val="20"/>
        </w:rPr>
        <w:t>, we support op</w:t>
      </w:r>
      <w:r w:rsidRPr="00A04CC0">
        <w:rPr>
          <w:rFonts w:ascii="Times New Roman" w:eastAsia="等线" w:hAnsi="Times New Roman" w:cs="Times New Roman"/>
          <w:sz w:val="20"/>
          <w:szCs w:val="16"/>
          <w:lang w:eastAsia="zh-CN"/>
        </w:rPr>
        <w:t>tion 1</w:t>
      </w:r>
      <w:r w:rsidR="00A04CC0" w:rsidRPr="00A04CC0">
        <w:rPr>
          <w:rFonts w:ascii="Times New Roman" w:eastAsia="等线" w:hAnsi="Times New Roman" w:cs="Times New Roman"/>
          <w:sz w:val="20"/>
          <w:szCs w:val="16"/>
          <w:lang w:eastAsia="zh-CN"/>
        </w:rPr>
        <w:t>,</w:t>
      </w:r>
      <w:r w:rsidRPr="00A04CC0">
        <w:rPr>
          <w:rFonts w:ascii="Times New Roman" w:eastAsia="等线" w:hAnsi="Times New Roman" w:cs="Times New Roman"/>
          <w:sz w:val="20"/>
          <w:szCs w:val="16"/>
          <w:lang w:eastAsia="zh-CN"/>
        </w:rPr>
        <w:t xml:space="preserve"> </w:t>
      </w:r>
      <w:r w:rsidR="00A04CC0">
        <w:rPr>
          <w:rFonts w:ascii="Times New Roman" w:eastAsia="等线" w:hAnsi="Times New Roman" w:cs="Times New Roman"/>
          <w:sz w:val="20"/>
          <w:szCs w:val="16"/>
          <w:lang w:eastAsia="zh-CN"/>
        </w:rPr>
        <w:t>f</w:t>
      </w:r>
      <w:r w:rsidR="00A04CC0" w:rsidRPr="00A04CC0">
        <w:rPr>
          <w:rFonts w:ascii="Times New Roman" w:eastAsia="等线" w:hAnsi="Times New Roman" w:cs="Times New Roman"/>
          <w:sz w:val="20"/>
          <w:szCs w:val="16"/>
          <w:lang w:eastAsia="zh-CN"/>
        </w:rPr>
        <w:t xml:space="preserve">or HD-FDD VSAT, reuse </w:t>
      </w:r>
      <w:bookmarkStart w:id="5" w:name="_Hlk220489608"/>
      <w:r w:rsidR="00A04CC0" w:rsidRPr="00A04CC0">
        <w:rPr>
          <w:rFonts w:ascii="Times New Roman" w:eastAsia="等线" w:hAnsi="Times New Roman" w:cs="Times New Roman"/>
          <w:sz w:val="20"/>
          <w:szCs w:val="16"/>
          <w:lang w:eastAsia="zh-CN"/>
        </w:rPr>
        <w:t>the existing handover, conditional handover, satellite switch requirements defined for NTN VSAT</w:t>
      </w:r>
      <w:bookmarkEnd w:id="5"/>
      <w:r w:rsidR="00A04CC0" w:rsidRPr="00A04CC0">
        <w:rPr>
          <w:rFonts w:ascii="Times New Roman" w:eastAsia="等线" w:hAnsi="Times New Roman" w:cs="Times New Roman"/>
          <w:sz w:val="20"/>
          <w:szCs w:val="16"/>
          <w:lang w:eastAsia="zh-CN"/>
        </w:rPr>
        <w:t xml:space="preserve"> </w:t>
      </w:r>
    </w:p>
    <w:p w14:paraId="7BF04E7E" w14:textId="10421521" w:rsidR="00D80E07" w:rsidRPr="00982F6D" w:rsidRDefault="0058231F" w:rsidP="00982F6D">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sidR="002641CA">
        <w:rPr>
          <w:rFonts w:ascii="Times New Roman" w:eastAsia="MS Gothic" w:hAnsi="Times New Roman" w:cs="Times New Roman"/>
          <w:b/>
          <w:bCs/>
          <w:sz w:val="20"/>
          <w:szCs w:val="16"/>
          <w:u w:val="single"/>
        </w:rPr>
        <w:t>2</w:t>
      </w:r>
      <w:r w:rsidRPr="00F2553E">
        <w:rPr>
          <w:rFonts w:ascii="Times New Roman" w:eastAsia="MS Gothic" w:hAnsi="Times New Roman" w:cs="Times New Roman" w:hint="eastAsia"/>
          <w:b/>
          <w:bCs/>
          <w:sz w:val="20"/>
          <w:szCs w:val="16"/>
          <w:u w:val="single"/>
        </w:rPr>
        <w:t xml:space="preserve">: </w:t>
      </w:r>
      <w:r w:rsidR="007C637D">
        <w:rPr>
          <w:rFonts w:ascii="Times New Roman" w:eastAsia="MS Gothic" w:hAnsi="Times New Roman" w:cs="Times New Roman"/>
          <w:b/>
          <w:bCs/>
          <w:sz w:val="20"/>
          <w:szCs w:val="16"/>
          <w:u w:val="single"/>
        </w:rPr>
        <w:t xml:space="preserve">RAN4 to reuse </w:t>
      </w:r>
      <w:r w:rsidR="00A04CC0" w:rsidRPr="00A04CC0">
        <w:rPr>
          <w:rFonts w:ascii="Times New Roman" w:eastAsia="MS Gothic" w:hAnsi="Times New Roman" w:cs="Times New Roman"/>
          <w:b/>
          <w:bCs/>
          <w:sz w:val="20"/>
          <w:szCs w:val="16"/>
          <w:u w:val="single"/>
        </w:rPr>
        <w:t>the existing handover, conditional handover, satellite switch requirements defined for NTN VSAT</w:t>
      </w:r>
      <w:r w:rsidRPr="00B67D52">
        <w:rPr>
          <w:rFonts w:ascii="Times New Roman" w:eastAsia="MS Gothic" w:hAnsi="Times New Roman" w:cs="Times New Roman"/>
          <w:b/>
          <w:bCs/>
          <w:sz w:val="20"/>
          <w:szCs w:val="16"/>
          <w:u w:val="single"/>
        </w:rPr>
        <w:t>.</w:t>
      </w:r>
      <w:r>
        <w:rPr>
          <w:rFonts w:ascii="Times New Roman" w:eastAsia="MS Gothic" w:hAnsi="Times New Roman" w:cs="Times New Roman"/>
          <w:b/>
          <w:bCs/>
          <w:sz w:val="20"/>
          <w:szCs w:val="16"/>
          <w:u w:val="single"/>
        </w:rPr>
        <w:t xml:space="preserve"> </w:t>
      </w:r>
    </w:p>
    <w:tbl>
      <w:tblPr>
        <w:tblStyle w:val="af2"/>
        <w:tblW w:w="0" w:type="auto"/>
        <w:tblLook w:val="04A0" w:firstRow="1" w:lastRow="0" w:firstColumn="1" w:lastColumn="0" w:noHBand="0" w:noVBand="1"/>
      </w:tblPr>
      <w:tblGrid>
        <w:gridCol w:w="9737"/>
      </w:tblGrid>
      <w:tr w:rsidR="001B3E12" w14:paraId="2C2AB683" w14:textId="77777777" w:rsidTr="001B3E12">
        <w:tc>
          <w:tcPr>
            <w:tcW w:w="9737" w:type="dxa"/>
          </w:tcPr>
          <w:p w14:paraId="5AD7B038" w14:textId="77777777" w:rsidR="001B3E12" w:rsidRPr="001B3E12" w:rsidRDefault="001B3E12" w:rsidP="001B3E12">
            <w:pPr>
              <w:keepNext/>
              <w:keepLines/>
              <w:spacing w:before="120" w:line="240" w:lineRule="auto"/>
              <w:ind w:left="864" w:hanging="864"/>
              <w:outlineLvl w:val="3"/>
              <w:rPr>
                <w:rFonts w:ascii="Arial" w:eastAsia="宋体" w:hAnsi="Arial"/>
                <w:sz w:val="24"/>
                <w:szCs w:val="18"/>
                <w:lang w:val="sv-SE" w:eastAsia="zh-CN"/>
              </w:rPr>
            </w:pPr>
            <w:r w:rsidRPr="001B3E12">
              <w:rPr>
                <w:rFonts w:ascii="Arial" w:eastAsia="宋体" w:hAnsi="Arial"/>
                <w:sz w:val="24"/>
                <w:szCs w:val="18"/>
                <w:lang w:val="sv-SE" w:eastAsia="zh-CN"/>
              </w:rPr>
              <w:t>Issue 2-1-5: Other RRM requirement impact due to HD-FDD</w:t>
            </w:r>
          </w:p>
          <w:p w14:paraId="1F9043D7" w14:textId="77777777" w:rsidR="001B3E12" w:rsidRPr="001B3E12" w:rsidRDefault="001B3E12" w:rsidP="001B3E12">
            <w:pPr>
              <w:spacing w:line="240" w:lineRule="auto"/>
              <w:rPr>
                <w:rFonts w:eastAsia="宋体"/>
                <w:lang w:val="sv-SE" w:eastAsia="zh-CN"/>
              </w:rPr>
            </w:pPr>
            <w:r w:rsidRPr="001B3E12">
              <w:rPr>
                <w:rFonts w:eastAsia="宋体"/>
                <w:lang w:val="sv-SE" w:eastAsia="zh-CN"/>
              </w:rPr>
              <w:t>Agreement</w:t>
            </w:r>
          </w:p>
          <w:p w14:paraId="7C874D5E" w14:textId="77777777" w:rsidR="001B3E12" w:rsidRPr="001B3E12" w:rsidRDefault="001B3E12" w:rsidP="001B3E12">
            <w:pPr>
              <w:numPr>
                <w:ilvl w:val="0"/>
                <w:numId w:val="22"/>
              </w:numPr>
              <w:overflowPunct w:val="0"/>
              <w:autoSpaceDE w:val="0"/>
              <w:autoSpaceDN w:val="0"/>
              <w:adjustRightInd w:val="0"/>
              <w:spacing w:after="120" w:line="240" w:lineRule="auto"/>
              <w:rPr>
                <w:rFonts w:eastAsia="MS Mincho"/>
                <w:bCs/>
                <w:lang w:val="en-GB"/>
              </w:rPr>
            </w:pPr>
            <w:r w:rsidRPr="001B3E12">
              <w:rPr>
                <w:rFonts w:eastAsia="MS Mincho"/>
                <w:bCs/>
                <w:lang w:val="en-GB"/>
              </w:rPr>
              <w:t>For HD-FDD VSAT, reuse the legacy applicability conditions for HD-FDD for the following existing VSAT requirements</w:t>
            </w:r>
          </w:p>
          <w:p w14:paraId="6DB00D2D" w14:textId="77777777" w:rsidR="001B3E12" w:rsidRPr="001B3E12" w:rsidRDefault="001B3E12" w:rsidP="001B3E12">
            <w:pPr>
              <w:numPr>
                <w:ilvl w:val="1"/>
                <w:numId w:val="22"/>
              </w:numPr>
              <w:overflowPunct w:val="0"/>
              <w:autoSpaceDE w:val="0"/>
              <w:autoSpaceDN w:val="0"/>
              <w:adjustRightInd w:val="0"/>
              <w:spacing w:after="120" w:line="240" w:lineRule="auto"/>
              <w:rPr>
                <w:rFonts w:eastAsia="MS Mincho"/>
                <w:bCs/>
                <w:lang w:val="en-GB"/>
              </w:rPr>
            </w:pPr>
            <w:r w:rsidRPr="001B3E12">
              <w:rPr>
                <w:rFonts w:eastAsia="MS Mincho"/>
                <w:bCs/>
                <w:lang w:val="en-GB"/>
              </w:rPr>
              <w:t>Maximum interruption in paging reception</w:t>
            </w:r>
          </w:p>
          <w:p w14:paraId="15F66545" w14:textId="77777777" w:rsidR="001B3E12" w:rsidRPr="001B3E12" w:rsidRDefault="001B3E12" w:rsidP="001B3E12">
            <w:pPr>
              <w:numPr>
                <w:ilvl w:val="1"/>
                <w:numId w:val="22"/>
              </w:numPr>
              <w:overflowPunct w:val="0"/>
              <w:autoSpaceDE w:val="0"/>
              <w:autoSpaceDN w:val="0"/>
              <w:adjustRightInd w:val="0"/>
              <w:spacing w:after="120" w:line="240" w:lineRule="auto"/>
              <w:rPr>
                <w:rFonts w:eastAsia="MS Mincho"/>
                <w:bCs/>
                <w:lang w:val="en-GB"/>
              </w:rPr>
            </w:pPr>
            <w:r w:rsidRPr="001B3E12">
              <w:rPr>
                <w:rFonts w:eastAsia="MS Mincho"/>
                <w:bCs/>
                <w:lang w:val="en-GB"/>
              </w:rPr>
              <w:t>Random access requirements</w:t>
            </w:r>
          </w:p>
          <w:p w14:paraId="2897CD87" w14:textId="77777777" w:rsidR="001B3E12" w:rsidRPr="001B3E12" w:rsidRDefault="001B3E12" w:rsidP="001B3E12">
            <w:pPr>
              <w:numPr>
                <w:ilvl w:val="1"/>
                <w:numId w:val="22"/>
              </w:numPr>
              <w:overflowPunct w:val="0"/>
              <w:autoSpaceDE w:val="0"/>
              <w:autoSpaceDN w:val="0"/>
              <w:adjustRightInd w:val="0"/>
              <w:spacing w:after="120" w:line="240" w:lineRule="auto"/>
              <w:rPr>
                <w:rFonts w:eastAsia="MS Mincho"/>
                <w:bCs/>
                <w:lang w:val="en-GB"/>
              </w:rPr>
            </w:pPr>
            <w:r w:rsidRPr="001B3E12">
              <w:rPr>
                <w:rFonts w:eastAsia="MS Mincho"/>
                <w:bCs/>
                <w:lang w:val="en-GB"/>
              </w:rPr>
              <w:t>RLM and L1-RSRP requirements, including CSI-RS based measurement and L1 indication.</w:t>
            </w:r>
          </w:p>
          <w:p w14:paraId="3609AC7B" w14:textId="634A6BEF" w:rsidR="001B3E12" w:rsidRPr="001B3E12" w:rsidRDefault="001B3E12" w:rsidP="001B3E12">
            <w:pPr>
              <w:numPr>
                <w:ilvl w:val="2"/>
                <w:numId w:val="22"/>
              </w:numPr>
              <w:overflowPunct w:val="0"/>
              <w:autoSpaceDE w:val="0"/>
              <w:autoSpaceDN w:val="0"/>
              <w:adjustRightInd w:val="0"/>
              <w:spacing w:after="120" w:line="240" w:lineRule="auto"/>
              <w:rPr>
                <w:rFonts w:eastAsia="MS Mincho"/>
                <w:bCs/>
                <w:lang w:val="en-GB"/>
              </w:rPr>
            </w:pPr>
            <w:r w:rsidRPr="001B3E12">
              <w:rPr>
                <w:rFonts w:eastAsia="MS Mincho"/>
                <w:bCs/>
                <w:lang w:val="en-GB"/>
              </w:rPr>
              <w:t xml:space="preserve">FFS whether to add condition as at least one SSB is available. </w:t>
            </w:r>
          </w:p>
        </w:tc>
      </w:tr>
    </w:tbl>
    <w:p w14:paraId="5A43FD2A" w14:textId="728D7EA8" w:rsidR="00745C17" w:rsidRPr="00745C17" w:rsidRDefault="00982F6D" w:rsidP="00745C17">
      <w:pPr>
        <w:pStyle w:val="afc"/>
        <w:jc w:val="both"/>
        <w:rPr>
          <w:rFonts w:ascii="Times New Roman" w:eastAsia="MS Gothic" w:hAnsi="Times New Roman" w:cs="Times New Roman"/>
          <w:b/>
          <w:bCs/>
          <w:sz w:val="20"/>
          <w:szCs w:val="20"/>
          <w:u w:val="single"/>
        </w:rPr>
      </w:pPr>
      <w:r>
        <w:rPr>
          <w:rFonts w:ascii="Times New Roman" w:hAnsi="Times New Roman" w:cs="Times New Roman"/>
          <w:sz w:val="20"/>
          <w:szCs w:val="20"/>
        </w:rPr>
        <w:t xml:space="preserve">We don’t see the </w:t>
      </w:r>
      <w:r w:rsidR="0037047F">
        <w:rPr>
          <w:rFonts w:ascii="Times New Roman" w:hAnsi="Times New Roman" w:cs="Times New Roman"/>
          <w:sz w:val="20"/>
          <w:szCs w:val="20"/>
        </w:rPr>
        <w:t>requirement</w:t>
      </w:r>
      <w:r>
        <w:rPr>
          <w:rFonts w:ascii="Times New Roman" w:hAnsi="Times New Roman" w:cs="Times New Roman"/>
          <w:sz w:val="20"/>
          <w:szCs w:val="20"/>
        </w:rPr>
        <w:t xml:space="preserve"> of </w:t>
      </w:r>
      <w:r w:rsidR="0037047F">
        <w:rPr>
          <w:rFonts w:ascii="Times New Roman" w:hAnsi="Times New Roman" w:cs="Times New Roman"/>
          <w:sz w:val="20"/>
          <w:szCs w:val="20"/>
        </w:rPr>
        <w:t xml:space="preserve">adding </w:t>
      </w:r>
      <w:r w:rsidR="0037047F" w:rsidRPr="0037047F">
        <w:rPr>
          <w:rFonts w:ascii="Times New Roman" w:hAnsi="Times New Roman" w:cs="Times New Roman"/>
          <w:sz w:val="20"/>
          <w:szCs w:val="20"/>
        </w:rPr>
        <w:t>the condition that at least one SSB is available</w:t>
      </w:r>
      <w:r w:rsidR="0037047F">
        <w:rPr>
          <w:rFonts w:ascii="Times New Roman" w:hAnsi="Times New Roman" w:cs="Times New Roman"/>
          <w:sz w:val="20"/>
          <w:szCs w:val="20"/>
        </w:rPr>
        <w:t>. We think reusing</w:t>
      </w:r>
      <w:r w:rsidR="0037047F" w:rsidRPr="0037047F">
        <w:t xml:space="preserve"> </w:t>
      </w:r>
      <w:r w:rsidR="0037047F" w:rsidRPr="0037047F">
        <w:rPr>
          <w:rFonts w:ascii="Times New Roman" w:hAnsi="Times New Roman" w:cs="Times New Roman"/>
          <w:sz w:val="20"/>
          <w:szCs w:val="20"/>
        </w:rPr>
        <w:t xml:space="preserve">the legacy applicability conditions </w:t>
      </w:r>
      <w:r w:rsidR="0037047F">
        <w:rPr>
          <w:rFonts w:ascii="Times New Roman" w:hAnsi="Times New Roman" w:cs="Times New Roman"/>
          <w:sz w:val="20"/>
          <w:szCs w:val="20"/>
        </w:rPr>
        <w:t xml:space="preserve">for </w:t>
      </w:r>
      <w:r w:rsidR="0037047F" w:rsidRPr="0037047F">
        <w:rPr>
          <w:rFonts w:ascii="Times New Roman" w:hAnsi="Times New Roman" w:cs="Times New Roman"/>
          <w:sz w:val="20"/>
          <w:szCs w:val="20"/>
        </w:rPr>
        <w:t>HD-FDD</w:t>
      </w:r>
      <w:r w:rsidR="0037047F">
        <w:rPr>
          <w:rFonts w:ascii="Times New Roman" w:hAnsi="Times New Roman" w:cs="Times New Roman"/>
          <w:sz w:val="20"/>
          <w:szCs w:val="20"/>
        </w:rPr>
        <w:t xml:space="preserve"> for the </w:t>
      </w:r>
      <w:r w:rsidR="0037047F" w:rsidRPr="0037047F">
        <w:rPr>
          <w:rFonts w:ascii="Times New Roman" w:hAnsi="Times New Roman" w:cs="Times New Roman"/>
          <w:sz w:val="20"/>
          <w:szCs w:val="20"/>
        </w:rPr>
        <w:t>Maximum interruption in paging reception</w:t>
      </w:r>
      <w:r w:rsidR="0037047F">
        <w:rPr>
          <w:rFonts w:ascii="Times New Roman" w:hAnsi="Times New Roman" w:cs="Times New Roman"/>
          <w:sz w:val="20"/>
          <w:szCs w:val="20"/>
        </w:rPr>
        <w:t xml:space="preserve">, </w:t>
      </w:r>
      <w:r w:rsidR="0037047F" w:rsidRPr="0037047F">
        <w:rPr>
          <w:rFonts w:ascii="Times New Roman" w:hAnsi="Times New Roman" w:cs="Times New Roman"/>
          <w:sz w:val="20"/>
          <w:szCs w:val="20"/>
        </w:rPr>
        <w:t>Random access requirement</w:t>
      </w:r>
      <w:r w:rsidR="0037047F">
        <w:rPr>
          <w:rFonts w:ascii="Times New Roman" w:hAnsi="Times New Roman" w:cs="Times New Roman"/>
          <w:sz w:val="20"/>
          <w:szCs w:val="20"/>
        </w:rPr>
        <w:t xml:space="preserve"> and </w:t>
      </w:r>
      <w:r w:rsidR="0037047F" w:rsidRPr="0037047F">
        <w:rPr>
          <w:rFonts w:ascii="Times New Roman" w:hAnsi="Times New Roman" w:cs="Times New Roman"/>
          <w:sz w:val="20"/>
          <w:szCs w:val="20"/>
        </w:rPr>
        <w:t>RLM and L1-RSRP requirements</w:t>
      </w:r>
      <w:r w:rsidR="0037047F">
        <w:rPr>
          <w:rFonts w:ascii="Times New Roman" w:hAnsi="Times New Roman" w:cs="Times New Roman"/>
          <w:sz w:val="20"/>
          <w:szCs w:val="20"/>
        </w:rPr>
        <w:t xml:space="preserve"> are </w:t>
      </w:r>
      <w:r w:rsidR="0037047F" w:rsidRPr="0037047F">
        <w:rPr>
          <w:rFonts w:ascii="Times New Roman" w:hAnsi="Times New Roman" w:cs="Times New Roman"/>
          <w:sz w:val="20"/>
          <w:szCs w:val="20"/>
        </w:rPr>
        <w:t>sufficient.</w:t>
      </w:r>
    </w:p>
    <w:p w14:paraId="4E19E6E5" w14:textId="539FB466" w:rsidR="0037047F" w:rsidRPr="0037047F" w:rsidRDefault="00745C17" w:rsidP="0037047F">
      <w:pPr>
        <w:pStyle w:val="afc"/>
        <w:rPr>
          <w:rFonts w:ascii="Times New Roman" w:eastAsia="MS Gothic" w:hAnsi="Times New Roman" w:cs="Times New Roman"/>
          <w:b/>
          <w:bCs/>
          <w:sz w:val="20"/>
          <w:szCs w:val="16"/>
          <w:u w:val="single"/>
        </w:rPr>
      </w:pPr>
      <w:r w:rsidRPr="00745C17">
        <w:rPr>
          <w:rFonts w:ascii="Times New Roman" w:eastAsia="MS Gothic" w:hAnsi="Times New Roman" w:cs="Times New Roman"/>
          <w:b/>
          <w:bCs/>
          <w:sz w:val="20"/>
          <w:szCs w:val="16"/>
          <w:u w:val="single"/>
        </w:rPr>
        <w:t xml:space="preserve">Proposal </w:t>
      </w:r>
      <w:r w:rsidR="0037047F">
        <w:rPr>
          <w:rFonts w:ascii="Times New Roman" w:eastAsia="MS Gothic" w:hAnsi="Times New Roman" w:cs="Times New Roman"/>
          <w:b/>
          <w:bCs/>
          <w:sz w:val="20"/>
          <w:szCs w:val="16"/>
          <w:u w:val="single"/>
        </w:rPr>
        <w:t>3</w:t>
      </w:r>
      <w:r w:rsidRPr="00745C17">
        <w:rPr>
          <w:rFonts w:ascii="Times New Roman" w:eastAsia="MS Gothic" w:hAnsi="Times New Roman" w:cs="Times New Roman"/>
          <w:b/>
          <w:bCs/>
          <w:sz w:val="20"/>
          <w:szCs w:val="16"/>
          <w:u w:val="single"/>
        </w:rPr>
        <w:t xml:space="preserve">: </w:t>
      </w:r>
      <w:r w:rsidR="0037047F">
        <w:rPr>
          <w:rFonts w:ascii="Times New Roman" w:eastAsia="MS Gothic" w:hAnsi="Times New Roman" w:cs="Times New Roman"/>
          <w:b/>
          <w:bCs/>
          <w:sz w:val="20"/>
          <w:szCs w:val="16"/>
          <w:u w:val="single"/>
        </w:rPr>
        <w:t xml:space="preserve">RAN4 to reuse </w:t>
      </w:r>
      <w:bookmarkStart w:id="6" w:name="_Hlk220507920"/>
      <w:r w:rsidR="0037047F">
        <w:rPr>
          <w:rFonts w:ascii="Times New Roman" w:eastAsia="MS Gothic" w:hAnsi="Times New Roman" w:cs="Times New Roman"/>
          <w:b/>
          <w:bCs/>
          <w:sz w:val="20"/>
          <w:szCs w:val="16"/>
          <w:u w:val="single"/>
        </w:rPr>
        <w:t xml:space="preserve">the </w:t>
      </w:r>
      <w:r w:rsidR="0037047F" w:rsidRPr="0037047F">
        <w:rPr>
          <w:rFonts w:ascii="Times New Roman" w:eastAsia="MS Gothic" w:hAnsi="Times New Roman" w:cs="Times New Roman"/>
          <w:b/>
          <w:bCs/>
          <w:sz w:val="20"/>
          <w:szCs w:val="16"/>
          <w:u w:val="single"/>
        </w:rPr>
        <w:t>legacy applicability conditions for HD-FDD</w:t>
      </w:r>
      <w:bookmarkEnd w:id="6"/>
      <w:r w:rsidR="0037047F" w:rsidRPr="0037047F">
        <w:rPr>
          <w:rFonts w:ascii="Times New Roman" w:eastAsia="MS Gothic" w:hAnsi="Times New Roman" w:cs="Times New Roman"/>
          <w:b/>
          <w:bCs/>
          <w:sz w:val="20"/>
          <w:szCs w:val="16"/>
          <w:u w:val="single"/>
        </w:rPr>
        <w:t xml:space="preserve"> for the following existing VSAT requirements</w:t>
      </w:r>
      <w:r w:rsidR="0037047F">
        <w:rPr>
          <w:rFonts w:ascii="Times New Roman" w:eastAsia="MS Gothic" w:hAnsi="Times New Roman" w:cs="Times New Roman"/>
          <w:b/>
          <w:bCs/>
          <w:sz w:val="20"/>
          <w:szCs w:val="16"/>
          <w:u w:val="single"/>
        </w:rPr>
        <w:br/>
      </w:r>
      <w:proofErr w:type="spellStart"/>
      <w:r w:rsidR="0037047F" w:rsidRPr="0037047F">
        <w:rPr>
          <w:rFonts w:ascii="Times New Roman" w:eastAsia="MS Gothic" w:hAnsi="Times New Roman" w:cs="Times New Roman"/>
          <w:b/>
          <w:bCs/>
          <w:sz w:val="20"/>
          <w:szCs w:val="16"/>
          <w:u w:val="single"/>
        </w:rPr>
        <w:t>o</w:t>
      </w:r>
      <w:proofErr w:type="spellEnd"/>
      <w:r w:rsidR="0037047F" w:rsidRPr="0037047F">
        <w:rPr>
          <w:rFonts w:ascii="Times New Roman" w:eastAsia="MS Gothic" w:hAnsi="Times New Roman" w:cs="Times New Roman"/>
          <w:b/>
          <w:bCs/>
          <w:sz w:val="20"/>
          <w:szCs w:val="16"/>
          <w:u w:val="single"/>
        </w:rPr>
        <w:tab/>
      </w:r>
      <w:bookmarkStart w:id="7" w:name="_Hlk220507937"/>
      <w:r w:rsidR="0037047F" w:rsidRPr="0037047F">
        <w:rPr>
          <w:rFonts w:ascii="Times New Roman" w:eastAsia="MS Gothic" w:hAnsi="Times New Roman" w:cs="Times New Roman"/>
          <w:b/>
          <w:bCs/>
          <w:sz w:val="20"/>
          <w:szCs w:val="16"/>
          <w:u w:val="single"/>
        </w:rPr>
        <w:t>Maximum interruption in paging reception</w:t>
      </w:r>
      <w:bookmarkEnd w:id="7"/>
      <w:r w:rsidR="0037047F">
        <w:rPr>
          <w:rFonts w:ascii="Times New Roman" w:eastAsia="MS Gothic" w:hAnsi="Times New Roman" w:cs="Times New Roman"/>
          <w:b/>
          <w:bCs/>
          <w:sz w:val="20"/>
          <w:szCs w:val="16"/>
          <w:u w:val="single"/>
        </w:rPr>
        <w:br/>
      </w:r>
      <w:proofErr w:type="spellStart"/>
      <w:r w:rsidR="0037047F" w:rsidRPr="0037047F">
        <w:rPr>
          <w:rFonts w:ascii="Times New Roman" w:eastAsia="MS Gothic" w:hAnsi="Times New Roman" w:cs="Times New Roman"/>
          <w:b/>
          <w:bCs/>
          <w:sz w:val="20"/>
          <w:szCs w:val="16"/>
          <w:u w:val="single"/>
        </w:rPr>
        <w:t>o</w:t>
      </w:r>
      <w:proofErr w:type="spellEnd"/>
      <w:r w:rsidR="0037047F" w:rsidRPr="0037047F">
        <w:rPr>
          <w:rFonts w:ascii="Times New Roman" w:eastAsia="MS Gothic" w:hAnsi="Times New Roman" w:cs="Times New Roman"/>
          <w:b/>
          <w:bCs/>
          <w:sz w:val="20"/>
          <w:szCs w:val="16"/>
          <w:u w:val="single"/>
        </w:rPr>
        <w:tab/>
        <w:t>Random access requirement</w:t>
      </w:r>
      <w:r w:rsidR="0037047F">
        <w:rPr>
          <w:rFonts w:ascii="Times New Roman" w:eastAsia="MS Gothic" w:hAnsi="Times New Roman" w:cs="Times New Roman"/>
          <w:b/>
          <w:bCs/>
          <w:sz w:val="20"/>
          <w:szCs w:val="16"/>
          <w:u w:val="single"/>
        </w:rPr>
        <w:br/>
      </w:r>
      <w:r w:rsidR="0037047F" w:rsidRPr="0037047F">
        <w:rPr>
          <w:rFonts w:ascii="Times New Roman" w:eastAsia="MS Gothic" w:hAnsi="Times New Roman" w:cs="Times New Roman"/>
          <w:b/>
          <w:bCs/>
          <w:sz w:val="20"/>
          <w:szCs w:val="16"/>
          <w:u w:val="single"/>
        </w:rPr>
        <w:t>o</w:t>
      </w:r>
      <w:r w:rsidR="0037047F" w:rsidRPr="0037047F">
        <w:rPr>
          <w:rFonts w:ascii="Times New Roman" w:eastAsia="MS Gothic" w:hAnsi="Times New Roman" w:cs="Times New Roman"/>
          <w:b/>
          <w:bCs/>
          <w:sz w:val="20"/>
          <w:szCs w:val="16"/>
          <w:u w:val="single"/>
        </w:rPr>
        <w:tab/>
      </w:r>
      <w:bookmarkStart w:id="8" w:name="_Hlk220507973"/>
      <w:r w:rsidR="0037047F" w:rsidRPr="0037047F">
        <w:rPr>
          <w:rFonts w:ascii="Times New Roman" w:eastAsia="MS Gothic" w:hAnsi="Times New Roman" w:cs="Times New Roman"/>
          <w:b/>
          <w:bCs/>
          <w:sz w:val="20"/>
          <w:szCs w:val="16"/>
          <w:u w:val="single"/>
        </w:rPr>
        <w:t>RLM and L1-RSRP requirements</w:t>
      </w:r>
      <w:bookmarkEnd w:id="8"/>
      <w:r w:rsidR="0037047F" w:rsidRPr="0037047F">
        <w:rPr>
          <w:rFonts w:ascii="Times New Roman" w:eastAsia="MS Gothic" w:hAnsi="Times New Roman" w:cs="Times New Roman"/>
          <w:b/>
          <w:bCs/>
          <w:sz w:val="20"/>
          <w:szCs w:val="16"/>
          <w:u w:val="single"/>
        </w:rPr>
        <w:t>, including CSI-RS based measurement and L1 indication.</w:t>
      </w:r>
    </w:p>
    <w:p w14:paraId="7B295059" w14:textId="77777777" w:rsidR="00267545" w:rsidRDefault="0026754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61E3850F" w:rsidR="00375232" w:rsidRPr="00633BA2" w:rsidRDefault="00633BA2" w:rsidP="00633BA2">
      <w:pPr>
        <w:spacing w:before="180"/>
        <w:jc w:val="both"/>
        <w:rPr>
          <w:rFonts w:eastAsiaTheme="minorEastAsia"/>
          <w:szCs w:val="16"/>
          <w:lang w:eastAsia="ko-KR"/>
        </w:rPr>
      </w:pPr>
      <w:r>
        <w:rPr>
          <w:color w:val="1F2328"/>
          <w:shd w:val="clear" w:color="auto" w:fill="FFFFFF"/>
        </w:rPr>
        <w:t xml:space="preserve">This contribution discusses the impact of </w:t>
      </w:r>
      <w:r>
        <w:rPr>
          <w:rFonts w:eastAsia="MS Gothic"/>
          <w:szCs w:val="16"/>
          <w:lang w:eastAsia="ko-KR"/>
        </w:rPr>
        <w:t>HD-FDD for FR1-NTN core part operation</w:t>
      </w:r>
      <w:r>
        <w:rPr>
          <w:color w:val="1F2328"/>
          <w:shd w:val="clear" w:color="auto" w:fill="FFFFFF"/>
        </w:rPr>
        <w:t xml:space="preserve"> on RAN4 RRM</w:t>
      </w:r>
      <w:r w:rsidR="005018E6">
        <w:rPr>
          <w:rFonts w:eastAsia="MS Gothic"/>
          <w:szCs w:val="16"/>
          <w:lang w:eastAsia="ko-KR"/>
        </w:rPr>
        <w:t>. The following are the proposed points in this contribution.</w:t>
      </w:r>
    </w:p>
    <w:bookmarkEnd w:id="2"/>
    <w:bookmarkEnd w:id="4"/>
    <w:p w14:paraId="0CB1ACC9" w14:textId="459A9AEC" w:rsidR="003D2BED" w:rsidRDefault="003D5CC8" w:rsidP="003D2BED">
      <w:pPr>
        <w:pStyle w:val="afc"/>
        <w:jc w:val="both"/>
        <w:rPr>
          <w:rFonts w:ascii="Times New Roman" w:eastAsia="MS Gothic" w:hAnsi="Times New Roman" w:cs="Times New Roman"/>
          <w:b/>
          <w:bCs/>
          <w:sz w:val="20"/>
          <w:szCs w:val="16"/>
          <w:u w:val="single"/>
        </w:rPr>
      </w:pPr>
      <w:r w:rsidRPr="00F2553E">
        <w:rPr>
          <w:rFonts w:ascii="Times New Roman" w:eastAsia="MS Gothic" w:hAnsi="Times New Roman" w:cs="Times New Roman" w:hint="eastAsia"/>
          <w:b/>
          <w:bCs/>
          <w:sz w:val="20"/>
          <w:szCs w:val="16"/>
          <w:u w:val="single"/>
        </w:rPr>
        <w:t>Proposal</w:t>
      </w:r>
      <w:r w:rsidRPr="00F2553E">
        <w:rPr>
          <w:rFonts w:ascii="Times New Roman" w:eastAsia="MS Gothic" w:hAnsi="Times New Roman" w:cs="Times New Roman"/>
          <w:b/>
          <w:bCs/>
          <w:sz w:val="20"/>
          <w:szCs w:val="16"/>
          <w:u w:val="single"/>
        </w:rPr>
        <w:t xml:space="preserve"> </w:t>
      </w:r>
      <w:r>
        <w:rPr>
          <w:rFonts w:ascii="Times New Roman" w:eastAsia="MS Gothic" w:hAnsi="Times New Roman" w:cs="Times New Roman"/>
          <w:b/>
          <w:bCs/>
          <w:sz w:val="20"/>
          <w:szCs w:val="16"/>
          <w:u w:val="single"/>
        </w:rPr>
        <w:t>1</w:t>
      </w:r>
      <w:r w:rsidRPr="00F2553E">
        <w:rPr>
          <w:rFonts w:ascii="Times New Roman" w:eastAsia="MS Gothic" w:hAnsi="Times New Roman" w:cs="Times New Roman" w:hint="eastAsia"/>
          <w:b/>
          <w:bCs/>
          <w:sz w:val="20"/>
          <w:szCs w:val="16"/>
          <w:u w:val="single"/>
        </w:rPr>
        <w:t xml:space="preserve">: </w:t>
      </w:r>
      <w:r w:rsidR="00F364F8" w:rsidRPr="00F364F8">
        <w:rPr>
          <w:rFonts w:ascii="Times New Roman" w:eastAsia="MS Gothic" w:hAnsi="Times New Roman" w:cs="Times New Roman"/>
          <w:b/>
          <w:bCs/>
          <w:sz w:val="20"/>
          <w:szCs w:val="16"/>
          <w:u w:val="single"/>
        </w:rPr>
        <w:t>RAN4 to clarify the HD-FDD VSAT requirements applicability in clause 3 in CR.</w:t>
      </w:r>
      <w:r w:rsidR="009F4FB4">
        <w:rPr>
          <w:rFonts w:ascii="Times New Roman" w:eastAsia="MS Gothic" w:hAnsi="Times New Roman" w:cs="Times New Roman"/>
          <w:b/>
          <w:bCs/>
          <w:sz w:val="20"/>
          <w:szCs w:val="16"/>
          <w:u w:val="single"/>
        </w:rPr>
        <w:t xml:space="preserve"> </w:t>
      </w:r>
    </w:p>
    <w:p w14:paraId="3FC79419" w14:textId="3E2DBC40" w:rsidR="003D5CC8" w:rsidRPr="00745C17" w:rsidRDefault="006252A9" w:rsidP="003D5CC8">
      <w:pPr>
        <w:pStyle w:val="afc"/>
        <w:jc w:val="both"/>
        <w:rPr>
          <w:rFonts w:ascii="Times New Roman" w:eastAsia="MS Gothic" w:hAnsi="Times New Roman" w:cs="Times New Roman"/>
          <w:b/>
          <w:bCs/>
          <w:sz w:val="20"/>
          <w:szCs w:val="16"/>
          <w:u w:val="single"/>
        </w:rPr>
      </w:pPr>
      <w:r w:rsidRPr="006252A9">
        <w:rPr>
          <w:rFonts w:ascii="Times New Roman" w:eastAsia="MS Gothic" w:hAnsi="Times New Roman" w:cs="Times New Roman"/>
          <w:b/>
          <w:bCs/>
          <w:sz w:val="20"/>
          <w:szCs w:val="16"/>
          <w:u w:val="single"/>
        </w:rPr>
        <w:t>Proposal 2: RAN4 to reuse the existing handover, conditional handover, satellite switch requirements defined for NTN VSAT</w:t>
      </w:r>
      <w:r w:rsidR="003D5CC8" w:rsidRPr="00745C17">
        <w:rPr>
          <w:rFonts w:ascii="Times New Roman" w:eastAsia="MS Gothic" w:hAnsi="Times New Roman" w:cs="Times New Roman"/>
          <w:b/>
          <w:bCs/>
          <w:sz w:val="20"/>
          <w:szCs w:val="16"/>
          <w:u w:val="single"/>
        </w:rPr>
        <w:t>.</w:t>
      </w:r>
    </w:p>
    <w:p w14:paraId="793989F3" w14:textId="3B0378E1" w:rsidR="006252A9" w:rsidRDefault="009F4FB4" w:rsidP="006252A9">
      <w:pPr>
        <w:pStyle w:val="afc"/>
        <w:rPr>
          <w:rFonts w:ascii="Times New Roman" w:eastAsia="MS Gothic" w:hAnsi="Times New Roman" w:cs="Times New Roman"/>
          <w:b/>
          <w:bCs/>
          <w:sz w:val="20"/>
          <w:szCs w:val="16"/>
          <w:u w:val="single"/>
        </w:rPr>
      </w:pPr>
      <w:r w:rsidRPr="00745C17">
        <w:rPr>
          <w:rFonts w:ascii="Times New Roman" w:eastAsia="MS Gothic" w:hAnsi="Times New Roman" w:cs="Times New Roman"/>
          <w:b/>
          <w:bCs/>
          <w:sz w:val="20"/>
          <w:szCs w:val="16"/>
          <w:u w:val="single"/>
        </w:rPr>
        <w:t xml:space="preserve">Proposal </w:t>
      </w:r>
      <w:r>
        <w:rPr>
          <w:rFonts w:ascii="Times New Roman" w:eastAsia="MS Gothic" w:hAnsi="Times New Roman" w:cs="Times New Roman"/>
          <w:b/>
          <w:bCs/>
          <w:sz w:val="20"/>
          <w:szCs w:val="16"/>
          <w:u w:val="single"/>
        </w:rPr>
        <w:t>3</w:t>
      </w:r>
      <w:r w:rsidRPr="00745C17">
        <w:rPr>
          <w:rFonts w:ascii="Times New Roman" w:eastAsia="MS Gothic" w:hAnsi="Times New Roman" w:cs="Times New Roman"/>
          <w:b/>
          <w:bCs/>
          <w:sz w:val="20"/>
          <w:szCs w:val="16"/>
          <w:u w:val="single"/>
        </w:rPr>
        <w:t xml:space="preserve">: </w:t>
      </w:r>
      <w:r w:rsidR="006252A9" w:rsidRPr="006252A9">
        <w:rPr>
          <w:rFonts w:ascii="Times New Roman" w:eastAsia="MS Gothic" w:hAnsi="Times New Roman" w:cs="Times New Roman"/>
          <w:b/>
          <w:bCs/>
          <w:sz w:val="20"/>
          <w:szCs w:val="16"/>
          <w:u w:val="single"/>
        </w:rPr>
        <w:t>Proposal 3: RAN4 to reuse the legacy applicability conditions for HD-FDD for the following existing VSAT requirements</w:t>
      </w:r>
      <w:r w:rsidR="006252A9">
        <w:rPr>
          <w:rFonts w:ascii="Times New Roman" w:eastAsiaTheme="minorEastAsia" w:hAnsi="Times New Roman" w:cs="Times New Roman"/>
          <w:b/>
          <w:bCs/>
          <w:sz w:val="20"/>
          <w:szCs w:val="16"/>
          <w:u w:val="single"/>
        </w:rPr>
        <w:br/>
      </w:r>
      <w:proofErr w:type="spellStart"/>
      <w:r w:rsidR="006252A9" w:rsidRPr="006252A9">
        <w:rPr>
          <w:rFonts w:ascii="Times New Roman" w:eastAsia="MS Gothic" w:hAnsi="Times New Roman" w:cs="Times New Roman"/>
          <w:b/>
          <w:bCs/>
          <w:sz w:val="20"/>
          <w:szCs w:val="16"/>
          <w:u w:val="single"/>
        </w:rPr>
        <w:t>o</w:t>
      </w:r>
      <w:proofErr w:type="spellEnd"/>
      <w:r w:rsidR="006252A9" w:rsidRPr="006252A9">
        <w:rPr>
          <w:rFonts w:ascii="Times New Roman" w:eastAsia="MS Gothic" w:hAnsi="Times New Roman" w:cs="Times New Roman"/>
          <w:b/>
          <w:bCs/>
          <w:sz w:val="20"/>
          <w:szCs w:val="16"/>
          <w:u w:val="single"/>
        </w:rPr>
        <w:tab/>
        <w:t>Maximum interruption in paging reception</w:t>
      </w:r>
      <w:r w:rsidR="006252A9">
        <w:rPr>
          <w:rFonts w:ascii="Times New Roman" w:eastAsiaTheme="minorEastAsia" w:hAnsi="Times New Roman" w:cs="Times New Roman"/>
          <w:b/>
          <w:bCs/>
          <w:sz w:val="20"/>
          <w:szCs w:val="16"/>
          <w:u w:val="single"/>
        </w:rPr>
        <w:br/>
      </w:r>
      <w:proofErr w:type="spellStart"/>
      <w:r w:rsidR="006252A9" w:rsidRPr="006252A9">
        <w:rPr>
          <w:rFonts w:ascii="Times New Roman" w:eastAsia="MS Gothic" w:hAnsi="Times New Roman" w:cs="Times New Roman"/>
          <w:b/>
          <w:bCs/>
          <w:sz w:val="20"/>
          <w:szCs w:val="16"/>
          <w:u w:val="single"/>
        </w:rPr>
        <w:t>o</w:t>
      </w:r>
      <w:proofErr w:type="spellEnd"/>
      <w:r w:rsidR="006252A9" w:rsidRPr="006252A9">
        <w:rPr>
          <w:rFonts w:ascii="Times New Roman" w:eastAsia="MS Gothic" w:hAnsi="Times New Roman" w:cs="Times New Roman"/>
          <w:b/>
          <w:bCs/>
          <w:sz w:val="20"/>
          <w:szCs w:val="16"/>
          <w:u w:val="single"/>
        </w:rPr>
        <w:tab/>
        <w:t>Random access requirement</w:t>
      </w:r>
      <w:r w:rsidR="006252A9">
        <w:rPr>
          <w:rFonts w:ascii="Times New Roman" w:eastAsiaTheme="minorEastAsia" w:hAnsi="Times New Roman" w:cs="Times New Roman"/>
          <w:b/>
          <w:bCs/>
          <w:sz w:val="20"/>
          <w:szCs w:val="16"/>
          <w:u w:val="single"/>
        </w:rPr>
        <w:br/>
      </w:r>
      <w:r w:rsidR="006252A9" w:rsidRPr="006252A9">
        <w:rPr>
          <w:rFonts w:ascii="Times New Roman" w:eastAsia="MS Gothic" w:hAnsi="Times New Roman" w:cs="Times New Roman"/>
          <w:b/>
          <w:bCs/>
          <w:sz w:val="20"/>
          <w:szCs w:val="16"/>
          <w:u w:val="single"/>
        </w:rPr>
        <w:t>o</w:t>
      </w:r>
      <w:r w:rsidR="006252A9" w:rsidRPr="006252A9">
        <w:rPr>
          <w:rFonts w:ascii="Times New Roman" w:eastAsia="MS Gothic" w:hAnsi="Times New Roman" w:cs="Times New Roman"/>
          <w:b/>
          <w:bCs/>
          <w:sz w:val="20"/>
          <w:szCs w:val="16"/>
          <w:u w:val="single"/>
        </w:rPr>
        <w:tab/>
        <w:t>RLM and L1-RSRP requirements, including CSI-RS based measurement and L1 indication.</w:t>
      </w: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257BE820" w14:textId="5F80CD29" w:rsidR="0059510F" w:rsidRPr="006252A9" w:rsidRDefault="00355BF3" w:rsidP="00355BF3">
      <w:pPr>
        <w:rPr>
          <w:lang w:eastAsia="ko-KR"/>
        </w:rPr>
      </w:pPr>
      <w:r w:rsidRPr="00355BF3">
        <w:rPr>
          <w:lang w:eastAsia="ko-KR"/>
        </w:rPr>
        <w:t xml:space="preserve">[1] </w:t>
      </w:r>
      <w:bookmarkStart w:id="9" w:name="_Ref204360139"/>
      <w:r w:rsidR="00661472" w:rsidRPr="00661472">
        <w:t>R4-2523030</w:t>
      </w:r>
      <w:r w:rsidR="00D6186B">
        <w:t>,</w:t>
      </w:r>
      <w:r w:rsidR="00D6186B">
        <w:rPr>
          <w:rFonts w:ascii="等线" w:eastAsia="等线" w:hAnsi="等线"/>
          <w:lang w:eastAsia="zh-CN"/>
        </w:rPr>
        <w:t xml:space="preserve"> </w:t>
      </w:r>
      <w:r w:rsidR="00661472" w:rsidRPr="00661472">
        <w:rPr>
          <w:lang w:eastAsia="ko-KR"/>
        </w:rPr>
        <w:t>Way Forward for [117][330] NR_IoT_NTN_Ph2_Part2 RRM part</w:t>
      </w:r>
      <w:bookmarkEnd w:id="9"/>
    </w:p>
    <w:sectPr w:rsidR="0059510F" w:rsidRPr="006252A9"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49FB5" w14:textId="77777777" w:rsidR="00B26A34" w:rsidRDefault="00B26A34">
      <w:r>
        <w:separator/>
      </w:r>
    </w:p>
  </w:endnote>
  <w:endnote w:type="continuationSeparator" w:id="0">
    <w:p w14:paraId="46753DFB" w14:textId="77777777" w:rsidR="00B26A34" w:rsidRDefault="00B26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FangSong_GB2312"/>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panose1 w:val="020B0609000101010101"/>
    <w:charset w:val="81"/>
    <w:family w:val="modern"/>
    <w:pitch w:val="fixed"/>
    <w:sig w:usb0="B00002AF" w:usb1="69D77CFB" w:usb2="00000030" w:usb3="00000000" w:csb0="0008009F" w:csb1="00000000"/>
  </w:font>
  <w:font w:name="BatangChe">
    <w:panose1 w:val="02030609000101010101"/>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30B55">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29475" w14:textId="77777777" w:rsidR="00B26A34" w:rsidRDefault="00B26A34">
      <w:r>
        <w:separator/>
      </w:r>
    </w:p>
  </w:footnote>
  <w:footnote w:type="continuationSeparator" w:id="0">
    <w:p w14:paraId="6A8CB5A9" w14:textId="77777777" w:rsidR="00B26A34" w:rsidRDefault="00B26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087C25"/>
    <w:multiLevelType w:val="hybridMultilevel"/>
    <w:tmpl w:val="E4228E04"/>
    <w:lvl w:ilvl="0" w:tplc="04090019">
      <w:start w:val="4089"/>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4087C52"/>
    <w:multiLevelType w:val="hybridMultilevel"/>
    <w:tmpl w:val="5DE8E5F8"/>
    <w:lvl w:ilvl="0" w:tplc="04090019">
      <w:start w:val="4089"/>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8" w15:restartNumberingAfterBreak="0">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BA3345A"/>
    <w:multiLevelType w:val="hybridMultilevel"/>
    <w:tmpl w:val="99D2B9D6"/>
    <w:lvl w:ilvl="0" w:tplc="096CD7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2" w15:restartNumberingAfterBreak="0">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4"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5"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6"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 w15:restartNumberingAfterBreak="0">
    <w:nsid w:val="7A58574A"/>
    <w:multiLevelType w:val="multilevel"/>
    <w:tmpl w:val="7A5857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051CF"/>
    <w:multiLevelType w:val="hybridMultilevel"/>
    <w:tmpl w:val="9B5ED6C8"/>
    <w:lvl w:ilvl="0" w:tplc="BBDA1630">
      <w:start w:val="1"/>
      <w:numFmt w:val="bullet"/>
      <w:lvlText w:val="-"/>
      <w:lvlJc w:val="left"/>
      <w:pPr>
        <w:ind w:left="3936" w:hanging="420"/>
      </w:pPr>
      <w:rPr>
        <w:rFonts w:ascii="Times" w:hAnsi="Times" w:hint="default"/>
      </w:rPr>
    </w:lvl>
    <w:lvl w:ilvl="1" w:tplc="04090003">
      <w:start w:val="1"/>
      <w:numFmt w:val="bullet"/>
      <w:lvlText w:val=""/>
      <w:lvlJc w:val="left"/>
      <w:pPr>
        <w:ind w:left="4356" w:hanging="420"/>
      </w:pPr>
      <w:rPr>
        <w:rFonts w:ascii="Wingdings" w:hAnsi="Wingdings" w:hint="default"/>
      </w:rPr>
    </w:lvl>
    <w:lvl w:ilvl="2" w:tplc="04090005" w:tentative="1">
      <w:start w:val="1"/>
      <w:numFmt w:val="bullet"/>
      <w:lvlText w:val=""/>
      <w:lvlJc w:val="left"/>
      <w:pPr>
        <w:ind w:left="4776" w:hanging="420"/>
      </w:pPr>
      <w:rPr>
        <w:rFonts w:ascii="Wingdings" w:hAnsi="Wingdings" w:hint="default"/>
      </w:rPr>
    </w:lvl>
    <w:lvl w:ilvl="3" w:tplc="04090001" w:tentative="1">
      <w:start w:val="1"/>
      <w:numFmt w:val="bullet"/>
      <w:lvlText w:val=""/>
      <w:lvlJc w:val="left"/>
      <w:pPr>
        <w:ind w:left="5196" w:hanging="420"/>
      </w:pPr>
      <w:rPr>
        <w:rFonts w:ascii="Wingdings" w:hAnsi="Wingdings" w:hint="default"/>
      </w:rPr>
    </w:lvl>
    <w:lvl w:ilvl="4" w:tplc="04090003" w:tentative="1">
      <w:start w:val="1"/>
      <w:numFmt w:val="bullet"/>
      <w:lvlText w:val=""/>
      <w:lvlJc w:val="left"/>
      <w:pPr>
        <w:ind w:left="5616" w:hanging="420"/>
      </w:pPr>
      <w:rPr>
        <w:rFonts w:ascii="Wingdings" w:hAnsi="Wingdings" w:hint="default"/>
      </w:rPr>
    </w:lvl>
    <w:lvl w:ilvl="5" w:tplc="04090005" w:tentative="1">
      <w:start w:val="1"/>
      <w:numFmt w:val="bullet"/>
      <w:lvlText w:val=""/>
      <w:lvlJc w:val="left"/>
      <w:pPr>
        <w:ind w:left="6036" w:hanging="420"/>
      </w:pPr>
      <w:rPr>
        <w:rFonts w:ascii="Wingdings" w:hAnsi="Wingdings" w:hint="default"/>
      </w:rPr>
    </w:lvl>
    <w:lvl w:ilvl="6" w:tplc="04090001" w:tentative="1">
      <w:start w:val="1"/>
      <w:numFmt w:val="bullet"/>
      <w:lvlText w:val=""/>
      <w:lvlJc w:val="left"/>
      <w:pPr>
        <w:ind w:left="6456" w:hanging="420"/>
      </w:pPr>
      <w:rPr>
        <w:rFonts w:ascii="Wingdings" w:hAnsi="Wingdings" w:hint="default"/>
      </w:rPr>
    </w:lvl>
    <w:lvl w:ilvl="7" w:tplc="04090003" w:tentative="1">
      <w:start w:val="1"/>
      <w:numFmt w:val="bullet"/>
      <w:lvlText w:val=""/>
      <w:lvlJc w:val="left"/>
      <w:pPr>
        <w:ind w:left="6876" w:hanging="420"/>
      </w:pPr>
      <w:rPr>
        <w:rFonts w:ascii="Wingdings" w:hAnsi="Wingdings" w:hint="default"/>
      </w:rPr>
    </w:lvl>
    <w:lvl w:ilvl="8" w:tplc="04090005" w:tentative="1">
      <w:start w:val="1"/>
      <w:numFmt w:val="bullet"/>
      <w:lvlText w:val=""/>
      <w:lvlJc w:val="left"/>
      <w:pPr>
        <w:ind w:left="7296" w:hanging="420"/>
      </w:pPr>
      <w:rPr>
        <w:rFonts w:ascii="Wingdings" w:hAnsi="Wingdings" w:hint="default"/>
      </w:rPr>
    </w:lvl>
  </w:abstractNum>
  <w:abstractNum w:abstractNumId="26" w15:restartNumberingAfterBreak="0">
    <w:nsid w:val="7FF530DB"/>
    <w:multiLevelType w:val="hybridMultilevel"/>
    <w:tmpl w:val="1C1EEAAA"/>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num>
  <w:num w:numId="2">
    <w:abstractNumId w:val="24"/>
  </w:num>
  <w:num w:numId="3">
    <w:abstractNumId w:val="10"/>
  </w:num>
  <w:num w:numId="4">
    <w:abstractNumId w:val="15"/>
  </w:num>
  <w:num w:numId="5">
    <w:abstractNumId w:val="4"/>
  </w:num>
  <w:num w:numId="6">
    <w:abstractNumId w:val="21"/>
  </w:num>
  <w:num w:numId="7">
    <w:abstractNumId w:val="11"/>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4"/>
  </w:num>
  <w:num w:numId="10">
    <w:abstractNumId w:val="19"/>
  </w:num>
  <w:num w:numId="11">
    <w:abstractNumId w:val="2"/>
  </w:num>
  <w:num w:numId="12">
    <w:abstractNumId w:val="16"/>
  </w:num>
  <w:num w:numId="13">
    <w:abstractNumId w:val="22"/>
  </w:num>
  <w:num w:numId="14">
    <w:abstractNumId w:val="3"/>
  </w:num>
  <w:num w:numId="15">
    <w:abstractNumId w:val="9"/>
  </w:num>
  <w:num w:numId="16">
    <w:abstractNumId w:val="17"/>
  </w:num>
  <w:num w:numId="17">
    <w:abstractNumId w:val="5"/>
  </w:num>
  <w:num w:numId="18">
    <w:abstractNumId w:val="6"/>
  </w:num>
  <w:num w:numId="19">
    <w:abstractNumId w:val="13"/>
  </w:num>
  <w:num w:numId="20">
    <w:abstractNumId w:val="25"/>
  </w:num>
  <w:num w:numId="21">
    <w:abstractNumId w:val="18"/>
  </w:num>
  <w:num w:numId="22">
    <w:abstractNumId w:val="20"/>
  </w:num>
  <w:num w:numId="23">
    <w:abstractNumId w:val="23"/>
  </w:num>
  <w:num w:numId="24">
    <w:abstractNumId w:val="26"/>
  </w:num>
  <w:num w:numId="25">
    <w:abstractNumId w:val="8"/>
  </w:num>
  <w:num w:numId="26">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DD2"/>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5EC"/>
    <w:rsid w:val="000146BE"/>
    <w:rsid w:val="000146FD"/>
    <w:rsid w:val="000149A9"/>
    <w:rsid w:val="00014BF1"/>
    <w:rsid w:val="00014D47"/>
    <w:rsid w:val="0001505C"/>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8A7"/>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43"/>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D3D"/>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935"/>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CAD"/>
    <w:rsid w:val="000D7D5C"/>
    <w:rsid w:val="000D7D61"/>
    <w:rsid w:val="000D7EF6"/>
    <w:rsid w:val="000D7FB2"/>
    <w:rsid w:val="000D7FE6"/>
    <w:rsid w:val="000E00A9"/>
    <w:rsid w:val="000E0383"/>
    <w:rsid w:val="000E0393"/>
    <w:rsid w:val="000E0578"/>
    <w:rsid w:val="000E0768"/>
    <w:rsid w:val="000E07AB"/>
    <w:rsid w:val="000E07DB"/>
    <w:rsid w:val="000E0996"/>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80"/>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D25"/>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80"/>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E79"/>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8BD"/>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18B"/>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0DB5"/>
    <w:rsid w:val="00191181"/>
    <w:rsid w:val="00191384"/>
    <w:rsid w:val="00191540"/>
    <w:rsid w:val="00191A96"/>
    <w:rsid w:val="00191B34"/>
    <w:rsid w:val="00191BCB"/>
    <w:rsid w:val="00191C94"/>
    <w:rsid w:val="00191DE8"/>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4DF"/>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01"/>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2"/>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5FC4"/>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000"/>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EF2"/>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0DC8"/>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386"/>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0EB"/>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9F2"/>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63"/>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1CA"/>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DCB"/>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C80"/>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2C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A7E"/>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DE"/>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14A"/>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8EA"/>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6CD6"/>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49C"/>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888"/>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B1A"/>
    <w:rsid w:val="00340E3B"/>
    <w:rsid w:val="00340F38"/>
    <w:rsid w:val="00340F74"/>
    <w:rsid w:val="00341262"/>
    <w:rsid w:val="003412A5"/>
    <w:rsid w:val="003414A0"/>
    <w:rsid w:val="00341657"/>
    <w:rsid w:val="00341835"/>
    <w:rsid w:val="00341927"/>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4"/>
    <w:rsid w:val="00352A9C"/>
    <w:rsid w:val="00352AD4"/>
    <w:rsid w:val="00352AEC"/>
    <w:rsid w:val="00352C01"/>
    <w:rsid w:val="00352CB7"/>
    <w:rsid w:val="00352D54"/>
    <w:rsid w:val="00352E44"/>
    <w:rsid w:val="00352F41"/>
    <w:rsid w:val="003530AA"/>
    <w:rsid w:val="00353495"/>
    <w:rsid w:val="003534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47F"/>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52E"/>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6F4"/>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BED"/>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CC8"/>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BEC"/>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FE"/>
    <w:rsid w:val="004147C8"/>
    <w:rsid w:val="004147E2"/>
    <w:rsid w:val="004148C0"/>
    <w:rsid w:val="004149B1"/>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E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C99"/>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2ED"/>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92E"/>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C6"/>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1E8"/>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5FF0"/>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250"/>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C95"/>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3A"/>
    <w:rsid w:val="00572C24"/>
    <w:rsid w:val="00572C30"/>
    <w:rsid w:val="00572D84"/>
    <w:rsid w:val="00572F1D"/>
    <w:rsid w:val="00572F49"/>
    <w:rsid w:val="00572F6C"/>
    <w:rsid w:val="00572FB0"/>
    <w:rsid w:val="00572FE9"/>
    <w:rsid w:val="005731EC"/>
    <w:rsid w:val="00573219"/>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1F"/>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E2"/>
    <w:rsid w:val="00596502"/>
    <w:rsid w:val="00596531"/>
    <w:rsid w:val="0059666E"/>
    <w:rsid w:val="005968D2"/>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E5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931"/>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6EF0"/>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30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3E"/>
    <w:rsid w:val="005F48C0"/>
    <w:rsid w:val="005F49FD"/>
    <w:rsid w:val="005F4BA4"/>
    <w:rsid w:val="005F4CAE"/>
    <w:rsid w:val="005F4DDD"/>
    <w:rsid w:val="005F4E90"/>
    <w:rsid w:val="005F4ECE"/>
    <w:rsid w:val="005F51D8"/>
    <w:rsid w:val="005F5209"/>
    <w:rsid w:val="005F525D"/>
    <w:rsid w:val="005F53C9"/>
    <w:rsid w:val="005F5537"/>
    <w:rsid w:val="005F57E0"/>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72"/>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2A9"/>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BC7"/>
    <w:rsid w:val="0063322A"/>
    <w:rsid w:val="006332A5"/>
    <w:rsid w:val="006332D9"/>
    <w:rsid w:val="00633325"/>
    <w:rsid w:val="00633895"/>
    <w:rsid w:val="0063398E"/>
    <w:rsid w:val="00633BA2"/>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AB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294"/>
    <w:rsid w:val="0065244F"/>
    <w:rsid w:val="00652489"/>
    <w:rsid w:val="006524B7"/>
    <w:rsid w:val="006525A1"/>
    <w:rsid w:val="006526A4"/>
    <w:rsid w:val="0065281B"/>
    <w:rsid w:val="00652E72"/>
    <w:rsid w:val="00652E7A"/>
    <w:rsid w:val="00653512"/>
    <w:rsid w:val="006535EB"/>
    <w:rsid w:val="00653644"/>
    <w:rsid w:val="006536AC"/>
    <w:rsid w:val="006537FB"/>
    <w:rsid w:val="00653978"/>
    <w:rsid w:val="00653B4D"/>
    <w:rsid w:val="00653B7E"/>
    <w:rsid w:val="00653BA3"/>
    <w:rsid w:val="00654040"/>
    <w:rsid w:val="0065410C"/>
    <w:rsid w:val="006542E9"/>
    <w:rsid w:val="00654360"/>
    <w:rsid w:val="0065443C"/>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BCA"/>
    <w:rsid w:val="00657C1B"/>
    <w:rsid w:val="00657F18"/>
    <w:rsid w:val="00657F35"/>
    <w:rsid w:val="0066035C"/>
    <w:rsid w:val="00660787"/>
    <w:rsid w:val="00660A85"/>
    <w:rsid w:val="00660C19"/>
    <w:rsid w:val="00660DAC"/>
    <w:rsid w:val="00660ED9"/>
    <w:rsid w:val="006613BE"/>
    <w:rsid w:val="0066145D"/>
    <w:rsid w:val="00661472"/>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1C1"/>
    <w:rsid w:val="00683278"/>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A95"/>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6ED0"/>
    <w:rsid w:val="0069701C"/>
    <w:rsid w:val="00697162"/>
    <w:rsid w:val="00697168"/>
    <w:rsid w:val="0069722F"/>
    <w:rsid w:val="0069726C"/>
    <w:rsid w:val="0069733A"/>
    <w:rsid w:val="00697629"/>
    <w:rsid w:val="006976AA"/>
    <w:rsid w:val="006977EB"/>
    <w:rsid w:val="00697A21"/>
    <w:rsid w:val="00697AFA"/>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2CB"/>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8E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CA1"/>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6A"/>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17"/>
    <w:rsid w:val="00745C97"/>
    <w:rsid w:val="00745E01"/>
    <w:rsid w:val="00746029"/>
    <w:rsid w:val="007462A2"/>
    <w:rsid w:val="007463A7"/>
    <w:rsid w:val="007465E6"/>
    <w:rsid w:val="00746827"/>
    <w:rsid w:val="0074682E"/>
    <w:rsid w:val="00746995"/>
    <w:rsid w:val="007469D7"/>
    <w:rsid w:val="00746A09"/>
    <w:rsid w:val="00746A30"/>
    <w:rsid w:val="00746CB3"/>
    <w:rsid w:val="00746DBC"/>
    <w:rsid w:val="00746E94"/>
    <w:rsid w:val="00746F1A"/>
    <w:rsid w:val="00747004"/>
    <w:rsid w:val="00747008"/>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BD4"/>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B95"/>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5E3"/>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AFD"/>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118"/>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457"/>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1CA"/>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37D"/>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1F75"/>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52B"/>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98B"/>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14"/>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065"/>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15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355"/>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EE5"/>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5B"/>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B6"/>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73"/>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114"/>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6BE"/>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12"/>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2F6D"/>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8A0"/>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4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AD5"/>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3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ABE"/>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B4"/>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4CC0"/>
    <w:rsid w:val="00A05006"/>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404"/>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7BE"/>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5C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89"/>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DFF"/>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6AB"/>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3"/>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A34"/>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613"/>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52"/>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6F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2E"/>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31"/>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83A"/>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1F"/>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7E8"/>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830"/>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615"/>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32"/>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40E"/>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4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4F1A"/>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1E9"/>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A98"/>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5FD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73B"/>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25"/>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0F4"/>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86B"/>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C03"/>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92E"/>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07"/>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65"/>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8EF"/>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287"/>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DA9"/>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D6E"/>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DAD"/>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46"/>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5AB"/>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BC6"/>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1E3"/>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10"/>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57"/>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9F7"/>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CAD"/>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25"/>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6F5"/>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70"/>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CE6"/>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7F"/>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AA7"/>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483"/>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2D2"/>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4F8"/>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654"/>
    <w:rsid w:val="00F467A7"/>
    <w:rsid w:val="00F4681A"/>
    <w:rsid w:val="00F4682B"/>
    <w:rsid w:val="00F4692B"/>
    <w:rsid w:val="00F46B57"/>
    <w:rsid w:val="00F46EE7"/>
    <w:rsid w:val="00F46EF8"/>
    <w:rsid w:val="00F47023"/>
    <w:rsid w:val="00F47053"/>
    <w:rsid w:val="00F4706F"/>
    <w:rsid w:val="00F471A5"/>
    <w:rsid w:val="00F47253"/>
    <w:rsid w:val="00F472DB"/>
    <w:rsid w:val="00F474C3"/>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B08"/>
    <w:rsid w:val="00F51F63"/>
    <w:rsid w:val="00F51F86"/>
    <w:rsid w:val="00F51FAE"/>
    <w:rsid w:val="00F52144"/>
    <w:rsid w:val="00F5217A"/>
    <w:rsid w:val="00F521C4"/>
    <w:rsid w:val="00F52228"/>
    <w:rsid w:val="00F523C9"/>
    <w:rsid w:val="00F524BC"/>
    <w:rsid w:val="00F52542"/>
    <w:rsid w:val="00F52621"/>
    <w:rsid w:val="00F527B5"/>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08C"/>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67A"/>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372"/>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70F"/>
    <w:rsid w:val="00F86974"/>
    <w:rsid w:val="00F86998"/>
    <w:rsid w:val="00F86A0E"/>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44D"/>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9D"/>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DFF2CB25-93EC-4936-9C36-44EF84EE3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6E6A"/>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link w:val="40"/>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1"/>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ST Table,Check(v),Table-Text,x Tableau page de garde"/>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列出段落2,목록 "/>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GulimChe" w:eastAsia="GulimChe" w:hAnsi="GulimChe" w:cs="GulimChe"/>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BatangChe" w:eastAsiaTheme="minorHAnsi" w:hAnsi="BatangChe"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BatangChe" w:eastAsiaTheme="minorEastAsia" w:hAnsi="BatangChe"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BatangChe" w:eastAsiaTheme="minorEastAsia" w:hAnsi="BatangChe"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BatangChe" w:eastAsiaTheme="minorEastAsia" w:hAnsi="BatangChe"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40">
    <w:name w:val="标题 4 字符"/>
    <w:aliases w:val="Head4 字符"/>
    <w:basedOn w:val="a0"/>
    <w:link w:val="4"/>
    <w:rsid w:val="00716E6A"/>
    <w:rPr>
      <w:rFonts w:ascii="Calibri" w:eastAsiaTheme="minorEastAsia" w:hAnsi="Calibri" w:cstheme="minorBidi"/>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9686153">
      <w:bodyDiv w:val="1"/>
      <w:marLeft w:val="0"/>
      <w:marRight w:val="0"/>
      <w:marTop w:val="0"/>
      <w:marBottom w:val="0"/>
      <w:divBdr>
        <w:top w:val="none" w:sz="0" w:space="0" w:color="auto"/>
        <w:left w:val="none" w:sz="0" w:space="0" w:color="auto"/>
        <w:bottom w:val="none" w:sz="0" w:space="0" w:color="auto"/>
        <w:right w:val="none" w:sz="0" w:space="0" w:color="auto"/>
      </w:divBdr>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035176">
      <w:bodyDiv w:val="1"/>
      <w:marLeft w:val="0"/>
      <w:marRight w:val="0"/>
      <w:marTop w:val="0"/>
      <w:marBottom w:val="0"/>
      <w:divBdr>
        <w:top w:val="none" w:sz="0" w:space="0" w:color="auto"/>
        <w:left w:val="none" w:sz="0" w:space="0" w:color="auto"/>
        <w:bottom w:val="none" w:sz="0" w:space="0" w:color="auto"/>
        <w:right w:val="none" w:sz="0" w:space="0" w:color="auto"/>
      </w:divBdr>
      <w:divsChild>
        <w:div w:id="281066">
          <w:marLeft w:val="0"/>
          <w:marRight w:val="0"/>
          <w:marTop w:val="0"/>
          <w:marBottom w:val="0"/>
          <w:divBdr>
            <w:top w:val="none" w:sz="0" w:space="0" w:color="auto"/>
            <w:left w:val="none" w:sz="0" w:space="0" w:color="auto"/>
            <w:bottom w:val="none" w:sz="0" w:space="0" w:color="auto"/>
            <w:right w:val="none" w:sz="0" w:space="0" w:color="auto"/>
          </w:divBdr>
          <w:divsChild>
            <w:div w:id="1644776660">
              <w:marLeft w:val="0"/>
              <w:marRight w:val="0"/>
              <w:marTop w:val="0"/>
              <w:marBottom w:val="0"/>
              <w:divBdr>
                <w:top w:val="none" w:sz="0" w:space="0" w:color="auto"/>
                <w:left w:val="none" w:sz="0" w:space="0" w:color="auto"/>
                <w:bottom w:val="none" w:sz="0" w:space="0" w:color="auto"/>
                <w:right w:val="none" w:sz="0" w:space="0" w:color="auto"/>
              </w:divBdr>
              <w:divsChild>
                <w:div w:id="1761639228">
                  <w:marLeft w:val="0"/>
                  <w:marRight w:val="0"/>
                  <w:marTop w:val="0"/>
                  <w:marBottom w:val="0"/>
                  <w:divBdr>
                    <w:top w:val="none" w:sz="0" w:space="0" w:color="auto"/>
                    <w:left w:val="none" w:sz="0" w:space="0" w:color="auto"/>
                    <w:bottom w:val="none" w:sz="0" w:space="0" w:color="auto"/>
                    <w:right w:val="none" w:sz="0" w:space="0" w:color="auto"/>
                  </w:divBdr>
                  <w:divsChild>
                    <w:div w:id="1256672117">
                      <w:marLeft w:val="0"/>
                      <w:marRight w:val="0"/>
                      <w:marTop w:val="0"/>
                      <w:marBottom w:val="0"/>
                      <w:divBdr>
                        <w:top w:val="none" w:sz="0" w:space="0" w:color="auto"/>
                        <w:left w:val="none" w:sz="0" w:space="0" w:color="auto"/>
                        <w:bottom w:val="none" w:sz="0" w:space="0" w:color="auto"/>
                        <w:right w:val="none" w:sz="0" w:space="0" w:color="auto"/>
                      </w:divBdr>
                      <w:divsChild>
                        <w:div w:id="901866885">
                          <w:marLeft w:val="0"/>
                          <w:marRight w:val="0"/>
                          <w:marTop w:val="0"/>
                          <w:marBottom w:val="0"/>
                          <w:divBdr>
                            <w:top w:val="none" w:sz="0" w:space="0" w:color="auto"/>
                            <w:left w:val="none" w:sz="0" w:space="0" w:color="auto"/>
                            <w:bottom w:val="none" w:sz="0" w:space="0" w:color="auto"/>
                            <w:right w:val="none" w:sz="0" w:space="0" w:color="auto"/>
                          </w:divBdr>
                          <w:divsChild>
                            <w:div w:id="9968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2282637">
      <w:bodyDiv w:val="1"/>
      <w:marLeft w:val="0"/>
      <w:marRight w:val="0"/>
      <w:marTop w:val="0"/>
      <w:marBottom w:val="0"/>
      <w:divBdr>
        <w:top w:val="none" w:sz="0" w:space="0" w:color="auto"/>
        <w:left w:val="none" w:sz="0" w:space="0" w:color="auto"/>
        <w:bottom w:val="none" w:sz="0" w:space="0" w:color="auto"/>
        <w:right w:val="none" w:sz="0" w:space="0" w:color="auto"/>
      </w:divBdr>
      <w:divsChild>
        <w:div w:id="140849285">
          <w:marLeft w:val="0"/>
          <w:marRight w:val="0"/>
          <w:marTop w:val="0"/>
          <w:marBottom w:val="0"/>
          <w:divBdr>
            <w:top w:val="none" w:sz="0" w:space="0" w:color="auto"/>
            <w:left w:val="none" w:sz="0" w:space="0" w:color="auto"/>
            <w:bottom w:val="none" w:sz="0" w:space="0" w:color="auto"/>
            <w:right w:val="none" w:sz="0" w:space="0" w:color="auto"/>
          </w:divBdr>
          <w:divsChild>
            <w:div w:id="793599913">
              <w:marLeft w:val="0"/>
              <w:marRight w:val="0"/>
              <w:marTop w:val="0"/>
              <w:marBottom w:val="0"/>
              <w:divBdr>
                <w:top w:val="none" w:sz="0" w:space="0" w:color="auto"/>
                <w:left w:val="none" w:sz="0" w:space="0" w:color="auto"/>
                <w:bottom w:val="none" w:sz="0" w:space="0" w:color="auto"/>
                <w:right w:val="none" w:sz="0" w:space="0" w:color="auto"/>
              </w:divBdr>
              <w:divsChild>
                <w:div w:id="207843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39148071">
      <w:bodyDiv w:val="1"/>
      <w:marLeft w:val="0"/>
      <w:marRight w:val="0"/>
      <w:marTop w:val="0"/>
      <w:marBottom w:val="0"/>
      <w:divBdr>
        <w:top w:val="none" w:sz="0" w:space="0" w:color="auto"/>
        <w:left w:val="none" w:sz="0" w:space="0" w:color="auto"/>
        <w:bottom w:val="none" w:sz="0" w:space="0" w:color="auto"/>
        <w:right w:val="none" w:sz="0" w:space="0" w:color="auto"/>
      </w:divBdr>
    </w:div>
    <w:div w:id="948704630">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312183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1793215">
      <w:bodyDiv w:val="1"/>
      <w:marLeft w:val="0"/>
      <w:marRight w:val="0"/>
      <w:marTop w:val="0"/>
      <w:marBottom w:val="0"/>
      <w:divBdr>
        <w:top w:val="none" w:sz="0" w:space="0" w:color="auto"/>
        <w:left w:val="none" w:sz="0" w:space="0" w:color="auto"/>
        <w:bottom w:val="none" w:sz="0" w:space="0" w:color="auto"/>
        <w:right w:val="none" w:sz="0" w:space="0" w:color="auto"/>
      </w:divBdr>
      <w:divsChild>
        <w:div w:id="1288857340">
          <w:marLeft w:val="0"/>
          <w:marRight w:val="0"/>
          <w:marTop w:val="0"/>
          <w:marBottom w:val="0"/>
          <w:divBdr>
            <w:top w:val="none" w:sz="0" w:space="0" w:color="auto"/>
            <w:left w:val="none" w:sz="0" w:space="0" w:color="auto"/>
            <w:bottom w:val="none" w:sz="0" w:space="0" w:color="auto"/>
            <w:right w:val="none" w:sz="0" w:space="0" w:color="auto"/>
          </w:divBdr>
          <w:divsChild>
            <w:div w:id="1789354146">
              <w:marLeft w:val="0"/>
              <w:marRight w:val="0"/>
              <w:marTop w:val="0"/>
              <w:marBottom w:val="0"/>
              <w:divBdr>
                <w:top w:val="none" w:sz="0" w:space="0" w:color="auto"/>
                <w:left w:val="none" w:sz="0" w:space="0" w:color="auto"/>
                <w:bottom w:val="none" w:sz="0" w:space="0" w:color="auto"/>
                <w:right w:val="none" w:sz="0" w:space="0" w:color="auto"/>
              </w:divBdr>
              <w:divsChild>
                <w:div w:id="1354503159">
                  <w:marLeft w:val="0"/>
                  <w:marRight w:val="0"/>
                  <w:marTop w:val="0"/>
                  <w:marBottom w:val="0"/>
                  <w:divBdr>
                    <w:top w:val="none" w:sz="0" w:space="0" w:color="auto"/>
                    <w:left w:val="none" w:sz="0" w:space="0" w:color="auto"/>
                    <w:bottom w:val="none" w:sz="0" w:space="0" w:color="auto"/>
                    <w:right w:val="none" w:sz="0" w:space="0" w:color="auto"/>
                  </w:divBdr>
                  <w:divsChild>
                    <w:div w:id="1719546085">
                      <w:marLeft w:val="0"/>
                      <w:marRight w:val="0"/>
                      <w:marTop w:val="0"/>
                      <w:marBottom w:val="0"/>
                      <w:divBdr>
                        <w:top w:val="none" w:sz="0" w:space="0" w:color="auto"/>
                        <w:left w:val="none" w:sz="0" w:space="0" w:color="auto"/>
                        <w:bottom w:val="none" w:sz="0" w:space="0" w:color="auto"/>
                        <w:right w:val="none" w:sz="0" w:space="0" w:color="auto"/>
                      </w:divBdr>
                      <w:divsChild>
                        <w:div w:id="269898604">
                          <w:marLeft w:val="0"/>
                          <w:marRight w:val="0"/>
                          <w:marTop w:val="0"/>
                          <w:marBottom w:val="0"/>
                          <w:divBdr>
                            <w:top w:val="none" w:sz="0" w:space="0" w:color="auto"/>
                            <w:left w:val="none" w:sz="0" w:space="0" w:color="auto"/>
                            <w:bottom w:val="none" w:sz="0" w:space="0" w:color="auto"/>
                            <w:right w:val="none" w:sz="0" w:space="0" w:color="auto"/>
                          </w:divBdr>
                          <w:divsChild>
                            <w:div w:id="57135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2.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25747D-EED2-4F75-9793-70CC9FD83C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1655</TotalTime>
  <Pages>3</Pages>
  <Words>763</Words>
  <Characters>4352</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5105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Xinyan Li/NW Research&amp;Standard Lab /SRC-Beijing/Engineer/Samsung Electronics</cp:lastModifiedBy>
  <cp:revision>29</cp:revision>
  <cp:lastPrinted>2015-10-31T09:51:00Z</cp:lastPrinted>
  <dcterms:created xsi:type="dcterms:W3CDTF">2025-09-17T08:51:00Z</dcterms:created>
  <dcterms:modified xsi:type="dcterms:W3CDTF">2026-01-30T23:20:00Z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432A074EBA91ECACB1D6E09E3B731FCC7C396F5E7ECD8C06A8206BCF35338DAB599FD2B7C47476FC300D40E964A46D96E7248BDECE46A0832CDC482DF8305ED5</vt:lpwstr>
  </property>
  <property fmtid="{D5CDD505-2E9C-101B-9397-08002B2CF9AE}" pid="4" name="ContentTypeId">
    <vt:lpwstr>0x0101003F18BD4427B20040B5E61800580951F0</vt:lpwstr>
  </property>
  <property fmtid="{D5CDD505-2E9C-101B-9397-08002B2CF9AE}" pid="5" name="DocumentId">
    <vt:lpwstr/>
  </property>
</Properties>
</file>