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2E18FE07" w:rsidR="00C73187" w:rsidRPr="00C46830"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w:t>
      </w:r>
      <w:r w:rsidRPr="00C46830">
        <w:rPr>
          <w:rFonts w:ascii="Arial" w:eastAsia="MS Gothic" w:hAnsi="Arial" w:cs="Arial"/>
          <w:b/>
          <w:bCs/>
          <w:sz w:val="24"/>
          <w:szCs w:val="24"/>
          <w:lang w:eastAsia="ja-JP"/>
        </w:rPr>
        <w:t xml:space="preserve">PP </w:t>
      </w:r>
      <w:r w:rsidR="00C46830">
        <w:rPr>
          <w:rFonts w:ascii="Arial" w:hAnsi="Arial" w:cs="Arial"/>
          <w:b/>
          <w:sz w:val="24"/>
          <w:szCs w:val="28"/>
        </w:rPr>
        <w:t>TSG RAN WG4 Meeting</w:t>
      </w:r>
      <w:r w:rsidRPr="00C46830">
        <w:rPr>
          <w:rFonts w:ascii="Arial" w:eastAsia="MS Gothic" w:hAnsi="Arial" w:cs="Arial"/>
          <w:b/>
          <w:bCs/>
          <w:sz w:val="24"/>
          <w:szCs w:val="24"/>
          <w:lang w:eastAsia="ja-JP"/>
        </w:rPr>
        <w:t xml:space="preserve"> #1</w:t>
      </w:r>
      <w:r w:rsidR="00DA3B65" w:rsidRPr="00C46830">
        <w:rPr>
          <w:rFonts w:ascii="Arial" w:eastAsia="MS Gothic" w:hAnsi="Arial" w:cs="Arial"/>
          <w:b/>
          <w:bCs/>
          <w:sz w:val="24"/>
          <w:szCs w:val="24"/>
          <w:lang w:eastAsia="ja-JP"/>
        </w:rPr>
        <w:t>1</w:t>
      </w:r>
      <w:r w:rsidR="0089755B">
        <w:rPr>
          <w:rFonts w:ascii="Arial" w:eastAsia="MS Gothic" w:hAnsi="Arial" w:cs="Arial"/>
          <w:b/>
          <w:bCs/>
          <w:sz w:val="24"/>
          <w:szCs w:val="24"/>
          <w:lang w:eastAsia="ja-JP"/>
        </w:rPr>
        <w:t>8</w:t>
      </w:r>
      <w:r w:rsidRPr="00C46830">
        <w:rPr>
          <w:rFonts w:ascii="Arial" w:eastAsia="MS Gothic" w:hAnsi="Arial"/>
          <w:sz w:val="24"/>
          <w:szCs w:val="24"/>
          <w:lang w:eastAsia="ja-JP"/>
        </w:rPr>
        <w:t xml:space="preserve">    </w:t>
      </w:r>
      <w:r w:rsidRPr="00C46830">
        <w:rPr>
          <w:rFonts w:ascii="Arial" w:eastAsia="MS Gothic" w:hAnsi="Arial"/>
          <w:sz w:val="24"/>
          <w:szCs w:val="24"/>
          <w:lang w:eastAsia="ja-JP"/>
        </w:rPr>
        <w:tab/>
      </w:r>
      <w:r w:rsidRPr="00C46830">
        <w:rPr>
          <w:rFonts w:ascii="Arial" w:eastAsia="MS Gothic" w:hAnsi="Arial"/>
          <w:sz w:val="24"/>
          <w:szCs w:val="24"/>
          <w:lang w:eastAsia="ja-JP"/>
        </w:rPr>
        <w:tab/>
        <w:t xml:space="preserve">                         </w:t>
      </w:r>
      <w:r w:rsidR="009E3E44" w:rsidRPr="009E3E44">
        <w:rPr>
          <w:rFonts w:ascii="Arial" w:eastAsia="等线" w:hAnsi="Arial" w:cs="Arial"/>
          <w:b/>
          <w:bCs/>
          <w:sz w:val="24"/>
          <w:szCs w:val="24"/>
          <w:lang w:eastAsia="zh-CN"/>
        </w:rPr>
        <w:t>R4-2602122</w:t>
      </w:r>
    </w:p>
    <w:bookmarkEnd w:id="0"/>
    <w:p w14:paraId="47B02B9C" w14:textId="77777777" w:rsidR="00D7692E" w:rsidRPr="003E0111" w:rsidRDefault="00D7692E" w:rsidP="00D7692E">
      <w:pPr>
        <w:widowControl w:val="0"/>
        <w:spacing w:after="240" w:line="240" w:lineRule="auto"/>
        <w:rPr>
          <w:rFonts w:ascii="Arial" w:eastAsia="等线" w:hAnsi="Arial" w:cs="Arial"/>
          <w:b/>
          <w:bCs/>
          <w:sz w:val="24"/>
          <w:szCs w:val="24"/>
          <w:lang w:eastAsia="zh-CN"/>
        </w:rPr>
      </w:pPr>
      <w:r w:rsidRPr="003E0111">
        <w:rPr>
          <w:rFonts w:ascii="Arial" w:eastAsia="等线" w:hAnsi="Arial" w:cs="Arial"/>
          <w:b/>
          <w:bCs/>
          <w:sz w:val="24"/>
          <w:szCs w:val="24"/>
          <w:lang w:eastAsia="zh-CN"/>
        </w:rPr>
        <w:t>Gothenburg, Sweden, Feb. 09-13, 2026</w:t>
      </w:r>
    </w:p>
    <w:p w14:paraId="66297322" w14:textId="4EB2C0D4"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A3B65">
        <w:rPr>
          <w:rFonts w:ascii="Arial" w:eastAsia="Malgun Gothic" w:hAnsi="Arial"/>
          <w:sz w:val="24"/>
          <w:szCs w:val="24"/>
          <w:lang w:eastAsia="ko-KR"/>
        </w:rPr>
        <w:t>6.</w:t>
      </w:r>
      <w:r w:rsidR="006E5FA4">
        <w:rPr>
          <w:rFonts w:ascii="Arial" w:eastAsia="Malgun Gothic" w:hAnsi="Arial"/>
          <w:sz w:val="24"/>
          <w:szCs w:val="24"/>
          <w:lang w:eastAsia="ko-KR"/>
        </w:rPr>
        <w:t>3</w:t>
      </w:r>
      <w:r w:rsidR="00DA3B65">
        <w:rPr>
          <w:rFonts w:ascii="Arial" w:eastAsia="Malgun Gothic"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C0C84F3" w:rsidR="00F44C59" w:rsidRPr="00DA3B65"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B41F50" w:rsidRPr="00B41F50">
        <w:rPr>
          <w:rFonts w:ascii="Arial" w:eastAsia="Malgun Gothic" w:hAnsi="Arial" w:cs="Arial"/>
          <w:sz w:val="24"/>
          <w:lang w:eastAsia="ko-KR"/>
        </w:rPr>
        <w:t xml:space="preserve">performance </w:t>
      </w:r>
      <w:r w:rsidR="00B41F50">
        <w:rPr>
          <w:rFonts w:ascii="Arial" w:eastAsia="Malgun Gothic" w:hAnsi="Arial" w:cs="Arial"/>
          <w:sz w:val="24"/>
          <w:lang w:eastAsia="ko-KR"/>
        </w:rPr>
        <w:t xml:space="preserve">part </w:t>
      </w:r>
      <w:r w:rsidR="00B41F50" w:rsidRPr="00B41F50">
        <w:rPr>
          <w:rFonts w:ascii="Arial" w:eastAsia="Malgun Gothic" w:hAnsi="Arial" w:cs="Arial" w:hint="eastAsia"/>
          <w:sz w:val="24"/>
          <w:lang w:eastAsia="ko-KR"/>
        </w:rPr>
        <w:t>of</w:t>
      </w:r>
      <w:r w:rsidR="00B41F50">
        <w:rPr>
          <w:rFonts w:ascii="Arial" w:eastAsia="Malgun Gothic" w:hAnsi="Arial" w:cs="Arial"/>
          <w:sz w:val="24"/>
          <w:lang w:eastAsia="ko-KR"/>
        </w:rPr>
        <w:t xml:space="preserve"> LB-CA </w:t>
      </w:r>
      <w:r w:rsidR="00B41F50" w:rsidRPr="00772556">
        <w:rPr>
          <w:rFonts w:ascii="Arial" w:eastAsia="Malgun Gothic" w:hAnsi="Arial" w:cs="Arial"/>
          <w:sz w:val="24"/>
          <w:lang w:eastAsia="ko-KR"/>
        </w:rPr>
        <w:t>via switching</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60C5BAF8" w14:textId="402B1298" w:rsidR="00CC3DEA" w:rsidRDefault="004522ED" w:rsidP="006E5FA4">
      <w:pPr>
        <w:spacing w:beforeLines="50" w:before="120" w:afterLines="50" w:after="120"/>
        <w:jc w:val="both"/>
        <w:rPr>
          <w:rFonts w:eastAsia="MS Gothic"/>
          <w:szCs w:val="16"/>
          <w:lang w:eastAsia="ko-KR"/>
        </w:rPr>
      </w:pPr>
      <w:bookmarkStart w:id="4" w:name="_Hlk145277988"/>
      <w:r>
        <w:rPr>
          <w:rFonts w:eastAsia="宋体" w:hint="eastAsia"/>
        </w:rPr>
        <w:t>I</w:t>
      </w:r>
      <w:r>
        <w:rPr>
          <w:rFonts w:eastAsia="宋体"/>
        </w:rPr>
        <w:t xml:space="preserve">n </w:t>
      </w:r>
      <w:r>
        <w:rPr>
          <w:rFonts w:eastAsia="宋体" w:hint="eastAsia"/>
          <w:lang w:eastAsia="zh-CN"/>
        </w:rPr>
        <w:t>the</w:t>
      </w:r>
      <w:r>
        <w:rPr>
          <w:rFonts w:eastAsia="宋体"/>
        </w:rPr>
        <w:t xml:space="preserve"> RAN4#11</w:t>
      </w:r>
      <w:r w:rsidR="00661472">
        <w:rPr>
          <w:rFonts w:eastAsia="宋体"/>
        </w:rPr>
        <w:t>7</w:t>
      </w:r>
      <w:r>
        <w:rPr>
          <w:rFonts w:eastAsia="宋体"/>
        </w:rPr>
        <w:t xml:space="preserve">, we have already discussed the </w:t>
      </w:r>
      <w:r w:rsidR="003648AE" w:rsidRPr="003648AE">
        <w:rPr>
          <w:rFonts w:eastAsia="宋体"/>
        </w:rPr>
        <w:t>detailed TC list</w:t>
      </w:r>
      <w:r w:rsidR="003648AE">
        <w:rPr>
          <w:rFonts w:eastAsia="宋体"/>
        </w:rPr>
        <w:t xml:space="preserve"> </w:t>
      </w:r>
      <w:r w:rsidR="003648AE">
        <w:rPr>
          <w:rFonts w:eastAsia="宋体" w:hint="eastAsia"/>
          <w:lang w:eastAsia="zh-CN"/>
        </w:rPr>
        <w:t>and</w:t>
      </w:r>
      <w:r w:rsidR="003648AE">
        <w:rPr>
          <w:rFonts w:eastAsia="宋体"/>
          <w:lang w:eastAsia="zh-CN"/>
        </w:rPr>
        <w:t xml:space="preserve"> </w:t>
      </w:r>
      <w:r w:rsidR="003648AE">
        <w:t xml:space="preserve">TC configuration for NR LB-CA switching. </w:t>
      </w:r>
      <w:r>
        <w:rPr>
          <w:rFonts w:eastAsia="宋体"/>
        </w:rPr>
        <w:t xml:space="preserve">There are still some </w:t>
      </w:r>
      <w:r w:rsidR="00661472">
        <w:rPr>
          <w:rFonts w:eastAsia="宋体"/>
        </w:rPr>
        <w:t>FFS issues</w:t>
      </w:r>
      <w:r>
        <w:rPr>
          <w:rFonts w:eastAsia="宋体"/>
        </w:rPr>
        <w:t xml:space="preserve"> in [1]. In this contribution, we continue to discuss the </w:t>
      </w:r>
      <w:r w:rsidR="003648AE">
        <w:rPr>
          <w:rFonts w:eastAsia="宋体"/>
        </w:rPr>
        <w:t xml:space="preserve">FFS part </w:t>
      </w:r>
      <w:r>
        <w:rPr>
          <w:rFonts w:eastAsia="宋体"/>
        </w:rPr>
        <w:t>of RRM</w:t>
      </w:r>
      <w:r w:rsidR="006E5FA4" w:rsidRPr="006E5FA4">
        <w:rPr>
          <w:rFonts w:eastAsia="宋体"/>
        </w:rPr>
        <w:t xml:space="preserve"> performance requirement</w:t>
      </w:r>
      <w:r w:rsidR="006E5FA4">
        <w:rPr>
          <w:rFonts w:eastAsia="宋体"/>
        </w:rPr>
        <w:t>s</w:t>
      </w:r>
      <w:r>
        <w:rPr>
          <w:rFonts w:eastAsia="宋体"/>
        </w:rPr>
        <w:t xml:space="preserve"> </w:t>
      </w:r>
      <w:r w:rsidRPr="00803DEB">
        <w:rPr>
          <w:lang w:eastAsia="zh-CN"/>
        </w:rPr>
        <w:t xml:space="preserve">for </w:t>
      </w:r>
      <w:r w:rsidR="003648AE">
        <w:t>NR LB-CA switching.</w:t>
      </w:r>
    </w:p>
    <w:bookmarkEnd w:id="1"/>
    <w:p w14:paraId="572C5A52" w14:textId="6BE4B465" w:rsidR="003B56F4" w:rsidRPr="00340B1A" w:rsidRDefault="00244640" w:rsidP="00C1172E">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214ADE2F" w14:textId="008E0014" w:rsidR="0058231F" w:rsidRDefault="0058231F" w:rsidP="005F57E0">
      <w:pPr>
        <w:pStyle w:val="afc"/>
        <w:rPr>
          <w:rFonts w:ascii="Times New Roman" w:eastAsia="宋体" w:hAnsi="Times New Roman" w:cs="Times New Roman"/>
          <w:sz w:val="20"/>
          <w:szCs w:val="20"/>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n the RAN4#11</w:t>
      </w:r>
      <w:r w:rsidR="00661472">
        <w:rPr>
          <w:rFonts w:ascii="Times New Roman" w:eastAsia="等线" w:hAnsi="Times New Roman" w:cs="Times New Roman"/>
          <w:sz w:val="20"/>
          <w:szCs w:val="16"/>
          <w:lang w:eastAsia="zh-CN"/>
        </w:rPr>
        <w:t>7</w:t>
      </w:r>
      <w:r>
        <w:rPr>
          <w:rFonts w:ascii="Times New Roman" w:eastAsia="等线" w:hAnsi="Times New Roman" w:cs="Times New Roman"/>
          <w:sz w:val="20"/>
          <w:szCs w:val="16"/>
          <w:lang w:eastAsia="zh-CN"/>
        </w:rPr>
        <w:t xml:space="preserve"> meeting, </w:t>
      </w:r>
      <w:r w:rsidR="004522ED" w:rsidRPr="00656AB9">
        <w:rPr>
          <w:rFonts w:ascii="Times New Roman" w:eastAsia="宋体" w:hAnsi="Times New Roman" w:cs="Times New Roman"/>
          <w:sz w:val="20"/>
          <w:szCs w:val="20"/>
        </w:rPr>
        <w:t>the potential issues for further discussion are captured in WF [1] as below:</w:t>
      </w:r>
    </w:p>
    <w:tbl>
      <w:tblPr>
        <w:tblStyle w:val="af2"/>
        <w:tblW w:w="0" w:type="auto"/>
        <w:tblLook w:val="04A0" w:firstRow="1" w:lastRow="0" w:firstColumn="1" w:lastColumn="0" w:noHBand="0" w:noVBand="1"/>
      </w:tblPr>
      <w:tblGrid>
        <w:gridCol w:w="9737"/>
      </w:tblGrid>
      <w:tr w:rsidR="00661472" w14:paraId="349D5E55" w14:textId="77777777" w:rsidTr="00661472">
        <w:tc>
          <w:tcPr>
            <w:tcW w:w="9737" w:type="dxa"/>
          </w:tcPr>
          <w:p w14:paraId="3900EC7D" w14:textId="2D33DDCD" w:rsidR="001A02CE" w:rsidRPr="001A02CE" w:rsidRDefault="001A02CE" w:rsidP="001A02CE">
            <w:pPr>
              <w:rPr>
                <w:b/>
                <w:color w:val="0070C0"/>
                <w:u w:val="single"/>
                <w:lang w:eastAsia="ko-KR"/>
              </w:rPr>
            </w:pPr>
            <w:r>
              <w:rPr>
                <w:b/>
                <w:color w:val="0070C0"/>
                <w:u w:val="single"/>
                <w:lang w:eastAsia="ko-KR"/>
              </w:rPr>
              <w:t xml:space="preserve">Issue 2-1-1: TC list </w:t>
            </w:r>
          </w:p>
          <w:p w14:paraId="14064658" w14:textId="4027269B" w:rsidR="003648AE" w:rsidRPr="003648AE" w:rsidRDefault="003648AE" w:rsidP="003648AE">
            <w:pPr>
              <w:numPr>
                <w:ilvl w:val="0"/>
                <w:numId w:val="16"/>
              </w:numPr>
              <w:spacing w:after="120" w:line="240" w:lineRule="auto"/>
              <w:ind w:left="360"/>
              <w:rPr>
                <w:rFonts w:eastAsia="宋体"/>
                <w:highlight w:val="yellow"/>
                <w:lang w:eastAsia="zh-CN"/>
              </w:rPr>
            </w:pPr>
            <w:r w:rsidRPr="003648AE">
              <w:rPr>
                <w:rFonts w:eastAsia="宋体"/>
                <w:highlight w:val="yellow"/>
                <w:lang w:eastAsia="zh-CN"/>
              </w:rPr>
              <w:t>Recommended WF</w:t>
            </w:r>
          </w:p>
          <w:p w14:paraId="4FC56048" w14:textId="77777777" w:rsidR="003648AE" w:rsidRPr="003648AE" w:rsidRDefault="003648AE" w:rsidP="003648AE">
            <w:pPr>
              <w:numPr>
                <w:ilvl w:val="1"/>
                <w:numId w:val="16"/>
              </w:numPr>
              <w:spacing w:after="120" w:line="240" w:lineRule="auto"/>
              <w:ind w:left="1080"/>
              <w:rPr>
                <w:rFonts w:eastAsia="宋体"/>
                <w:lang w:eastAsia="zh-CN"/>
              </w:rPr>
            </w:pPr>
            <w:r w:rsidRPr="003648AE">
              <w:rPr>
                <w:rFonts w:eastAsia="宋体"/>
                <w:lang w:eastAsia="zh-CN"/>
              </w:rPr>
              <w:t>FFS: D</w:t>
            </w:r>
            <w:r w:rsidRPr="003648AE">
              <w:rPr>
                <w:rFonts w:eastAsia="宋体" w:hint="eastAsia"/>
                <w:lang w:eastAsia="zh-CN"/>
              </w:rPr>
              <w:t>iscuss</w:t>
            </w:r>
            <w:r w:rsidRPr="003648AE">
              <w:rPr>
                <w:rFonts w:eastAsia="宋体"/>
                <w:lang w:eastAsia="zh-CN"/>
              </w:rPr>
              <w:t xml:space="preserve"> following proposals:</w:t>
            </w:r>
          </w:p>
          <w:p w14:paraId="620B7A7A" w14:textId="77777777" w:rsidR="003648AE" w:rsidRPr="003648AE" w:rsidRDefault="003648AE" w:rsidP="003648AE">
            <w:pPr>
              <w:numPr>
                <w:ilvl w:val="2"/>
                <w:numId w:val="16"/>
              </w:numPr>
              <w:overflowPunct w:val="0"/>
              <w:autoSpaceDE w:val="0"/>
              <w:autoSpaceDN w:val="0"/>
              <w:adjustRightInd w:val="0"/>
              <w:spacing w:after="0" w:line="240" w:lineRule="auto"/>
              <w:ind w:left="1800"/>
              <w:textAlignment w:val="baseline"/>
              <w:rPr>
                <w:rFonts w:eastAsia="MS Mincho"/>
                <w:lang w:eastAsia="zh-CN"/>
              </w:rPr>
            </w:pPr>
            <w:r w:rsidRPr="003648AE">
              <w:rPr>
                <w:rFonts w:eastAsia="MS Mincho"/>
                <w:lang w:eastAsia="zh-CN"/>
              </w:rPr>
              <w:t>Whether define TC#4 BFD/CBD for SDL SCell or not?</w:t>
            </w:r>
          </w:p>
          <w:p w14:paraId="6D668FBB" w14:textId="77777777" w:rsidR="003648AE" w:rsidRPr="003648AE" w:rsidRDefault="003648AE" w:rsidP="003648AE">
            <w:pPr>
              <w:numPr>
                <w:ilvl w:val="3"/>
                <w:numId w:val="16"/>
              </w:numPr>
              <w:spacing w:after="120" w:line="240" w:lineRule="auto"/>
              <w:ind w:left="2520"/>
              <w:rPr>
                <w:rFonts w:eastAsia="MS Mincho"/>
                <w:lang w:eastAsia="zh-CN"/>
              </w:rPr>
            </w:pPr>
            <w:r w:rsidRPr="003648AE">
              <w:rPr>
                <w:rFonts w:eastAsia="宋体"/>
                <w:lang w:eastAsia="zh-CN"/>
              </w:rPr>
              <w:t>No need to introduce test to verify BFD/CBD measurement requirements when switching pattern is configured for both FDD PCell and SDL SCell in LB CA</w:t>
            </w:r>
          </w:p>
          <w:p w14:paraId="12A4EAFA" w14:textId="77777777" w:rsidR="003648AE" w:rsidRPr="003648AE" w:rsidRDefault="003648AE" w:rsidP="003648AE">
            <w:pPr>
              <w:numPr>
                <w:ilvl w:val="2"/>
                <w:numId w:val="16"/>
              </w:numPr>
              <w:overflowPunct w:val="0"/>
              <w:autoSpaceDE w:val="0"/>
              <w:autoSpaceDN w:val="0"/>
              <w:adjustRightInd w:val="0"/>
              <w:spacing w:after="0" w:line="240" w:lineRule="auto"/>
              <w:ind w:left="1800"/>
              <w:textAlignment w:val="baseline"/>
              <w:rPr>
                <w:rFonts w:eastAsia="MS Mincho"/>
                <w:lang w:eastAsia="zh-CN"/>
              </w:rPr>
            </w:pPr>
            <w:r w:rsidRPr="003648AE">
              <w:rPr>
                <w:rFonts w:eastAsia="MS Mincho"/>
                <w:lang w:eastAsia="zh-CN"/>
              </w:rPr>
              <w:t>Whether define TC#6 PL-RS switch delay for PCell or not?</w:t>
            </w:r>
          </w:p>
          <w:p w14:paraId="5BD73DFA" w14:textId="77777777" w:rsidR="003648AE" w:rsidRPr="003648AE" w:rsidRDefault="003648AE" w:rsidP="003648AE">
            <w:pPr>
              <w:numPr>
                <w:ilvl w:val="3"/>
                <w:numId w:val="16"/>
              </w:numPr>
              <w:spacing w:after="120" w:line="240" w:lineRule="auto"/>
              <w:ind w:left="2520"/>
              <w:rPr>
                <w:rFonts w:eastAsia="MS Mincho"/>
                <w:lang w:eastAsia="zh-CN"/>
              </w:rPr>
            </w:pPr>
            <w:r w:rsidRPr="003648AE">
              <w:rPr>
                <w:rFonts w:eastAsia="宋体"/>
                <w:lang w:eastAsia="zh-CN"/>
              </w:rPr>
              <w:t>Define TC on SSB based PL-RS switch delay for PCell, where SSBs are partial overlapping with switching pattern.</w:t>
            </w:r>
          </w:p>
          <w:p w14:paraId="6B7192C2" w14:textId="77777777" w:rsidR="003648AE" w:rsidRPr="003648AE" w:rsidRDefault="003648AE" w:rsidP="003648AE">
            <w:pPr>
              <w:numPr>
                <w:ilvl w:val="3"/>
                <w:numId w:val="16"/>
              </w:numPr>
              <w:spacing w:after="120" w:line="240" w:lineRule="auto"/>
              <w:ind w:left="2520"/>
              <w:rPr>
                <w:rFonts w:eastAsia="宋体"/>
                <w:lang w:eastAsia="zh-CN"/>
              </w:rPr>
            </w:pPr>
            <w:r w:rsidRPr="003648AE">
              <w:rPr>
                <w:rFonts w:eastAsia="MS Mincho"/>
                <w:lang w:eastAsia="zh-CN"/>
              </w:rPr>
              <w:t xml:space="preserve">FFS: </w:t>
            </w:r>
            <w:r w:rsidRPr="003648AE">
              <w:rPr>
                <w:rFonts w:eastAsia="宋体"/>
                <w:lang w:eastAsia="zh-CN"/>
              </w:rPr>
              <w:t>In TC#6, the following three test motivations could be verified:</w:t>
            </w:r>
          </w:p>
          <w:p w14:paraId="7F180EBD" w14:textId="77777777" w:rsidR="003648AE" w:rsidRPr="003648AE" w:rsidRDefault="003648AE" w:rsidP="003648AE">
            <w:pPr>
              <w:numPr>
                <w:ilvl w:val="4"/>
                <w:numId w:val="16"/>
              </w:numPr>
              <w:spacing w:after="120" w:line="240" w:lineRule="auto"/>
              <w:ind w:left="3240"/>
              <w:rPr>
                <w:rFonts w:eastAsia="宋体"/>
                <w:lang w:eastAsia="zh-CN"/>
              </w:rPr>
            </w:pPr>
            <w:r w:rsidRPr="003648AE">
              <w:rPr>
                <w:rFonts w:eastAsia="宋体"/>
                <w:lang w:eastAsia="zh-CN"/>
              </w:rPr>
              <w:t>Before the switching pattern being disable, UE follows the switching pattern to pick the available RS occasions;</w:t>
            </w:r>
          </w:p>
          <w:p w14:paraId="58FA6903" w14:textId="2452B691" w:rsidR="003648AE" w:rsidRPr="003648AE" w:rsidRDefault="003648AE" w:rsidP="003648AE">
            <w:pPr>
              <w:numPr>
                <w:ilvl w:val="4"/>
                <w:numId w:val="16"/>
              </w:numPr>
              <w:spacing w:after="120" w:line="240" w:lineRule="auto"/>
              <w:ind w:left="3240"/>
              <w:rPr>
                <w:rFonts w:eastAsia="宋体"/>
                <w:lang w:eastAsia="zh-CN"/>
              </w:rPr>
            </w:pPr>
            <w:r w:rsidRPr="003648AE">
              <w:rPr>
                <w:rFonts w:eastAsia="宋体"/>
                <w:lang w:eastAsia="zh-CN"/>
              </w:rPr>
              <w:t>During the PCell measurement</w:t>
            </w:r>
            <w:r w:rsidR="00515167">
              <w:rPr>
                <w:rFonts w:eastAsia="宋体"/>
                <w:lang w:eastAsia="zh-CN"/>
              </w:rPr>
              <w:t xml:space="preserve"> </w:t>
            </w:r>
            <w:r w:rsidRPr="003648AE">
              <w:rPr>
                <w:rFonts w:eastAsia="宋体"/>
                <w:lang w:eastAsia="zh-CN"/>
              </w:rPr>
              <w:t>(PL-RS based), verify the timeline of (THARQ+3ms+ 1ms)/slot-length to disable the switching pattern when receiving the SCell deactivation;</w:t>
            </w:r>
          </w:p>
          <w:p w14:paraId="41BAC17B" w14:textId="7BF1F397" w:rsidR="00661472" w:rsidRPr="003648AE" w:rsidRDefault="003648AE" w:rsidP="003648AE">
            <w:pPr>
              <w:numPr>
                <w:ilvl w:val="4"/>
                <w:numId w:val="16"/>
              </w:numPr>
              <w:spacing w:after="120" w:line="240" w:lineRule="auto"/>
              <w:ind w:left="3240"/>
              <w:rPr>
                <w:rFonts w:eastAsia="宋体"/>
                <w:lang w:eastAsia="zh-CN"/>
              </w:rPr>
            </w:pPr>
            <w:r w:rsidRPr="003648AE">
              <w:rPr>
                <w:rFonts w:eastAsia="宋体"/>
                <w:lang w:eastAsia="zh-CN"/>
              </w:rPr>
              <w:t>All RS occasions are available in PCell after the processing time of disabling the switching pattern.</w:t>
            </w:r>
          </w:p>
        </w:tc>
      </w:tr>
    </w:tbl>
    <w:p w14:paraId="7C097E70" w14:textId="2F8B1EE1" w:rsidR="003648AE" w:rsidRDefault="003648AE" w:rsidP="002641CA">
      <w:pPr>
        <w:pStyle w:val="afc"/>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or TC#4 </w:t>
      </w:r>
      <w:r w:rsidRPr="003648AE">
        <w:rPr>
          <w:rFonts w:ascii="Times New Roman" w:eastAsia="等线" w:hAnsi="Times New Roman" w:cs="Times New Roman"/>
          <w:sz w:val="20"/>
          <w:szCs w:val="20"/>
          <w:lang w:eastAsia="zh-CN"/>
        </w:rPr>
        <w:t>BFD/CBD for SDL SCell</w:t>
      </w:r>
      <w:r>
        <w:rPr>
          <w:rFonts w:ascii="Times New Roman" w:eastAsia="等线" w:hAnsi="Times New Roman" w:cs="Times New Roman"/>
          <w:sz w:val="20"/>
          <w:szCs w:val="20"/>
          <w:lang w:eastAsia="zh-CN"/>
        </w:rPr>
        <w:t xml:space="preserve">, we don’t see the </w:t>
      </w:r>
      <w:r w:rsidRPr="003648AE">
        <w:rPr>
          <w:rFonts w:ascii="Times New Roman" w:eastAsia="等线" w:hAnsi="Times New Roman" w:cs="Times New Roman"/>
          <w:sz w:val="20"/>
          <w:szCs w:val="20"/>
          <w:lang w:eastAsia="zh-CN"/>
        </w:rPr>
        <w:t>necessity</w:t>
      </w:r>
      <w:r>
        <w:rPr>
          <w:rFonts w:ascii="Times New Roman" w:eastAsia="等线" w:hAnsi="Times New Roman" w:cs="Times New Roman"/>
          <w:sz w:val="20"/>
          <w:szCs w:val="20"/>
          <w:lang w:eastAsia="zh-CN"/>
        </w:rPr>
        <w:t xml:space="preserve"> of this test. </w:t>
      </w:r>
      <w:r w:rsidRPr="003648AE">
        <w:rPr>
          <w:rFonts w:ascii="Times New Roman" w:eastAsia="等线" w:hAnsi="Times New Roman" w:cs="Times New Roman"/>
          <w:sz w:val="20"/>
          <w:szCs w:val="20"/>
          <w:lang w:eastAsia="zh-CN"/>
        </w:rPr>
        <w:t xml:space="preserve">NR LB-CA switching is a feature </w:t>
      </w:r>
      <w:r>
        <w:rPr>
          <w:rFonts w:ascii="Times New Roman" w:eastAsia="等线" w:hAnsi="Times New Roman" w:cs="Times New Roman"/>
          <w:sz w:val="20"/>
          <w:szCs w:val="20"/>
          <w:lang w:eastAsia="zh-CN"/>
        </w:rPr>
        <w:t>for</w:t>
      </w:r>
      <w:r w:rsidRPr="003648AE">
        <w:rPr>
          <w:rFonts w:ascii="Times New Roman" w:eastAsia="等线" w:hAnsi="Times New Roman" w:cs="Times New Roman"/>
          <w:sz w:val="20"/>
          <w:szCs w:val="20"/>
          <w:lang w:eastAsia="zh-CN"/>
        </w:rPr>
        <w:t xml:space="preserve"> FR1, and beam management is not a typical behavior in FR1. Additionally, BFD/CBD and RLM are similar, both being L1 behaviors</w:t>
      </w:r>
      <w:r w:rsidR="00515167">
        <w:rPr>
          <w:rFonts w:ascii="Times New Roman" w:eastAsia="等线" w:hAnsi="Times New Roman" w:cs="Times New Roman"/>
          <w:sz w:val="20"/>
          <w:szCs w:val="20"/>
          <w:lang w:eastAsia="zh-CN"/>
        </w:rPr>
        <w:t>.</w:t>
      </w:r>
      <w:r w:rsidRPr="003648AE">
        <w:rPr>
          <w:rFonts w:ascii="Times New Roman" w:eastAsia="等线" w:hAnsi="Times New Roman" w:cs="Times New Roman"/>
          <w:sz w:val="20"/>
          <w:szCs w:val="20"/>
          <w:lang w:eastAsia="zh-CN"/>
        </w:rPr>
        <w:t xml:space="preserve"> To some extent, TC8 can also verify these aspects</w:t>
      </w:r>
      <w:r w:rsidR="001A02CE">
        <w:rPr>
          <w:rFonts w:ascii="Times New Roman" w:eastAsia="等线" w:hAnsi="Times New Roman" w:cs="Times New Roman"/>
          <w:sz w:val="20"/>
          <w:szCs w:val="20"/>
          <w:lang w:eastAsia="zh-CN"/>
        </w:rPr>
        <w:t xml:space="preserve">, </w:t>
      </w:r>
      <w:r w:rsidRPr="003648AE">
        <w:rPr>
          <w:rFonts w:ascii="Times New Roman" w:eastAsia="等线" w:hAnsi="Times New Roman" w:cs="Times New Roman"/>
          <w:sz w:val="20"/>
          <w:szCs w:val="20"/>
          <w:lang w:eastAsia="zh-CN"/>
        </w:rPr>
        <w:t>so there is no need for repeated validation.</w:t>
      </w:r>
    </w:p>
    <w:p w14:paraId="5A511692" w14:textId="2FBCF5FE" w:rsidR="00515167" w:rsidRDefault="00515167" w:rsidP="002641CA">
      <w:pPr>
        <w:pStyle w:val="afc"/>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or TC#6 </w:t>
      </w:r>
      <w:r w:rsidRPr="00515167">
        <w:rPr>
          <w:rFonts w:ascii="Times New Roman" w:eastAsia="等线" w:hAnsi="Times New Roman" w:cs="Times New Roman"/>
          <w:sz w:val="20"/>
          <w:szCs w:val="20"/>
          <w:lang w:eastAsia="zh-CN"/>
        </w:rPr>
        <w:t>PL-RS switch delay for PCell</w:t>
      </w:r>
      <w:r>
        <w:rPr>
          <w:rFonts w:ascii="Times New Roman" w:eastAsia="等线" w:hAnsi="Times New Roman" w:cs="Times New Roman"/>
          <w:sz w:val="20"/>
          <w:szCs w:val="20"/>
          <w:lang w:eastAsia="zh-CN"/>
        </w:rPr>
        <w:t xml:space="preserve">, </w:t>
      </w:r>
      <w:r w:rsidR="006453A1" w:rsidRPr="006453A1">
        <w:rPr>
          <w:rFonts w:ascii="Times New Roman" w:eastAsia="等线" w:hAnsi="Times New Roman" w:cs="Times New Roman"/>
          <w:sz w:val="20"/>
          <w:szCs w:val="20"/>
          <w:lang w:eastAsia="zh-CN"/>
        </w:rPr>
        <w:t xml:space="preserve">the requirement is defined </w:t>
      </w:r>
      <w:r w:rsidR="006453A1">
        <w:rPr>
          <w:rFonts w:ascii="Times New Roman" w:eastAsia="等线" w:hAnsi="Times New Roman" w:cs="Times New Roman"/>
          <w:sz w:val="20"/>
          <w:szCs w:val="20"/>
          <w:lang w:eastAsia="zh-CN"/>
        </w:rPr>
        <w:t>as t</w:t>
      </w:r>
      <w:r w:rsidR="006453A1" w:rsidRPr="006453A1">
        <w:rPr>
          <w:rFonts w:ascii="Times New Roman" w:eastAsia="等线" w:hAnsi="Times New Roman" w:cs="Times New Roman"/>
          <w:sz w:val="20"/>
          <w:szCs w:val="20"/>
          <w:lang w:eastAsia="zh-CN"/>
        </w:rPr>
        <w:t>he UE shall be able to apply old pathloss reference signals until the slot n + T</w:t>
      </w:r>
      <w:r w:rsidR="006453A1" w:rsidRPr="006453A1">
        <w:rPr>
          <w:rFonts w:ascii="Times New Roman" w:eastAsia="等线" w:hAnsi="Times New Roman" w:cs="Times New Roman"/>
          <w:sz w:val="20"/>
          <w:szCs w:val="20"/>
          <w:vertAlign w:val="subscript"/>
          <w:lang w:eastAsia="zh-CN"/>
        </w:rPr>
        <w:t>HARQ</w:t>
      </w:r>
      <w:r w:rsidR="006453A1" w:rsidRPr="006453A1">
        <w:rPr>
          <w:rFonts w:ascii="Times New Roman" w:eastAsia="等线" w:hAnsi="Times New Roman" w:cs="Times New Roman"/>
          <w:sz w:val="20"/>
          <w:szCs w:val="20"/>
          <w:lang w:eastAsia="zh-CN"/>
        </w:rPr>
        <w:t xml:space="preserve"> + 3</w:t>
      </w:r>
      <m:oMath>
        <m:sSubSup>
          <m:sSubSupPr>
            <m:ctrlPr>
              <w:rPr>
                <w:rFonts w:ascii="Cambria Math" w:eastAsia="等线" w:hAnsi="Cambria Math" w:cs="Times New Roman"/>
                <w:i/>
                <w:sz w:val="20"/>
                <w:szCs w:val="20"/>
                <w:lang w:eastAsia="zh-CN"/>
              </w:rPr>
            </m:ctrlPr>
          </m:sSubSupPr>
          <m:e>
            <m:r>
              <w:rPr>
                <w:rFonts w:ascii="Cambria Math" w:eastAsia="等线" w:hAnsi="Cambria Math" w:cs="Times New Roman"/>
                <w:sz w:val="20"/>
                <w:szCs w:val="20"/>
                <w:lang w:eastAsia="zh-CN"/>
              </w:rPr>
              <m:t>N</m:t>
            </m:r>
          </m:e>
          <m:sub>
            <m:r>
              <w:rPr>
                <w:rFonts w:ascii="Cambria Math" w:eastAsia="等线" w:hAnsi="Cambria Math" w:cs="Times New Roman"/>
                <w:sz w:val="20"/>
                <w:szCs w:val="20"/>
                <w:lang w:eastAsia="zh-CN"/>
              </w:rPr>
              <m:t>slot</m:t>
            </m:r>
          </m:sub>
          <m:sup>
            <m:r>
              <w:rPr>
                <w:rFonts w:ascii="Cambria Math" w:eastAsia="等线" w:hAnsi="Cambria Math" w:cs="Times New Roman"/>
                <w:sz w:val="20"/>
                <w:szCs w:val="20"/>
                <w:lang w:eastAsia="zh-CN"/>
              </w:rPr>
              <m:t>subframe,μ</m:t>
            </m:r>
          </m:sup>
        </m:sSubSup>
      </m:oMath>
      <w:r w:rsidR="006453A1" w:rsidRPr="006453A1">
        <w:rPr>
          <w:rFonts w:ascii="Times New Roman" w:eastAsia="等线" w:hAnsi="Times New Roman" w:cs="Times New Roman"/>
          <w:sz w:val="20"/>
          <w:szCs w:val="20"/>
          <w:lang w:eastAsia="zh-CN"/>
        </w:rPr>
        <w:t>. However, considering</w:t>
      </w:r>
      <w:r w:rsidR="000633E9">
        <w:rPr>
          <w:rFonts w:ascii="Times New Roman" w:eastAsia="等线" w:hAnsi="Times New Roman" w:cs="Times New Roman"/>
          <w:sz w:val="20"/>
          <w:szCs w:val="20"/>
          <w:lang w:eastAsia="zh-CN"/>
        </w:rPr>
        <w:t xml:space="preserve"> that </w:t>
      </w:r>
      <w:r w:rsidR="000633E9" w:rsidRPr="000633E9">
        <w:rPr>
          <w:rFonts w:ascii="Times New Roman" w:eastAsia="等线" w:hAnsi="Times New Roman" w:cs="Times New Roman"/>
          <w:sz w:val="20"/>
          <w:szCs w:val="20"/>
          <w:lang w:eastAsia="zh-CN"/>
        </w:rPr>
        <w:t>PL-RS switch delay may not be used for FR1 operation below 1GHz</w:t>
      </w:r>
      <w:r w:rsidR="000633E9">
        <w:rPr>
          <w:rFonts w:ascii="Times New Roman" w:eastAsia="等线" w:hAnsi="Times New Roman" w:cs="Times New Roman"/>
          <w:sz w:val="20"/>
          <w:szCs w:val="20"/>
          <w:lang w:eastAsia="zh-CN"/>
        </w:rPr>
        <w:t>. F</w:t>
      </w:r>
      <w:r w:rsidR="006453A1">
        <w:rPr>
          <w:rFonts w:ascii="Times New Roman" w:eastAsia="等线" w:hAnsi="Times New Roman" w:cs="Times New Roman"/>
          <w:sz w:val="20"/>
          <w:szCs w:val="20"/>
          <w:lang w:eastAsia="zh-CN"/>
        </w:rPr>
        <w:t xml:space="preserve">rom </w:t>
      </w:r>
      <w:r w:rsidR="006453A1" w:rsidRPr="006453A1">
        <w:rPr>
          <w:rFonts w:ascii="Times New Roman" w:eastAsia="等线" w:hAnsi="Times New Roman" w:cs="Times New Roman"/>
          <w:sz w:val="20"/>
          <w:szCs w:val="20"/>
          <w:lang w:eastAsia="zh-CN"/>
        </w:rPr>
        <w:t>our perspective, this test case also seems unnecessary.</w:t>
      </w:r>
    </w:p>
    <w:p w14:paraId="4460E728" w14:textId="20E8B5D9" w:rsidR="00E26846" w:rsidRPr="002641CA" w:rsidRDefault="002641CA" w:rsidP="009C4AD5">
      <w:pPr>
        <w:pStyle w:val="afc"/>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sidR="00515167">
        <w:rPr>
          <w:rFonts w:ascii="Times New Roman" w:eastAsia="MS Gothic" w:hAnsi="Times New Roman" w:cs="Times New Roman"/>
          <w:b/>
          <w:bCs/>
          <w:sz w:val="20"/>
          <w:szCs w:val="16"/>
          <w:u w:val="single"/>
        </w:rPr>
        <w:t xml:space="preserve"> </w:t>
      </w:r>
      <w:r w:rsidR="00515167" w:rsidRPr="00515167">
        <w:rPr>
          <w:rFonts w:ascii="Times New Roman" w:eastAsia="MS Gothic" w:hAnsi="Times New Roman" w:cs="Times New Roman"/>
          <w:b/>
          <w:bCs/>
          <w:sz w:val="20"/>
          <w:szCs w:val="16"/>
          <w:u w:val="single"/>
        </w:rPr>
        <w:t xml:space="preserve">RRM not to define test cases in LB-CA </w:t>
      </w:r>
      <w:r w:rsidR="00515167">
        <w:rPr>
          <w:rFonts w:ascii="Times New Roman" w:eastAsia="MS Gothic" w:hAnsi="Times New Roman" w:cs="Times New Roman"/>
          <w:b/>
          <w:bCs/>
          <w:sz w:val="20"/>
          <w:szCs w:val="16"/>
          <w:u w:val="single"/>
        </w:rPr>
        <w:t xml:space="preserve">for </w:t>
      </w:r>
      <w:r w:rsidR="00515167" w:rsidRPr="00515167">
        <w:rPr>
          <w:rFonts w:ascii="Times New Roman" w:eastAsia="MS Gothic" w:hAnsi="Times New Roman" w:cs="Times New Roman"/>
          <w:b/>
          <w:bCs/>
          <w:sz w:val="20"/>
          <w:szCs w:val="16"/>
          <w:u w:val="single"/>
        </w:rPr>
        <w:t>BFD/CBD</w:t>
      </w:r>
      <w:r w:rsidR="005B733D">
        <w:rPr>
          <w:rFonts w:ascii="Times New Roman" w:eastAsia="MS Gothic" w:hAnsi="Times New Roman" w:cs="Times New Roman"/>
          <w:b/>
          <w:bCs/>
          <w:sz w:val="20"/>
          <w:szCs w:val="16"/>
          <w:u w:val="single"/>
        </w:rPr>
        <w:t xml:space="preserve"> and </w:t>
      </w:r>
      <w:r w:rsidR="005B733D" w:rsidRPr="005B733D">
        <w:rPr>
          <w:rFonts w:ascii="Times New Roman" w:eastAsia="MS Gothic" w:hAnsi="Times New Roman" w:cs="Times New Roman"/>
          <w:b/>
          <w:bCs/>
          <w:sz w:val="20"/>
          <w:szCs w:val="16"/>
          <w:u w:val="single"/>
        </w:rPr>
        <w:t>PL-RS switch delay</w:t>
      </w:r>
      <w:r w:rsidR="00515167" w:rsidRPr="00515167">
        <w:rPr>
          <w:rFonts w:ascii="Times New Roman" w:eastAsia="MS Gothic" w:hAnsi="Times New Roman" w:cs="Times New Roman"/>
          <w:b/>
          <w:bCs/>
          <w:sz w:val="20"/>
          <w:szCs w:val="16"/>
          <w:u w:val="single"/>
        </w:rPr>
        <w:t xml:space="preserve"> measurement requirements</w:t>
      </w:r>
      <w:r w:rsidR="005B733D">
        <w:rPr>
          <w:rFonts w:ascii="Times New Roman" w:eastAsia="MS Gothic" w:hAnsi="Times New Roman" w:cs="Times New Roman"/>
          <w:b/>
          <w:bCs/>
          <w:sz w:val="20"/>
          <w:szCs w:val="16"/>
          <w:u w:val="single"/>
        </w:rPr>
        <w:t xml:space="preserve"> </w:t>
      </w:r>
      <w:r w:rsidR="00515167" w:rsidRPr="00515167">
        <w:rPr>
          <w:rFonts w:ascii="Times New Roman" w:eastAsia="MS Gothic" w:hAnsi="Times New Roman" w:cs="Times New Roman"/>
          <w:b/>
          <w:bCs/>
          <w:sz w:val="20"/>
          <w:szCs w:val="16"/>
          <w:u w:val="single"/>
        </w:rPr>
        <w:t>when switching pattern is configured for both FDD PCell and SDL SCell.</w:t>
      </w:r>
    </w:p>
    <w:tbl>
      <w:tblPr>
        <w:tblStyle w:val="af2"/>
        <w:tblW w:w="0" w:type="auto"/>
        <w:tblLook w:val="04A0" w:firstRow="1" w:lastRow="0" w:firstColumn="1" w:lastColumn="0" w:noHBand="0" w:noVBand="1"/>
      </w:tblPr>
      <w:tblGrid>
        <w:gridCol w:w="9737"/>
      </w:tblGrid>
      <w:tr w:rsidR="001B3E12" w14:paraId="05F93897" w14:textId="77777777" w:rsidTr="001B3E12">
        <w:tc>
          <w:tcPr>
            <w:tcW w:w="9737" w:type="dxa"/>
          </w:tcPr>
          <w:p w14:paraId="64821628" w14:textId="198CD41C" w:rsidR="001A02CE" w:rsidRPr="001A02CE" w:rsidRDefault="001A02CE" w:rsidP="001A02CE">
            <w:pPr>
              <w:spacing w:after="120" w:line="240" w:lineRule="auto"/>
              <w:rPr>
                <w:rFonts w:eastAsia="宋体"/>
              </w:rPr>
            </w:pPr>
            <w:r>
              <w:rPr>
                <w:b/>
                <w:color w:val="0070C0"/>
                <w:u w:val="single"/>
                <w:lang w:eastAsia="ko-KR"/>
              </w:rPr>
              <w:lastRenderedPageBreak/>
              <w:t>Issue 2-2-1: Switching pattern related design</w:t>
            </w:r>
          </w:p>
          <w:p w14:paraId="33077A4C" w14:textId="3FC78690" w:rsidR="001A02CE" w:rsidRPr="001A02CE" w:rsidRDefault="001A02CE" w:rsidP="001A02CE">
            <w:pPr>
              <w:pStyle w:val="afd"/>
              <w:numPr>
                <w:ilvl w:val="0"/>
                <w:numId w:val="16"/>
              </w:numPr>
              <w:spacing w:after="120" w:line="240" w:lineRule="auto"/>
              <w:ind w:left="360"/>
              <w:rPr>
                <w:rFonts w:ascii="Times New Roman" w:eastAsia="宋体" w:hAnsi="Times New Roman"/>
                <w:sz w:val="20"/>
                <w:szCs w:val="20"/>
              </w:rPr>
            </w:pPr>
            <w:r w:rsidRPr="001A02CE">
              <w:rPr>
                <w:rFonts w:ascii="Times New Roman" w:eastAsia="宋体" w:hAnsi="Times New Roman"/>
                <w:sz w:val="20"/>
                <w:szCs w:val="20"/>
              </w:rPr>
              <w:t xml:space="preserve">Proposal 1 (vivo): </w:t>
            </w:r>
          </w:p>
          <w:p w14:paraId="40EB949E" w14:textId="77777777" w:rsidR="001A02CE" w:rsidRPr="001A02CE" w:rsidRDefault="001A02CE" w:rsidP="001A02CE">
            <w:pPr>
              <w:pStyle w:val="afd"/>
              <w:numPr>
                <w:ilvl w:val="1"/>
                <w:numId w:val="16"/>
              </w:numPr>
              <w:overflowPunct w:val="0"/>
              <w:autoSpaceDE w:val="0"/>
              <w:autoSpaceDN w:val="0"/>
              <w:adjustRightInd w:val="0"/>
              <w:spacing w:after="120" w:line="240" w:lineRule="auto"/>
              <w:ind w:left="1080"/>
              <w:textAlignment w:val="baseline"/>
              <w:rPr>
                <w:rFonts w:ascii="Times New Roman" w:eastAsia="宋体" w:hAnsi="Times New Roman"/>
                <w:bCs/>
                <w:sz w:val="20"/>
                <w:szCs w:val="20"/>
              </w:rPr>
            </w:pPr>
            <w:r w:rsidRPr="001A02CE">
              <w:rPr>
                <w:rFonts w:ascii="Times New Roman" w:eastAsia="宋体" w:hAnsi="Times New Roman"/>
                <w:bCs/>
                <w:sz w:val="20"/>
                <w:szCs w:val="20"/>
              </w:rPr>
              <w:t xml:space="preserve">The switching pattern can be configured as 10 slots for SDL SCell and 30 slots for FDD PCell. </w:t>
            </w:r>
          </w:p>
          <w:p w14:paraId="28B15787" w14:textId="77777777" w:rsidR="001A02CE" w:rsidRPr="001A02CE" w:rsidRDefault="001A02CE" w:rsidP="001A02CE">
            <w:pPr>
              <w:pStyle w:val="afd"/>
              <w:numPr>
                <w:ilvl w:val="1"/>
                <w:numId w:val="16"/>
              </w:numPr>
              <w:spacing w:after="120" w:line="240" w:lineRule="auto"/>
              <w:ind w:left="1080"/>
              <w:rPr>
                <w:rFonts w:ascii="Times New Roman" w:eastAsia="宋体" w:hAnsi="Times New Roman"/>
                <w:sz w:val="20"/>
                <w:szCs w:val="20"/>
              </w:rPr>
            </w:pPr>
            <w:r w:rsidRPr="001A02CE">
              <w:rPr>
                <w:rFonts w:ascii="Times New Roman" w:eastAsia="宋体" w:hAnsi="Times New Roman"/>
                <w:bCs/>
                <w:sz w:val="20"/>
                <w:szCs w:val="20"/>
              </w:rPr>
              <w:t>Switching gap is 3 symbols from FDD PCell to SDL SCell and 14 symbols from SDL SCell to FDD PCell</w:t>
            </w:r>
            <w:r w:rsidRPr="001A02CE">
              <w:rPr>
                <w:rFonts w:ascii="Times New Roman" w:eastAsia="宋体" w:hAnsi="Times New Roman"/>
                <w:sz w:val="20"/>
                <w:szCs w:val="20"/>
              </w:rPr>
              <w:t>.</w:t>
            </w:r>
          </w:p>
          <w:p w14:paraId="36779FA0" w14:textId="77777777" w:rsidR="001A02CE" w:rsidRPr="001A02CE" w:rsidRDefault="001A02CE" w:rsidP="001A02CE">
            <w:pPr>
              <w:pStyle w:val="afd"/>
              <w:numPr>
                <w:ilvl w:val="0"/>
                <w:numId w:val="16"/>
              </w:numPr>
              <w:overflowPunct w:val="0"/>
              <w:autoSpaceDE w:val="0"/>
              <w:autoSpaceDN w:val="0"/>
              <w:adjustRightInd w:val="0"/>
              <w:spacing w:after="120" w:line="240" w:lineRule="auto"/>
              <w:ind w:left="360"/>
              <w:textAlignment w:val="baseline"/>
              <w:rPr>
                <w:rFonts w:ascii="Times New Roman" w:hAnsi="Times New Roman"/>
                <w:sz w:val="20"/>
                <w:szCs w:val="20"/>
              </w:rPr>
            </w:pPr>
            <w:r w:rsidRPr="001A02CE">
              <w:rPr>
                <w:rFonts w:ascii="Times New Roman" w:eastAsia="宋体" w:hAnsi="Times New Roman"/>
                <w:sz w:val="20"/>
                <w:szCs w:val="20"/>
              </w:rPr>
              <w:t xml:space="preserve">Proposal 2 (Ericsson): </w:t>
            </w:r>
          </w:p>
          <w:p w14:paraId="26337ED7" w14:textId="77777777" w:rsidR="001A02CE" w:rsidRPr="001A02CE" w:rsidRDefault="001A02CE" w:rsidP="001A02CE">
            <w:pPr>
              <w:pStyle w:val="afd"/>
              <w:numPr>
                <w:ilvl w:val="1"/>
                <w:numId w:val="16"/>
              </w:numPr>
              <w:overflowPunct w:val="0"/>
              <w:autoSpaceDE w:val="0"/>
              <w:autoSpaceDN w:val="0"/>
              <w:adjustRightInd w:val="0"/>
              <w:spacing w:after="120" w:line="240" w:lineRule="auto"/>
              <w:ind w:left="1080"/>
              <w:textAlignment w:val="baseline"/>
              <w:rPr>
                <w:rFonts w:ascii="Times New Roman" w:hAnsi="Times New Roman"/>
                <w:sz w:val="20"/>
                <w:szCs w:val="20"/>
              </w:rPr>
            </w:pPr>
            <w:r w:rsidRPr="001A02CE">
              <w:rPr>
                <w:rFonts w:ascii="Times New Roman" w:hAnsi="Times New Roman"/>
                <w:sz w:val="20"/>
                <w:szCs w:val="20"/>
              </w:rPr>
              <w:t>RAN4 to agree following parameters for the switching pattern.</w:t>
            </w:r>
          </w:p>
          <w:tbl>
            <w:tblPr>
              <w:tblStyle w:val="af2"/>
              <w:tblW w:w="0" w:type="auto"/>
              <w:tblInd w:w="1337" w:type="dxa"/>
              <w:tblLook w:val="04A0" w:firstRow="1" w:lastRow="0" w:firstColumn="1" w:lastColumn="0" w:noHBand="0" w:noVBand="1"/>
            </w:tblPr>
            <w:tblGrid>
              <w:gridCol w:w="1838"/>
              <w:gridCol w:w="5110"/>
            </w:tblGrid>
            <w:tr w:rsidR="001A02CE" w:rsidRPr="001A02CE" w14:paraId="3EB84522" w14:textId="77777777" w:rsidTr="00827444">
              <w:tc>
                <w:tcPr>
                  <w:tcW w:w="1838" w:type="dxa"/>
                </w:tcPr>
                <w:p w14:paraId="2095BD0C"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 xml:space="preserve">Parameter </w:t>
                  </w:r>
                </w:p>
              </w:tc>
              <w:tc>
                <w:tcPr>
                  <w:tcW w:w="5110" w:type="dxa"/>
                </w:tcPr>
                <w:p w14:paraId="2B823F04"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Value</w:t>
                  </w:r>
                </w:p>
              </w:tc>
            </w:tr>
            <w:tr w:rsidR="001A02CE" w:rsidRPr="001A02CE" w14:paraId="43BEC4A2" w14:textId="77777777" w:rsidTr="00827444">
              <w:tc>
                <w:tcPr>
                  <w:tcW w:w="1838" w:type="dxa"/>
                </w:tcPr>
                <w:p w14:paraId="3E410A89"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Switching pattern</w:t>
                  </w:r>
                </w:p>
              </w:tc>
              <w:tc>
                <w:tcPr>
                  <w:tcW w:w="5110" w:type="dxa"/>
                </w:tcPr>
                <w:p w14:paraId="603DF3CC"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0000001111111110000000011100000111111000</w:t>
                  </w:r>
                </w:p>
              </w:tc>
            </w:tr>
            <w:tr w:rsidR="001A02CE" w:rsidRPr="001A02CE" w14:paraId="652AB72A" w14:textId="77777777" w:rsidTr="00827444">
              <w:tc>
                <w:tcPr>
                  <w:tcW w:w="1838" w:type="dxa"/>
                </w:tcPr>
                <w:p w14:paraId="088A476F"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N1</w:t>
                  </w:r>
                </w:p>
              </w:tc>
              <w:tc>
                <w:tcPr>
                  <w:tcW w:w="5110" w:type="dxa"/>
                </w:tcPr>
                <w:p w14:paraId="3BE312DD"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35 µs RF switching delay UE, 1</w:t>
                  </w:r>
                </w:p>
                <w:p w14:paraId="11578234"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140 µs RF switching delay UE, 3</w:t>
                  </w:r>
                </w:p>
              </w:tc>
            </w:tr>
            <w:tr w:rsidR="001A02CE" w:rsidRPr="001A02CE" w14:paraId="09152F8A" w14:textId="77777777" w:rsidTr="00827444">
              <w:trPr>
                <w:trHeight w:val="43"/>
              </w:trPr>
              <w:tc>
                <w:tcPr>
                  <w:tcW w:w="1838" w:type="dxa"/>
                </w:tcPr>
                <w:p w14:paraId="32C1C1E4"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N2</w:t>
                  </w:r>
                </w:p>
              </w:tc>
              <w:tc>
                <w:tcPr>
                  <w:tcW w:w="5110" w:type="dxa"/>
                </w:tcPr>
                <w:p w14:paraId="4E38166D"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35 µs RF switching delay UE, 2</w:t>
                  </w:r>
                </w:p>
                <w:p w14:paraId="58C14231" w14:textId="77777777" w:rsidR="001A02CE" w:rsidRPr="001A02CE" w:rsidRDefault="001A02CE" w:rsidP="001A02CE">
                  <w:pPr>
                    <w:pStyle w:val="afd"/>
                    <w:rPr>
                      <w:rFonts w:ascii="Times New Roman" w:eastAsiaTheme="minorEastAsia" w:hAnsi="Times New Roman"/>
                      <w:sz w:val="20"/>
                      <w:szCs w:val="20"/>
                    </w:rPr>
                  </w:pPr>
                  <w:r w:rsidRPr="001A02CE">
                    <w:rPr>
                      <w:rFonts w:ascii="Times New Roman" w:eastAsiaTheme="minorEastAsia" w:hAnsi="Times New Roman"/>
                      <w:sz w:val="20"/>
                      <w:szCs w:val="20"/>
                    </w:rPr>
                    <w:t>140 µs RF switching delay UE, 4</w:t>
                  </w:r>
                </w:p>
              </w:tc>
            </w:tr>
          </w:tbl>
          <w:p w14:paraId="0CCD7D87" w14:textId="77777777" w:rsidR="001A02CE" w:rsidRPr="001A02CE" w:rsidRDefault="001A02CE" w:rsidP="001A02CE">
            <w:pPr>
              <w:spacing w:after="120"/>
            </w:pPr>
          </w:p>
          <w:p w14:paraId="425566F4" w14:textId="77777777" w:rsidR="001A02CE" w:rsidRPr="001A02CE" w:rsidRDefault="001A02CE" w:rsidP="001A02CE">
            <w:pPr>
              <w:pStyle w:val="afd"/>
              <w:numPr>
                <w:ilvl w:val="1"/>
                <w:numId w:val="16"/>
              </w:numPr>
              <w:overflowPunct w:val="0"/>
              <w:autoSpaceDE w:val="0"/>
              <w:autoSpaceDN w:val="0"/>
              <w:adjustRightInd w:val="0"/>
              <w:spacing w:after="120" w:line="240" w:lineRule="auto"/>
              <w:ind w:left="1080"/>
              <w:textAlignment w:val="baseline"/>
              <w:rPr>
                <w:rFonts w:ascii="Times New Roman" w:hAnsi="Times New Roman"/>
                <w:sz w:val="20"/>
                <w:szCs w:val="20"/>
              </w:rPr>
            </w:pPr>
            <w:r w:rsidRPr="001A02CE">
              <w:rPr>
                <w:rFonts w:ascii="Times New Roman" w:hAnsi="Times New Roman"/>
                <w:sz w:val="20"/>
                <w:szCs w:val="20"/>
              </w:rPr>
              <w:t>RAN4 to agree on following SSB pattern 14 for 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79"/>
              <w:gridCol w:w="3538"/>
            </w:tblGrid>
            <w:tr w:rsidR="001A02CE" w:rsidRPr="001A02CE" w14:paraId="543F62F7"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615B8058" w14:textId="77777777" w:rsidR="001A02CE" w:rsidRPr="001A02CE" w:rsidRDefault="001A02CE" w:rsidP="001A02CE">
                  <w:pPr>
                    <w:rPr>
                      <w:rFonts w:eastAsiaTheme="minorEastAsia"/>
                      <w:b/>
                    </w:rPr>
                  </w:pPr>
                  <w:r w:rsidRPr="001A02CE">
                    <w:rPr>
                      <w:rFonts w:eastAsiaTheme="minorEastAsia"/>
                      <w:b/>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0E57AAC8" w14:textId="77777777" w:rsidR="001A02CE" w:rsidRPr="001A02CE" w:rsidRDefault="001A02CE" w:rsidP="001A02CE">
                  <w:pPr>
                    <w:rPr>
                      <w:rFonts w:eastAsiaTheme="minorEastAsia"/>
                      <w:b/>
                    </w:rPr>
                  </w:pPr>
                  <w:r w:rsidRPr="001A02CE">
                    <w:rPr>
                      <w:rFonts w:eastAsiaTheme="minorEastAsia"/>
                      <w:b/>
                    </w:rPr>
                    <w:t>Values</w:t>
                  </w:r>
                </w:p>
              </w:tc>
            </w:tr>
            <w:tr w:rsidR="001A02CE" w:rsidRPr="001A02CE" w14:paraId="7C10440C"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1EC4934C" w14:textId="77777777" w:rsidR="001A02CE" w:rsidRPr="001A02CE" w:rsidRDefault="001A02CE" w:rsidP="001A02CE">
                  <w:pPr>
                    <w:rPr>
                      <w:rFonts w:eastAsiaTheme="minorEastAsia"/>
                    </w:rPr>
                  </w:pPr>
                  <w:r w:rsidRPr="001A02CE">
                    <w:rPr>
                      <w:rFonts w:eastAsiaTheme="minorEastAsia"/>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76537DDB" w14:textId="77777777" w:rsidR="001A02CE" w:rsidRPr="001A02CE" w:rsidRDefault="001A02CE" w:rsidP="001A02CE">
                  <w:pPr>
                    <w:rPr>
                      <w:rFonts w:eastAsiaTheme="minorEastAsia"/>
                    </w:rPr>
                  </w:pPr>
                  <w:r w:rsidRPr="001A02CE">
                    <w:rPr>
                      <w:rFonts w:eastAsiaTheme="minorEastAsia"/>
                    </w:rPr>
                    <w:t>10 MHz</w:t>
                  </w:r>
                </w:p>
              </w:tc>
            </w:tr>
            <w:tr w:rsidR="001A02CE" w:rsidRPr="001A02CE" w14:paraId="0A5FDC51"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170F8C8E" w14:textId="77777777" w:rsidR="001A02CE" w:rsidRPr="001A02CE" w:rsidRDefault="001A02CE" w:rsidP="001A02CE">
                  <w:pPr>
                    <w:rPr>
                      <w:rFonts w:eastAsiaTheme="minorEastAsia"/>
                    </w:rPr>
                  </w:pPr>
                  <w:r w:rsidRPr="001A02CE">
                    <w:rPr>
                      <w:rFonts w:eastAsiaTheme="minorEastAsia"/>
                    </w:rPr>
                    <w:t>SSB SCS</w:t>
                  </w:r>
                </w:p>
              </w:tc>
              <w:tc>
                <w:tcPr>
                  <w:tcW w:w="3538" w:type="dxa"/>
                  <w:tcBorders>
                    <w:top w:val="single" w:sz="4" w:space="0" w:color="auto"/>
                    <w:left w:val="single" w:sz="4" w:space="0" w:color="auto"/>
                    <w:bottom w:val="single" w:sz="4" w:space="0" w:color="auto"/>
                    <w:right w:val="single" w:sz="4" w:space="0" w:color="auto"/>
                  </w:tcBorders>
                  <w:hideMark/>
                </w:tcPr>
                <w:p w14:paraId="4A8FD15E" w14:textId="77777777" w:rsidR="001A02CE" w:rsidRPr="001A02CE" w:rsidRDefault="001A02CE" w:rsidP="001A02CE">
                  <w:pPr>
                    <w:rPr>
                      <w:rFonts w:eastAsiaTheme="minorEastAsia"/>
                    </w:rPr>
                  </w:pPr>
                  <w:r w:rsidRPr="001A02CE">
                    <w:rPr>
                      <w:rFonts w:eastAsiaTheme="minorEastAsia"/>
                    </w:rPr>
                    <w:t>15 kHz</w:t>
                  </w:r>
                </w:p>
              </w:tc>
            </w:tr>
            <w:tr w:rsidR="001A02CE" w:rsidRPr="001A02CE" w14:paraId="518A62B7"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1A93C8C0" w14:textId="77777777" w:rsidR="001A02CE" w:rsidRPr="001A02CE" w:rsidRDefault="001A02CE" w:rsidP="001A02CE">
                  <w:pPr>
                    <w:rPr>
                      <w:rFonts w:eastAsiaTheme="minorEastAsia"/>
                    </w:rPr>
                  </w:pPr>
                  <w:r w:rsidRPr="001A02CE">
                    <w:rPr>
                      <w:rFonts w:eastAsiaTheme="minorEastAsia"/>
                    </w:rPr>
                    <w:t>SSB periodicity (T</w:t>
                  </w:r>
                  <w:r w:rsidRPr="001A02CE">
                    <w:rPr>
                      <w:rFonts w:eastAsiaTheme="minorEastAsia"/>
                      <w:vertAlign w:val="subscript"/>
                    </w:rPr>
                    <w:t>SSB</w:t>
                  </w:r>
                  <w:r w:rsidRPr="001A02CE">
                    <w:rPr>
                      <w:rFonts w:eastAsiaTheme="minorEastAsia"/>
                    </w:rPr>
                    <w:t>)</w:t>
                  </w:r>
                </w:p>
              </w:tc>
              <w:tc>
                <w:tcPr>
                  <w:tcW w:w="3538" w:type="dxa"/>
                  <w:tcBorders>
                    <w:top w:val="single" w:sz="4" w:space="0" w:color="auto"/>
                    <w:left w:val="single" w:sz="4" w:space="0" w:color="auto"/>
                    <w:bottom w:val="single" w:sz="4" w:space="0" w:color="auto"/>
                    <w:right w:val="single" w:sz="4" w:space="0" w:color="auto"/>
                  </w:tcBorders>
                  <w:hideMark/>
                </w:tcPr>
                <w:p w14:paraId="32891F81" w14:textId="77777777" w:rsidR="001A02CE" w:rsidRPr="001A02CE" w:rsidRDefault="001A02CE" w:rsidP="001A02CE">
                  <w:pPr>
                    <w:rPr>
                      <w:rFonts w:eastAsiaTheme="minorEastAsia"/>
                    </w:rPr>
                  </w:pPr>
                  <w:r w:rsidRPr="001A02CE">
                    <w:rPr>
                      <w:rFonts w:eastAsiaTheme="minorEastAsia"/>
                    </w:rPr>
                    <w:t>20 ms</w:t>
                  </w:r>
                </w:p>
              </w:tc>
            </w:tr>
            <w:tr w:rsidR="001A02CE" w:rsidRPr="001A02CE" w14:paraId="2A736B90"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44F9F1ED" w14:textId="77777777" w:rsidR="001A02CE" w:rsidRPr="001A02CE" w:rsidRDefault="001A02CE" w:rsidP="001A02CE">
                  <w:pPr>
                    <w:rPr>
                      <w:rFonts w:eastAsiaTheme="minorEastAsia"/>
                    </w:rPr>
                  </w:pPr>
                  <w:r w:rsidRPr="001A02CE">
                    <w:rPr>
                      <w:rFonts w:eastAsiaTheme="minorEastAsia"/>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43C2FD12" w14:textId="77777777" w:rsidR="001A02CE" w:rsidRPr="001A02CE" w:rsidRDefault="001A02CE" w:rsidP="001A02CE">
                  <w:pPr>
                    <w:rPr>
                      <w:rFonts w:eastAsiaTheme="minorEastAsia"/>
                    </w:rPr>
                  </w:pPr>
                  <w:r w:rsidRPr="001A02CE">
                    <w:rPr>
                      <w:rFonts w:eastAsiaTheme="minorEastAsia"/>
                    </w:rPr>
                    <w:t>1</w:t>
                  </w:r>
                </w:p>
              </w:tc>
            </w:tr>
            <w:tr w:rsidR="001A02CE" w:rsidRPr="001A02CE" w14:paraId="790843EE"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28F24CDB" w14:textId="77777777" w:rsidR="001A02CE" w:rsidRPr="001A02CE" w:rsidRDefault="001A02CE" w:rsidP="001A02CE">
                  <w:pPr>
                    <w:rPr>
                      <w:rFonts w:eastAsiaTheme="minorEastAsia"/>
                    </w:rPr>
                  </w:pPr>
                  <w:r w:rsidRPr="001A02CE">
                    <w:rPr>
                      <w:rFonts w:eastAsiaTheme="minorEastAsia"/>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727B235B" w14:textId="77777777" w:rsidR="001A02CE" w:rsidRPr="001A02CE" w:rsidRDefault="001A02CE" w:rsidP="001A02CE">
                  <w:pPr>
                    <w:rPr>
                      <w:rFonts w:eastAsiaTheme="minorEastAsia"/>
                    </w:rPr>
                  </w:pPr>
                  <w:r w:rsidRPr="001A02CE">
                    <w:rPr>
                      <w:rFonts w:eastAsiaTheme="minorEastAsia"/>
                    </w:rPr>
                    <w:t>0</w:t>
                  </w:r>
                </w:p>
              </w:tc>
            </w:tr>
            <w:tr w:rsidR="001A02CE" w:rsidRPr="001A02CE" w14:paraId="5A88443F"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4D22F4A0" w14:textId="77777777" w:rsidR="001A02CE" w:rsidRPr="001A02CE" w:rsidRDefault="001A02CE" w:rsidP="001A02CE">
                  <w:pPr>
                    <w:rPr>
                      <w:rFonts w:eastAsiaTheme="minorEastAsia"/>
                    </w:rPr>
                  </w:pPr>
                  <w:r w:rsidRPr="001A02CE">
                    <w:rPr>
                      <w:rFonts w:eastAsiaTheme="minorEastAsia"/>
                    </w:rPr>
                    <w:t>Symbol numbers containing SSB</w:t>
                  </w:r>
                  <w:r w:rsidRPr="001A02CE">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510F7F02" w14:textId="77777777" w:rsidR="001A02CE" w:rsidRPr="001A02CE" w:rsidRDefault="001A02CE" w:rsidP="001A02CE">
                  <w:pPr>
                    <w:rPr>
                      <w:rFonts w:eastAsiaTheme="minorEastAsia"/>
                    </w:rPr>
                  </w:pPr>
                  <w:r w:rsidRPr="001A02CE">
                    <w:rPr>
                      <w:rFonts w:eastAsiaTheme="minorEastAsia"/>
                    </w:rPr>
                    <w:t>2-5</w:t>
                  </w:r>
                </w:p>
              </w:tc>
            </w:tr>
            <w:tr w:rsidR="001A02CE" w:rsidRPr="001A02CE" w14:paraId="18A8B50A"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38AEFA88" w14:textId="77777777" w:rsidR="001A02CE" w:rsidRPr="001A02CE" w:rsidRDefault="001A02CE" w:rsidP="001A02CE">
                  <w:pPr>
                    <w:rPr>
                      <w:rFonts w:eastAsiaTheme="minorEastAsia"/>
                    </w:rPr>
                  </w:pPr>
                  <w:r w:rsidRPr="001A02CE">
                    <w:rPr>
                      <w:rFonts w:eastAsiaTheme="minorEastAsia"/>
                    </w:rPr>
                    <w:t>Slot numbers containing SSB</w:t>
                  </w:r>
                  <w:r w:rsidRPr="001A02CE">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2BCDFE7C" w14:textId="77777777" w:rsidR="001A02CE" w:rsidRPr="001A02CE" w:rsidRDefault="001A02CE" w:rsidP="001A02CE">
                  <w:pPr>
                    <w:rPr>
                      <w:rFonts w:eastAsiaTheme="minorEastAsia"/>
                    </w:rPr>
                  </w:pPr>
                  <w:r w:rsidRPr="001A02CE">
                    <w:rPr>
                      <w:rFonts w:eastAsiaTheme="minorEastAsia"/>
                    </w:rPr>
                    <w:t>5</w:t>
                  </w:r>
                </w:p>
              </w:tc>
            </w:tr>
            <w:tr w:rsidR="001A02CE" w:rsidRPr="001A02CE" w14:paraId="607BBC70"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1B35F9E1" w14:textId="77777777" w:rsidR="001A02CE" w:rsidRPr="001A02CE" w:rsidRDefault="001A02CE" w:rsidP="001A02CE">
                  <w:pPr>
                    <w:rPr>
                      <w:rFonts w:eastAsiaTheme="minorEastAsia"/>
                    </w:rPr>
                  </w:pPr>
                  <w:r w:rsidRPr="001A02CE">
                    <w:rPr>
                      <w:rFonts w:eastAsiaTheme="minorEastAsia"/>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00BFFDE4" w14:textId="77777777" w:rsidR="001A02CE" w:rsidRPr="001A02CE" w:rsidRDefault="001A02CE" w:rsidP="001A02CE">
                  <w:pPr>
                    <w:rPr>
                      <w:rFonts w:eastAsiaTheme="minorEastAsia"/>
                      <w:lang w:val="da-DK"/>
                    </w:rPr>
                  </w:pPr>
                  <w:r w:rsidRPr="001A02CE">
                    <w:rPr>
                      <w:rFonts w:eastAsiaTheme="minorEastAsia"/>
                      <w:lang w:val="da-DK"/>
                    </w:rPr>
                    <w:t>SFN mod (max(T</w:t>
                  </w:r>
                  <w:r w:rsidRPr="001A02CE">
                    <w:rPr>
                      <w:rFonts w:eastAsiaTheme="minorEastAsia"/>
                      <w:vertAlign w:val="subscript"/>
                      <w:lang w:val="da-DK"/>
                    </w:rPr>
                    <w:t>SSB</w:t>
                  </w:r>
                  <w:r w:rsidRPr="001A02CE">
                    <w:rPr>
                      <w:rFonts w:eastAsiaTheme="minorEastAsia"/>
                      <w:lang w:val="da-DK"/>
                    </w:rPr>
                    <w:t>,10 ms)/10 ms) = 0</w:t>
                  </w:r>
                </w:p>
              </w:tc>
            </w:tr>
            <w:tr w:rsidR="001A02CE" w:rsidRPr="001A02CE" w14:paraId="7D156EEF" w14:textId="77777777" w:rsidTr="00827444">
              <w:trPr>
                <w:jc w:val="center"/>
              </w:trPr>
              <w:tc>
                <w:tcPr>
                  <w:tcW w:w="4679" w:type="dxa"/>
                  <w:tcBorders>
                    <w:top w:val="single" w:sz="4" w:space="0" w:color="auto"/>
                    <w:left w:val="single" w:sz="4" w:space="0" w:color="auto"/>
                    <w:bottom w:val="single" w:sz="4" w:space="0" w:color="auto"/>
                    <w:right w:val="single" w:sz="4" w:space="0" w:color="auto"/>
                  </w:tcBorders>
                  <w:hideMark/>
                </w:tcPr>
                <w:p w14:paraId="05F8FFC4" w14:textId="77777777" w:rsidR="001A02CE" w:rsidRPr="001A02CE" w:rsidRDefault="001A02CE" w:rsidP="001A02CE">
                  <w:pPr>
                    <w:rPr>
                      <w:rFonts w:eastAsiaTheme="minorEastAsia"/>
                    </w:rPr>
                  </w:pPr>
                  <w:r w:rsidRPr="001A02CE">
                    <w:rPr>
                      <w:rFonts w:eastAsiaTheme="minorEastAsia"/>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3C78B06F" w14:textId="77777777" w:rsidR="001A02CE" w:rsidRPr="001A02CE" w:rsidRDefault="001A02CE" w:rsidP="001A02CE">
                  <w:pPr>
                    <w:rPr>
                      <w:rFonts w:eastAsiaTheme="minorEastAsia"/>
                    </w:rPr>
                  </w:pPr>
                  <w:r w:rsidRPr="001A02CE">
                    <w:rPr>
                      <w:rFonts w:eastAsiaTheme="minorEastAsia"/>
                    </w:rPr>
                    <w:t>(RB</w:t>
                  </w:r>
                  <w:r w:rsidRPr="001A02CE">
                    <w:rPr>
                      <w:rFonts w:eastAsiaTheme="minorEastAsia"/>
                      <w:vertAlign w:val="subscript"/>
                    </w:rPr>
                    <w:t>J</w:t>
                  </w:r>
                  <w:r w:rsidRPr="001A02CE">
                    <w:rPr>
                      <w:rFonts w:eastAsiaTheme="minorEastAsia"/>
                    </w:rPr>
                    <w:t>, PRB</w:t>
                  </w:r>
                  <w:r w:rsidRPr="001A02CE">
                    <w:rPr>
                      <w:rFonts w:eastAsiaTheme="minorEastAsia"/>
                      <w:vertAlign w:val="subscript"/>
                    </w:rPr>
                    <w:t>J+1</w:t>
                  </w:r>
                  <w:r w:rsidRPr="001A02CE">
                    <w:rPr>
                      <w:rFonts w:eastAsiaTheme="minorEastAsia"/>
                    </w:rPr>
                    <w:t>,.…, PRB</w:t>
                  </w:r>
                  <w:r w:rsidRPr="001A02CE">
                    <w:rPr>
                      <w:rFonts w:eastAsiaTheme="minorEastAsia"/>
                      <w:vertAlign w:val="subscript"/>
                    </w:rPr>
                    <w:t>J+</w:t>
                  </w:r>
                  <w:proofErr w:type="gramStart"/>
                  <w:r w:rsidRPr="001A02CE">
                    <w:rPr>
                      <w:rFonts w:eastAsiaTheme="minorEastAsia"/>
                      <w:vertAlign w:val="subscript"/>
                    </w:rPr>
                    <w:t>19</w:t>
                  </w:r>
                  <w:r w:rsidRPr="001A02CE">
                    <w:rPr>
                      <w:rFonts w:eastAsiaTheme="minorEastAsia"/>
                    </w:rPr>
                    <w:t>)</w:t>
                  </w:r>
                  <w:r w:rsidRPr="001A02CE">
                    <w:rPr>
                      <w:rFonts w:eastAsiaTheme="minorEastAsia"/>
                      <w:vertAlign w:val="superscript"/>
                    </w:rPr>
                    <w:t>Note</w:t>
                  </w:r>
                  <w:proofErr w:type="gramEnd"/>
                  <w:r w:rsidRPr="001A02CE">
                    <w:rPr>
                      <w:rFonts w:eastAsiaTheme="minorEastAsia"/>
                      <w:vertAlign w:val="superscript"/>
                    </w:rPr>
                    <w:t xml:space="preserve"> 1</w:t>
                  </w:r>
                </w:p>
              </w:tc>
            </w:tr>
            <w:tr w:rsidR="001A02CE" w:rsidRPr="001A02CE" w14:paraId="1CC19FCC" w14:textId="77777777" w:rsidTr="0082744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A4DB425" w14:textId="77777777" w:rsidR="001A02CE" w:rsidRPr="001A02CE" w:rsidRDefault="001A02CE" w:rsidP="001A02CE">
                  <w:pPr>
                    <w:rPr>
                      <w:rFonts w:eastAsiaTheme="minorEastAsia"/>
                    </w:rPr>
                  </w:pPr>
                  <w:r w:rsidRPr="001A02CE">
                    <w:rPr>
                      <w:rFonts w:eastAsiaTheme="minorEastAsia"/>
                    </w:rPr>
                    <w:t>NOTE 1:</w:t>
                  </w:r>
                  <w:r w:rsidRPr="001A02CE">
                    <w:rPr>
                      <w:rFonts w:eastAsiaTheme="minorEastAsia"/>
                    </w:rPr>
                    <w:tab/>
                    <w:t>PRBs containing SSB can be configured in any frequency location within the cell bandwidth according to the allowed synchronization raster defined in TS 38.104 [13].</w:t>
                  </w:r>
                </w:p>
                <w:p w14:paraId="5204C9E1" w14:textId="77777777" w:rsidR="001A02CE" w:rsidRPr="001A02CE" w:rsidRDefault="001A02CE" w:rsidP="001A02CE">
                  <w:pPr>
                    <w:rPr>
                      <w:rFonts w:eastAsiaTheme="minorEastAsia"/>
                    </w:rPr>
                  </w:pPr>
                  <w:r w:rsidRPr="001A02CE">
                    <w:rPr>
                      <w:rFonts w:eastAsiaTheme="minorEastAsia"/>
                    </w:rPr>
                    <w:t>NOTE 2:</w:t>
                  </w:r>
                  <w:r w:rsidRPr="001A02CE">
                    <w:rPr>
                      <w:rFonts w:eastAsiaTheme="minorEastAsia"/>
                    </w:rPr>
                    <w:tab/>
                    <w:t>These values have been derived from other parameters for information purposes (as per TS 38.213 [3]). They are not settable parameters themselves.</w:t>
                  </w:r>
                </w:p>
              </w:tc>
            </w:tr>
          </w:tbl>
          <w:p w14:paraId="4B1C0D88" w14:textId="77777777" w:rsidR="001A02CE" w:rsidRPr="001A02CE" w:rsidRDefault="001A02CE" w:rsidP="001A02CE">
            <w:pPr>
              <w:spacing w:after="120"/>
            </w:pPr>
          </w:p>
          <w:p w14:paraId="0E3FEBA2" w14:textId="77777777" w:rsidR="001A02CE" w:rsidRPr="001A02CE" w:rsidRDefault="001A02CE" w:rsidP="001A02CE">
            <w:pPr>
              <w:pStyle w:val="afd"/>
              <w:numPr>
                <w:ilvl w:val="1"/>
                <w:numId w:val="16"/>
              </w:numPr>
              <w:overflowPunct w:val="0"/>
              <w:autoSpaceDE w:val="0"/>
              <w:autoSpaceDN w:val="0"/>
              <w:adjustRightInd w:val="0"/>
              <w:spacing w:after="120" w:line="240" w:lineRule="auto"/>
              <w:ind w:left="1080"/>
              <w:textAlignment w:val="baseline"/>
              <w:rPr>
                <w:rFonts w:ascii="Times New Roman" w:hAnsi="Times New Roman"/>
                <w:sz w:val="20"/>
                <w:szCs w:val="20"/>
              </w:rPr>
            </w:pPr>
            <w:r w:rsidRPr="001A02CE">
              <w:rPr>
                <w:rFonts w:ascii="Times New Roman" w:hAnsi="Times New Roman"/>
                <w:sz w:val="20"/>
                <w:szCs w:val="20"/>
              </w:rPr>
              <w:t>RAN4 to agree on following SMTC pattern 13 for 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2613"/>
            </w:tblGrid>
            <w:tr w:rsidR="001A02CE" w:rsidRPr="001A02CE" w14:paraId="5CE33183" w14:textId="77777777" w:rsidTr="00827444">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453F556E" w14:textId="77777777" w:rsidR="001A02CE" w:rsidRPr="001A02CE" w:rsidRDefault="001A02CE" w:rsidP="001A02CE">
                  <w:pPr>
                    <w:rPr>
                      <w:rFonts w:eastAsiaTheme="minorEastAsia"/>
                      <w:b/>
                    </w:rPr>
                  </w:pPr>
                  <w:r w:rsidRPr="001A02CE">
                    <w:rPr>
                      <w:rFonts w:eastAsiaTheme="minorEastAsia"/>
                      <w:b/>
                    </w:rPr>
                    <w:t>SMTC Parameters</w:t>
                  </w:r>
                </w:p>
              </w:tc>
              <w:tc>
                <w:tcPr>
                  <w:tcW w:w="2613" w:type="dxa"/>
                  <w:tcBorders>
                    <w:top w:val="single" w:sz="4" w:space="0" w:color="auto"/>
                    <w:left w:val="single" w:sz="4" w:space="0" w:color="auto"/>
                    <w:bottom w:val="single" w:sz="4" w:space="0" w:color="auto"/>
                    <w:right w:val="single" w:sz="4" w:space="0" w:color="auto"/>
                  </w:tcBorders>
                  <w:hideMark/>
                </w:tcPr>
                <w:p w14:paraId="29BD43EA" w14:textId="77777777" w:rsidR="001A02CE" w:rsidRPr="001A02CE" w:rsidRDefault="001A02CE" w:rsidP="001A02CE">
                  <w:pPr>
                    <w:rPr>
                      <w:rFonts w:eastAsiaTheme="minorEastAsia"/>
                      <w:b/>
                    </w:rPr>
                  </w:pPr>
                  <w:r w:rsidRPr="001A02CE">
                    <w:rPr>
                      <w:rFonts w:eastAsiaTheme="minorEastAsia"/>
                      <w:b/>
                    </w:rPr>
                    <w:t>Values</w:t>
                  </w:r>
                </w:p>
              </w:tc>
            </w:tr>
            <w:tr w:rsidR="001A02CE" w:rsidRPr="001A02CE" w14:paraId="54EDC0A2" w14:textId="77777777" w:rsidTr="00827444">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12EF4FB3" w14:textId="77777777" w:rsidR="001A02CE" w:rsidRPr="001A02CE" w:rsidRDefault="001A02CE" w:rsidP="001A02CE">
                  <w:pPr>
                    <w:rPr>
                      <w:rFonts w:eastAsiaTheme="minorEastAsia"/>
                    </w:rPr>
                  </w:pPr>
                  <w:r w:rsidRPr="001A02CE">
                    <w:rPr>
                      <w:rFonts w:eastAsiaTheme="minorEastAsia"/>
                    </w:rPr>
                    <w:t>SMTC periodicity</w:t>
                  </w:r>
                </w:p>
              </w:tc>
              <w:tc>
                <w:tcPr>
                  <w:tcW w:w="2613" w:type="dxa"/>
                  <w:tcBorders>
                    <w:top w:val="single" w:sz="4" w:space="0" w:color="auto"/>
                    <w:left w:val="single" w:sz="4" w:space="0" w:color="auto"/>
                    <w:bottom w:val="single" w:sz="4" w:space="0" w:color="auto"/>
                    <w:right w:val="single" w:sz="4" w:space="0" w:color="auto"/>
                  </w:tcBorders>
                  <w:hideMark/>
                </w:tcPr>
                <w:p w14:paraId="01D14918" w14:textId="77777777" w:rsidR="001A02CE" w:rsidRPr="001A02CE" w:rsidRDefault="001A02CE" w:rsidP="001A02CE">
                  <w:pPr>
                    <w:rPr>
                      <w:rFonts w:eastAsiaTheme="minorEastAsia"/>
                    </w:rPr>
                  </w:pPr>
                  <w:r w:rsidRPr="001A02CE">
                    <w:rPr>
                      <w:rFonts w:eastAsiaTheme="minorEastAsia"/>
                    </w:rPr>
                    <w:t>20 ms</w:t>
                  </w:r>
                </w:p>
              </w:tc>
            </w:tr>
            <w:tr w:rsidR="001A02CE" w:rsidRPr="001A02CE" w14:paraId="39089D10" w14:textId="77777777" w:rsidTr="00827444">
              <w:trPr>
                <w:trHeight w:val="254"/>
                <w:jc w:val="center"/>
              </w:trPr>
              <w:tc>
                <w:tcPr>
                  <w:tcW w:w="2399" w:type="dxa"/>
                  <w:tcBorders>
                    <w:top w:val="single" w:sz="4" w:space="0" w:color="auto"/>
                    <w:left w:val="single" w:sz="4" w:space="0" w:color="auto"/>
                    <w:bottom w:val="single" w:sz="4" w:space="0" w:color="auto"/>
                    <w:right w:val="single" w:sz="4" w:space="0" w:color="auto"/>
                  </w:tcBorders>
                  <w:hideMark/>
                </w:tcPr>
                <w:p w14:paraId="4003F96B" w14:textId="77777777" w:rsidR="001A02CE" w:rsidRPr="001A02CE" w:rsidRDefault="001A02CE" w:rsidP="001A02CE">
                  <w:pPr>
                    <w:rPr>
                      <w:rFonts w:eastAsiaTheme="minorEastAsia"/>
                    </w:rPr>
                  </w:pPr>
                  <w:r w:rsidRPr="001A02CE">
                    <w:rPr>
                      <w:rFonts w:eastAsiaTheme="minorEastAsia"/>
                    </w:rPr>
                    <w:t>SMTC offset</w:t>
                  </w:r>
                </w:p>
              </w:tc>
              <w:tc>
                <w:tcPr>
                  <w:tcW w:w="2613" w:type="dxa"/>
                  <w:tcBorders>
                    <w:top w:val="single" w:sz="4" w:space="0" w:color="auto"/>
                    <w:left w:val="single" w:sz="4" w:space="0" w:color="auto"/>
                    <w:bottom w:val="single" w:sz="4" w:space="0" w:color="auto"/>
                    <w:right w:val="single" w:sz="4" w:space="0" w:color="auto"/>
                  </w:tcBorders>
                  <w:hideMark/>
                </w:tcPr>
                <w:p w14:paraId="7384644C" w14:textId="77777777" w:rsidR="001A02CE" w:rsidRPr="001A02CE" w:rsidRDefault="001A02CE" w:rsidP="001A02CE">
                  <w:pPr>
                    <w:rPr>
                      <w:rFonts w:eastAsiaTheme="minorEastAsia"/>
                    </w:rPr>
                  </w:pPr>
                  <w:r w:rsidRPr="001A02CE">
                    <w:rPr>
                      <w:rFonts w:eastAsiaTheme="minorEastAsia"/>
                    </w:rPr>
                    <w:t>5 ms</w:t>
                  </w:r>
                </w:p>
              </w:tc>
            </w:tr>
            <w:tr w:rsidR="001A02CE" w:rsidRPr="001A02CE" w14:paraId="46844E0E" w14:textId="77777777" w:rsidTr="00827444">
              <w:trPr>
                <w:trHeight w:val="272"/>
                <w:jc w:val="center"/>
              </w:trPr>
              <w:tc>
                <w:tcPr>
                  <w:tcW w:w="2399" w:type="dxa"/>
                  <w:tcBorders>
                    <w:top w:val="single" w:sz="4" w:space="0" w:color="auto"/>
                    <w:left w:val="single" w:sz="4" w:space="0" w:color="auto"/>
                    <w:bottom w:val="single" w:sz="4" w:space="0" w:color="auto"/>
                    <w:right w:val="single" w:sz="4" w:space="0" w:color="auto"/>
                  </w:tcBorders>
                  <w:hideMark/>
                </w:tcPr>
                <w:p w14:paraId="1A7E468E" w14:textId="77777777" w:rsidR="001A02CE" w:rsidRPr="001A02CE" w:rsidRDefault="001A02CE" w:rsidP="001A02CE">
                  <w:pPr>
                    <w:rPr>
                      <w:rFonts w:eastAsiaTheme="minorEastAsia"/>
                    </w:rPr>
                  </w:pPr>
                  <w:r w:rsidRPr="001A02CE">
                    <w:rPr>
                      <w:rFonts w:eastAsiaTheme="minorEastAsia"/>
                    </w:rPr>
                    <w:t>SMTC duration</w:t>
                  </w:r>
                </w:p>
              </w:tc>
              <w:tc>
                <w:tcPr>
                  <w:tcW w:w="2613" w:type="dxa"/>
                  <w:tcBorders>
                    <w:top w:val="single" w:sz="4" w:space="0" w:color="auto"/>
                    <w:left w:val="single" w:sz="4" w:space="0" w:color="auto"/>
                    <w:bottom w:val="single" w:sz="4" w:space="0" w:color="auto"/>
                    <w:right w:val="single" w:sz="4" w:space="0" w:color="auto"/>
                  </w:tcBorders>
                  <w:hideMark/>
                </w:tcPr>
                <w:p w14:paraId="796583F5" w14:textId="77777777" w:rsidR="001A02CE" w:rsidRPr="001A02CE" w:rsidRDefault="001A02CE" w:rsidP="001A02CE">
                  <w:pPr>
                    <w:rPr>
                      <w:rFonts w:eastAsiaTheme="minorEastAsia"/>
                    </w:rPr>
                  </w:pPr>
                  <w:r w:rsidRPr="001A02CE">
                    <w:rPr>
                      <w:rFonts w:eastAsiaTheme="minorEastAsia"/>
                    </w:rPr>
                    <w:t>1 ms</w:t>
                  </w:r>
                </w:p>
              </w:tc>
            </w:tr>
          </w:tbl>
          <w:p w14:paraId="17C5451D" w14:textId="385F1723" w:rsidR="001B3E12" w:rsidRPr="001B3E12" w:rsidRDefault="001B3E12" w:rsidP="001A02CE">
            <w:pPr>
              <w:overflowPunct w:val="0"/>
              <w:autoSpaceDE w:val="0"/>
              <w:autoSpaceDN w:val="0"/>
              <w:adjustRightInd w:val="0"/>
              <w:spacing w:beforeLines="50" w:before="120" w:afterLines="50" w:after="120" w:line="240" w:lineRule="auto"/>
              <w:jc w:val="both"/>
              <w:rPr>
                <w:rFonts w:eastAsia="Times New Roman"/>
                <w:lang w:eastAsia="zh-CN"/>
              </w:rPr>
            </w:pPr>
          </w:p>
        </w:tc>
      </w:tr>
    </w:tbl>
    <w:p w14:paraId="378F95D8" w14:textId="3592CA89" w:rsidR="0060798E" w:rsidRPr="0060798E" w:rsidRDefault="0060798E" w:rsidP="00982F6D">
      <w:pPr>
        <w:pStyle w:val="afc"/>
        <w:jc w:val="both"/>
        <w:rPr>
          <w:rFonts w:ascii="Times New Roman" w:eastAsia="等线" w:hAnsi="Times New Roman" w:cs="Times New Roman"/>
          <w:sz w:val="20"/>
          <w:szCs w:val="20"/>
          <w:lang w:eastAsia="zh-CN"/>
        </w:rPr>
      </w:pPr>
      <w:r w:rsidRPr="0060798E">
        <w:rPr>
          <w:rFonts w:ascii="Times New Roman" w:eastAsia="等线" w:hAnsi="Times New Roman" w:cs="Times New Roman"/>
          <w:sz w:val="20"/>
          <w:szCs w:val="20"/>
          <w:lang w:eastAsia="zh-CN"/>
        </w:rPr>
        <w:lastRenderedPageBreak/>
        <w:t>Based on the agreement on RAN4#116bis, RAN4 will pick one TC in the list to cover fully overlapping and partially overlapping cases.</w:t>
      </w:r>
      <w:r>
        <w:rPr>
          <w:rFonts w:ascii="Times New Roman" w:eastAsia="等线" w:hAnsi="Times New Roman" w:cs="Times New Roman"/>
          <w:sz w:val="20"/>
          <w:szCs w:val="20"/>
          <w:lang w:eastAsia="zh-CN"/>
        </w:rPr>
        <w:t xml:space="preserve"> The </w:t>
      </w:r>
      <w:r w:rsidRPr="001A02CE">
        <w:rPr>
          <w:rFonts w:ascii="Times New Roman" w:eastAsia="宋体" w:hAnsi="Times New Roman"/>
          <w:bCs/>
          <w:sz w:val="20"/>
          <w:szCs w:val="20"/>
        </w:rPr>
        <w:t>switching pattern</w:t>
      </w:r>
      <w:r>
        <w:rPr>
          <w:rFonts w:ascii="Times New Roman" w:eastAsia="等线" w:hAnsi="Times New Roman" w:cs="Times New Roman"/>
          <w:sz w:val="20"/>
          <w:szCs w:val="20"/>
          <w:lang w:eastAsia="zh-CN"/>
        </w:rPr>
        <w:t xml:space="preserve"> and SMTC pattern can meet this agreement. We prefer proposal2.</w:t>
      </w:r>
    </w:p>
    <w:p w14:paraId="7BF04E7E" w14:textId="4BE862E4" w:rsidR="00D80E07" w:rsidRPr="00982F6D" w:rsidRDefault="0058231F" w:rsidP="00982F6D">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sidR="002641CA">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w:t>
      </w:r>
      <w:r w:rsidR="0060798E">
        <w:rPr>
          <w:rFonts w:ascii="Times New Roman" w:eastAsia="MS Gothic" w:hAnsi="Times New Roman" w:cs="Times New Roman"/>
          <w:b/>
          <w:bCs/>
          <w:sz w:val="20"/>
          <w:szCs w:val="16"/>
          <w:u w:val="single"/>
        </w:rPr>
        <w:t xml:space="preserve"> RRM to use proposal 2 as s</w:t>
      </w:r>
      <w:r w:rsidR="0060798E" w:rsidRPr="0060798E">
        <w:rPr>
          <w:rFonts w:ascii="Times New Roman" w:eastAsia="MS Gothic" w:hAnsi="Times New Roman" w:cs="Times New Roman"/>
          <w:b/>
          <w:bCs/>
          <w:sz w:val="20"/>
          <w:szCs w:val="16"/>
          <w:u w:val="single"/>
        </w:rPr>
        <w:t>witching pattern related design</w:t>
      </w:r>
      <w:r w:rsidRPr="00B67D52">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p>
    <w:tbl>
      <w:tblPr>
        <w:tblStyle w:val="af2"/>
        <w:tblW w:w="0" w:type="auto"/>
        <w:tblLook w:val="04A0" w:firstRow="1" w:lastRow="0" w:firstColumn="1" w:lastColumn="0" w:noHBand="0" w:noVBand="1"/>
      </w:tblPr>
      <w:tblGrid>
        <w:gridCol w:w="9737"/>
      </w:tblGrid>
      <w:tr w:rsidR="001B3E12" w14:paraId="2C2AB683" w14:textId="77777777" w:rsidTr="001B3E12">
        <w:tc>
          <w:tcPr>
            <w:tcW w:w="9737" w:type="dxa"/>
          </w:tcPr>
          <w:p w14:paraId="2BDD99A7" w14:textId="77777777" w:rsidR="001A02CE" w:rsidRDefault="001A02CE" w:rsidP="001B3E12">
            <w:pPr>
              <w:spacing w:line="240" w:lineRule="auto"/>
              <w:rPr>
                <w:rFonts w:eastAsia="宋体"/>
                <w:lang w:val="sv-SE" w:eastAsia="zh-CN"/>
              </w:rPr>
            </w:pPr>
            <w:r>
              <w:rPr>
                <w:b/>
                <w:color w:val="0070C0"/>
                <w:u w:val="single"/>
                <w:lang w:eastAsia="ko-KR"/>
              </w:rPr>
              <w:t>Issue 2-2-2: Other detailed configurations</w:t>
            </w:r>
            <w:r w:rsidRPr="001B3E12">
              <w:rPr>
                <w:rFonts w:eastAsia="宋体"/>
                <w:lang w:val="sv-SE" w:eastAsia="zh-CN"/>
              </w:rPr>
              <w:t xml:space="preserve"> </w:t>
            </w:r>
          </w:p>
          <w:p w14:paraId="0CC4398A" w14:textId="77777777" w:rsidR="00A654C7" w:rsidRPr="00A654C7" w:rsidRDefault="00A654C7" w:rsidP="00A654C7">
            <w:pPr>
              <w:pStyle w:val="afd"/>
              <w:numPr>
                <w:ilvl w:val="1"/>
                <w:numId w:val="22"/>
              </w:numPr>
              <w:spacing w:after="120" w:line="240" w:lineRule="auto"/>
              <w:ind w:left="924" w:hanging="357"/>
              <w:rPr>
                <w:rFonts w:ascii="Times New Roman" w:eastAsia="宋体" w:hAnsi="Times New Roman"/>
                <w:sz w:val="20"/>
                <w:szCs w:val="20"/>
              </w:rPr>
            </w:pPr>
            <w:r w:rsidRPr="00A654C7">
              <w:rPr>
                <w:rFonts w:ascii="Times New Roman" w:eastAsia="宋体" w:hAnsi="Times New Roman"/>
                <w:sz w:val="20"/>
                <w:szCs w:val="20"/>
              </w:rPr>
              <w:t>FFS: Discuss P1/2/3, discuss the followings:</w:t>
            </w:r>
          </w:p>
          <w:p w14:paraId="5EE01F73" w14:textId="77777777" w:rsidR="00A654C7" w:rsidRPr="00A654C7" w:rsidRDefault="00A654C7" w:rsidP="00A654C7">
            <w:pPr>
              <w:pStyle w:val="afd"/>
              <w:numPr>
                <w:ilvl w:val="2"/>
                <w:numId w:val="22"/>
              </w:numPr>
              <w:spacing w:after="120" w:line="240" w:lineRule="auto"/>
              <w:ind w:left="1587" w:hanging="357"/>
              <w:rPr>
                <w:rFonts w:ascii="Times New Roman" w:eastAsia="宋体" w:hAnsi="Times New Roman"/>
                <w:sz w:val="20"/>
                <w:szCs w:val="20"/>
              </w:rPr>
            </w:pPr>
            <w:r w:rsidRPr="00A654C7">
              <w:rPr>
                <w:rFonts w:ascii="Times New Roman" w:eastAsia="宋体" w:hAnsi="Times New Roman"/>
                <w:sz w:val="20"/>
                <w:szCs w:val="20"/>
              </w:rPr>
              <w:t>In L1-RSRP test for UE supporting LB CA via switching, TReport is set to 40ms.</w:t>
            </w:r>
          </w:p>
          <w:p w14:paraId="57236115" w14:textId="77777777" w:rsidR="00A654C7" w:rsidRPr="00A654C7" w:rsidRDefault="00A654C7" w:rsidP="00A654C7">
            <w:pPr>
              <w:pStyle w:val="afd"/>
              <w:numPr>
                <w:ilvl w:val="2"/>
                <w:numId w:val="22"/>
              </w:numPr>
              <w:spacing w:after="120" w:line="240" w:lineRule="auto"/>
              <w:ind w:left="1587" w:hanging="357"/>
              <w:rPr>
                <w:rFonts w:ascii="Times New Roman" w:eastAsia="宋体" w:hAnsi="Times New Roman"/>
                <w:sz w:val="20"/>
                <w:szCs w:val="20"/>
              </w:rPr>
            </w:pPr>
            <w:r w:rsidRPr="00A654C7">
              <w:rPr>
                <w:rFonts w:ascii="Times New Roman" w:eastAsia="宋体" w:hAnsi="Times New Roman"/>
                <w:sz w:val="20"/>
                <w:szCs w:val="20"/>
              </w:rPr>
              <w:t>Focus on non-DRX case when defining test cases.</w:t>
            </w:r>
          </w:p>
          <w:p w14:paraId="03504876" w14:textId="77777777" w:rsidR="00A654C7" w:rsidRPr="00A654C7" w:rsidRDefault="00A654C7" w:rsidP="00A654C7">
            <w:pPr>
              <w:pStyle w:val="afd"/>
              <w:numPr>
                <w:ilvl w:val="2"/>
                <w:numId w:val="22"/>
              </w:numPr>
              <w:spacing w:after="120" w:line="240" w:lineRule="auto"/>
              <w:ind w:left="1587" w:hanging="357"/>
              <w:rPr>
                <w:rFonts w:ascii="Times New Roman" w:eastAsia="宋体" w:hAnsi="Times New Roman"/>
                <w:sz w:val="20"/>
                <w:szCs w:val="20"/>
              </w:rPr>
            </w:pPr>
            <w:r w:rsidRPr="00A654C7">
              <w:rPr>
                <w:rFonts w:ascii="Times New Roman" w:eastAsia="宋体" w:hAnsi="Times New Roman"/>
                <w:sz w:val="20"/>
                <w:szCs w:val="20"/>
              </w:rPr>
              <w:t>Not configure gap in the test cases.</w:t>
            </w:r>
          </w:p>
          <w:p w14:paraId="39F88493" w14:textId="77777777" w:rsidR="00A654C7" w:rsidRPr="00A654C7" w:rsidRDefault="00A654C7" w:rsidP="00A654C7">
            <w:pPr>
              <w:pStyle w:val="afd"/>
              <w:numPr>
                <w:ilvl w:val="2"/>
                <w:numId w:val="22"/>
              </w:numPr>
              <w:spacing w:after="120" w:line="240" w:lineRule="auto"/>
              <w:ind w:left="1587" w:hanging="357"/>
              <w:rPr>
                <w:rFonts w:ascii="Times New Roman" w:eastAsia="宋体" w:hAnsi="Times New Roman"/>
                <w:sz w:val="20"/>
                <w:szCs w:val="20"/>
              </w:rPr>
            </w:pPr>
            <w:r w:rsidRPr="00A654C7">
              <w:rPr>
                <w:rFonts w:ascii="Times New Roman" w:eastAsia="宋体" w:hAnsi="Times New Roman"/>
                <w:sz w:val="20"/>
                <w:szCs w:val="20"/>
              </w:rPr>
              <w:t>For Intra-frequency L3 measurement for activated SDL SCell or PCell test, use event A3 and A6 in the test configuration.</w:t>
            </w:r>
          </w:p>
          <w:p w14:paraId="3609AC7B" w14:textId="0E02CD9B" w:rsidR="001B3E12" w:rsidRPr="001B3E12" w:rsidRDefault="00A654C7" w:rsidP="00A654C7">
            <w:pPr>
              <w:numPr>
                <w:ilvl w:val="2"/>
                <w:numId w:val="22"/>
              </w:numPr>
              <w:overflowPunct w:val="0"/>
              <w:autoSpaceDE w:val="0"/>
              <w:autoSpaceDN w:val="0"/>
              <w:adjustRightInd w:val="0"/>
              <w:spacing w:after="120" w:line="240" w:lineRule="auto"/>
              <w:ind w:left="1587" w:hanging="357"/>
              <w:rPr>
                <w:rFonts w:eastAsia="MS Mincho"/>
                <w:bCs/>
                <w:lang w:val="en-GB"/>
              </w:rPr>
            </w:pPr>
            <w:r w:rsidRPr="00A654C7">
              <w:rPr>
                <w:rFonts w:eastAsia="宋体"/>
              </w:rPr>
              <w:t>Switching gap duration is verified by counting the HARQ NACK percentage. The HARQ NACK percentage observed during the test shall not be lower than the HARQ NACK percentage measured for normal LB CA operation without the switching mechanism. Exact HARQ NACK percentage can be set by RAN5.</w:t>
            </w:r>
          </w:p>
        </w:tc>
      </w:tr>
    </w:tbl>
    <w:p w14:paraId="154B0305" w14:textId="4DD67DD7" w:rsidR="00F72F2C" w:rsidRPr="00F72F2C" w:rsidRDefault="00F72F2C" w:rsidP="00F72F2C">
      <w:pPr>
        <w:pStyle w:val="afc"/>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w</w:t>
      </w:r>
      <w:r w:rsidRPr="00F72F2C">
        <w:rPr>
          <w:rFonts w:ascii="Times New Roman" w:eastAsia="等线" w:hAnsi="Times New Roman" w:cs="Times New Roman"/>
          <w:sz w:val="20"/>
          <w:szCs w:val="20"/>
          <w:lang w:eastAsia="zh-CN"/>
        </w:rPr>
        <w:t>orking assumption for TC</w:t>
      </w:r>
      <w:r>
        <w:rPr>
          <w:rFonts w:ascii="Times New Roman" w:eastAsia="等线" w:hAnsi="Times New Roman" w:cs="Times New Roman"/>
          <w:sz w:val="20"/>
          <w:szCs w:val="20"/>
          <w:lang w:eastAsia="zh-CN"/>
        </w:rPr>
        <w:t xml:space="preserve"> is that</w:t>
      </w:r>
      <w:r w:rsidRPr="00F72F2C">
        <w:rPr>
          <w:rFonts w:ascii="Times New Roman" w:eastAsia="等线" w:hAnsi="Times New Roman" w:cs="Times New Roman"/>
          <w:sz w:val="20"/>
          <w:szCs w:val="20"/>
          <w:lang w:eastAsia="zh-CN"/>
        </w:rPr>
        <w:t xml:space="preserve"> SSB/SMTC periodicity is 20ms and switching pattern periodicity is 40ms</w:t>
      </w:r>
      <w:r>
        <w:rPr>
          <w:rFonts w:ascii="Times New Roman" w:eastAsia="等线" w:hAnsi="Times New Roman" w:cs="Times New Roman"/>
          <w:sz w:val="20"/>
          <w:szCs w:val="20"/>
          <w:lang w:eastAsia="zh-CN"/>
        </w:rPr>
        <w:t xml:space="preserve">. </w:t>
      </w:r>
      <w:proofErr w:type="gramStart"/>
      <w:r>
        <w:rPr>
          <w:rFonts w:ascii="Times New Roman" w:eastAsia="等线" w:hAnsi="Times New Roman" w:cs="Times New Roman"/>
          <w:sz w:val="20"/>
          <w:szCs w:val="20"/>
          <w:lang w:eastAsia="zh-CN"/>
        </w:rPr>
        <w:t>So</w:t>
      </w:r>
      <w:proofErr w:type="gramEnd"/>
      <w:r>
        <w:rPr>
          <w:rFonts w:ascii="Times New Roman" w:eastAsia="等线" w:hAnsi="Times New Roman" w:cs="Times New Roman"/>
          <w:sz w:val="20"/>
          <w:szCs w:val="20"/>
          <w:lang w:eastAsia="zh-CN"/>
        </w:rPr>
        <w:t xml:space="preserve"> </w:t>
      </w:r>
      <w:r w:rsidRPr="00F72F2C">
        <w:rPr>
          <w:rFonts w:ascii="Times New Roman" w:eastAsia="等线" w:hAnsi="Times New Roman" w:cs="Times New Roman"/>
          <w:sz w:val="20"/>
          <w:szCs w:val="20"/>
          <w:lang w:eastAsia="zh-CN"/>
        </w:rPr>
        <w:t>setting T</w:t>
      </w:r>
      <w:r w:rsidR="00EC2552">
        <w:rPr>
          <w:rFonts w:ascii="Times New Roman" w:eastAsia="等线" w:hAnsi="Times New Roman" w:cs="Times New Roman"/>
          <w:sz w:val="20"/>
          <w:szCs w:val="20"/>
          <w:lang w:eastAsia="zh-CN"/>
        </w:rPr>
        <w:t>A</w:t>
      </w:r>
      <w:r w:rsidRPr="00F72F2C">
        <w:rPr>
          <w:rFonts w:ascii="Times New Roman" w:eastAsia="等线" w:hAnsi="Times New Roman" w:cs="Times New Roman"/>
          <w:sz w:val="20"/>
          <w:szCs w:val="20"/>
          <w:lang w:eastAsia="zh-CN"/>
        </w:rPr>
        <w:t>Report to 40ms seems to be a reasonable configuration</w:t>
      </w:r>
      <w:r>
        <w:rPr>
          <w:rFonts w:ascii="Times New Roman" w:eastAsia="等线" w:hAnsi="Times New Roman" w:cs="Times New Roman"/>
          <w:sz w:val="20"/>
          <w:szCs w:val="20"/>
          <w:lang w:eastAsia="zh-CN"/>
        </w:rPr>
        <w:t xml:space="preserve"> in </w:t>
      </w:r>
      <w:r w:rsidRPr="00F72F2C">
        <w:rPr>
          <w:rFonts w:ascii="Times New Roman" w:eastAsia="等线" w:hAnsi="Times New Roman" w:cs="Times New Roman"/>
          <w:sz w:val="20"/>
          <w:szCs w:val="20"/>
          <w:lang w:eastAsia="zh-CN"/>
        </w:rPr>
        <w:t>the L1-RSRP test for UE supporting LB CA via switching</w:t>
      </w:r>
      <w:r w:rsidR="006453A1">
        <w:rPr>
          <w:rFonts w:ascii="Times New Roman" w:eastAsia="等线" w:hAnsi="Times New Roman" w:cs="Times New Roman"/>
          <w:sz w:val="20"/>
          <w:szCs w:val="20"/>
          <w:lang w:eastAsia="zh-CN"/>
        </w:rPr>
        <w:t>.</w:t>
      </w:r>
    </w:p>
    <w:p w14:paraId="4E19E6E5" w14:textId="4AE96064" w:rsidR="0037047F" w:rsidRPr="0037047F" w:rsidRDefault="00745C17" w:rsidP="0037047F">
      <w:pPr>
        <w:pStyle w:val="afc"/>
        <w:rPr>
          <w:rFonts w:ascii="Times New Roman" w:eastAsia="MS Gothic" w:hAnsi="Times New Roman" w:cs="Times New Roman"/>
          <w:b/>
          <w:bCs/>
          <w:sz w:val="20"/>
          <w:szCs w:val="16"/>
          <w:u w:val="single"/>
        </w:rPr>
      </w:pPr>
      <w:r w:rsidRPr="00745C17">
        <w:rPr>
          <w:rFonts w:ascii="Times New Roman" w:eastAsia="MS Gothic" w:hAnsi="Times New Roman" w:cs="Times New Roman"/>
          <w:b/>
          <w:bCs/>
          <w:sz w:val="20"/>
          <w:szCs w:val="16"/>
          <w:u w:val="single"/>
        </w:rPr>
        <w:t xml:space="preserve">Proposal </w:t>
      </w:r>
      <w:r w:rsidR="0037047F">
        <w:rPr>
          <w:rFonts w:ascii="Times New Roman" w:eastAsia="MS Gothic" w:hAnsi="Times New Roman" w:cs="Times New Roman"/>
          <w:b/>
          <w:bCs/>
          <w:sz w:val="20"/>
          <w:szCs w:val="16"/>
          <w:u w:val="single"/>
        </w:rPr>
        <w:t>3</w:t>
      </w:r>
      <w:r w:rsidRPr="00745C17">
        <w:rPr>
          <w:rFonts w:ascii="Times New Roman" w:eastAsia="MS Gothic" w:hAnsi="Times New Roman" w:cs="Times New Roman"/>
          <w:b/>
          <w:bCs/>
          <w:sz w:val="20"/>
          <w:szCs w:val="16"/>
          <w:u w:val="single"/>
        </w:rPr>
        <w:t>:</w:t>
      </w:r>
      <w:r w:rsidR="00EC2552">
        <w:rPr>
          <w:rFonts w:ascii="Times New Roman" w:eastAsia="MS Gothic" w:hAnsi="Times New Roman" w:cs="Times New Roman"/>
          <w:b/>
          <w:bCs/>
          <w:sz w:val="20"/>
          <w:szCs w:val="16"/>
          <w:u w:val="single"/>
        </w:rPr>
        <w:t xml:space="preserve"> RRM to set TAReport to 40ms</w:t>
      </w:r>
      <w:r w:rsidR="006453A1">
        <w:rPr>
          <w:rFonts w:ascii="Times New Roman" w:eastAsia="MS Gothic" w:hAnsi="Times New Roman" w:cs="Times New Roman"/>
          <w:b/>
          <w:bCs/>
          <w:sz w:val="20"/>
          <w:szCs w:val="16"/>
          <w:u w:val="single"/>
        </w:rPr>
        <w:t xml:space="preserve"> </w:t>
      </w:r>
      <w:r w:rsidR="006453A1" w:rsidRPr="006453A1">
        <w:rPr>
          <w:rFonts w:ascii="Times New Roman" w:eastAsia="MS Gothic" w:hAnsi="Times New Roman" w:cs="Times New Roman"/>
          <w:b/>
          <w:bCs/>
          <w:sz w:val="20"/>
          <w:szCs w:val="16"/>
          <w:u w:val="single"/>
        </w:rPr>
        <w:t>in the L1-RSRP test for UE supporting LB CA via switching</w:t>
      </w:r>
      <w:r w:rsidR="0037047F" w:rsidRPr="0037047F">
        <w:rPr>
          <w:rFonts w:ascii="Times New Roman" w:eastAsia="MS Gothic" w:hAnsi="Times New Roman" w:cs="Times New Roman"/>
          <w:b/>
          <w:bCs/>
          <w:sz w:val="20"/>
          <w:szCs w:val="16"/>
          <w:u w:val="single"/>
        </w:rPr>
        <w:t>.</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4B061AA0" w:rsidR="00375232" w:rsidRPr="00633BA2" w:rsidRDefault="00633BA2" w:rsidP="00633BA2">
      <w:pPr>
        <w:spacing w:before="180"/>
        <w:jc w:val="both"/>
        <w:rPr>
          <w:rFonts w:eastAsiaTheme="minorEastAsia"/>
          <w:szCs w:val="16"/>
          <w:lang w:eastAsia="ko-KR"/>
        </w:rPr>
      </w:pPr>
      <w:r>
        <w:rPr>
          <w:color w:val="1F2328"/>
          <w:shd w:val="clear" w:color="auto" w:fill="FFFFFF"/>
        </w:rPr>
        <w:t xml:space="preserve">This contribution discusses the impact of </w:t>
      </w:r>
      <w:r w:rsidR="006E5FA4">
        <w:t>NR LB-CA switching</w:t>
      </w:r>
      <w:r>
        <w:rPr>
          <w:rFonts w:eastAsia="MS Gothic"/>
          <w:szCs w:val="16"/>
          <w:lang w:eastAsia="ko-KR"/>
        </w:rPr>
        <w:t xml:space="preserve"> </w:t>
      </w:r>
      <w:r>
        <w:rPr>
          <w:color w:val="1F2328"/>
          <w:shd w:val="clear" w:color="auto" w:fill="FFFFFF"/>
        </w:rPr>
        <w:t>on RAN4 RRM</w:t>
      </w:r>
      <w:r w:rsidR="006E5FA4">
        <w:rPr>
          <w:color w:val="1F2328"/>
          <w:shd w:val="clear" w:color="auto" w:fill="FFFFFF"/>
        </w:rPr>
        <w:t xml:space="preserve"> </w:t>
      </w:r>
      <w:r w:rsidR="006E5FA4" w:rsidRPr="006E5FA4">
        <w:rPr>
          <w:color w:val="1F2328"/>
          <w:shd w:val="clear" w:color="auto" w:fill="FFFFFF"/>
        </w:rPr>
        <w:t>performance requirement</w:t>
      </w:r>
      <w:r w:rsidR="005018E6">
        <w:rPr>
          <w:rFonts w:eastAsia="MS Gothic"/>
          <w:szCs w:val="16"/>
          <w:lang w:eastAsia="ko-KR"/>
        </w:rPr>
        <w:t>. The following are the proposed points in this contribution.</w:t>
      </w:r>
    </w:p>
    <w:bookmarkEnd w:id="2"/>
    <w:bookmarkEnd w:id="4"/>
    <w:p w14:paraId="2DFBD216" w14:textId="77777777" w:rsidR="00602104" w:rsidRPr="002641CA" w:rsidRDefault="00602104" w:rsidP="00602104">
      <w:pPr>
        <w:pStyle w:val="afc"/>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w:t>
      </w:r>
      <w:r w:rsidRPr="00515167">
        <w:rPr>
          <w:rFonts w:ascii="Times New Roman" w:eastAsia="MS Gothic" w:hAnsi="Times New Roman" w:cs="Times New Roman"/>
          <w:b/>
          <w:bCs/>
          <w:sz w:val="20"/>
          <w:szCs w:val="16"/>
          <w:u w:val="single"/>
        </w:rPr>
        <w:t xml:space="preserve">RRM not to define test cases in LB-CA </w:t>
      </w:r>
      <w:r>
        <w:rPr>
          <w:rFonts w:ascii="Times New Roman" w:eastAsia="MS Gothic" w:hAnsi="Times New Roman" w:cs="Times New Roman"/>
          <w:b/>
          <w:bCs/>
          <w:sz w:val="20"/>
          <w:szCs w:val="16"/>
          <w:u w:val="single"/>
        </w:rPr>
        <w:t xml:space="preserve">for </w:t>
      </w:r>
      <w:r w:rsidRPr="00515167">
        <w:rPr>
          <w:rFonts w:ascii="Times New Roman" w:eastAsia="MS Gothic" w:hAnsi="Times New Roman" w:cs="Times New Roman"/>
          <w:b/>
          <w:bCs/>
          <w:sz w:val="20"/>
          <w:szCs w:val="16"/>
          <w:u w:val="single"/>
        </w:rPr>
        <w:t>BFD/CBD</w:t>
      </w:r>
      <w:r>
        <w:rPr>
          <w:rFonts w:ascii="Times New Roman" w:eastAsia="MS Gothic" w:hAnsi="Times New Roman" w:cs="Times New Roman"/>
          <w:b/>
          <w:bCs/>
          <w:sz w:val="20"/>
          <w:szCs w:val="16"/>
          <w:u w:val="single"/>
        </w:rPr>
        <w:t xml:space="preserve"> and </w:t>
      </w:r>
      <w:r w:rsidRPr="005B733D">
        <w:rPr>
          <w:rFonts w:ascii="Times New Roman" w:eastAsia="MS Gothic" w:hAnsi="Times New Roman" w:cs="Times New Roman"/>
          <w:b/>
          <w:bCs/>
          <w:sz w:val="20"/>
          <w:szCs w:val="16"/>
          <w:u w:val="single"/>
        </w:rPr>
        <w:t>PL-RS switch delay</w:t>
      </w:r>
      <w:r w:rsidRPr="00515167">
        <w:rPr>
          <w:rFonts w:ascii="Times New Roman" w:eastAsia="MS Gothic" w:hAnsi="Times New Roman" w:cs="Times New Roman"/>
          <w:b/>
          <w:bCs/>
          <w:sz w:val="20"/>
          <w:szCs w:val="16"/>
          <w:u w:val="single"/>
        </w:rPr>
        <w:t xml:space="preserve"> measurement requirements</w:t>
      </w:r>
      <w:r>
        <w:rPr>
          <w:rFonts w:ascii="Times New Roman" w:eastAsia="MS Gothic" w:hAnsi="Times New Roman" w:cs="Times New Roman"/>
          <w:b/>
          <w:bCs/>
          <w:sz w:val="20"/>
          <w:szCs w:val="16"/>
          <w:u w:val="single"/>
        </w:rPr>
        <w:t xml:space="preserve"> </w:t>
      </w:r>
      <w:r w:rsidRPr="00515167">
        <w:rPr>
          <w:rFonts w:ascii="Times New Roman" w:eastAsia="MS Gothic" w:hAnsi="Times New Roman" w:cs="Times New Roman"/>
          <w:b/>
          <w:bCs/>
          <w:sz w:val="20"/>
          <w:szCs w:val="16"/>
          <w:u w:val="single"/>
        </w:rPr>
        <w:t>when switching pattern is configured for both FDD PCell and SDL SCell.</w:t>
      </w:r>
    </w:p>
    <w:p w14:paraId="167AD924" w14:textId="77777777" w:rsidR="00602104" w:rsidRPr="00982F6D" w:rsidRDefault="00602104" w:rsidP="00602104">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w:t>
      </w:r>
      <w:r>
        <w:rPr>
          <w:rFonts w:ascii="Times New Roman" w:eastAsia="MS Gothic" w:hAnsi="Times New Roman" w:cs="Times New Roman"/>
          <w:b/>
          <w:bCs/>
          <w:sz w:val="20"/>
          <w:szCs w:val="16"/>
          <w:u w:val="single"/>
        </w:rPr>
        <w:t xml:space="preserve"> RRM to use proposal 2 as s</w:t>
      </w:r>
      <w:r w:rsidRPr="0060798E">
        <w:rPr>
          <w:rFonts w:ascii="Times New Roman" w:eastAsia="MS Gothic" w:hAnsi="Times New Roman" w:cs="Times New Roman"/>
          <w:b/>
          <w:bCs/>
          <w:sz w:val="20"/>
          <w:szCs w:val="16"/>
          <w:u w:val="single"/>
        </w:rPr>
        <w:t>witching pattern related design</w:t>
      </w:r>
      <w:r w:rsidRPr="00B67D52">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p>
    <w:p w14:paraId="5D3B94C8" w14:textId="77777777" w:rsidR="00602104" w:rsidRPr="0037047F" w:rsidRDefault="00602104" w:rsidP="00602104">
      <w:pPr>
        <w:pStyle w:val="afc"/>
        <w:rPr>
          <w:rFonts w:ascii="Times New Roman" w:eastAsia="MS Gothic" w:hAnsi="Times New Roman" w:cs="Times New Roman"/>
          <w:b/>
          <w:bCs/>
          <w:sz w:val="20"/>
          <w:szCs w:val="16"/>
          <w:u w:val="single"/>
        </w:rPr>
      </w:pPr>
      <w:r w:rsidRPr="00745C17">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3</w:t>
      </w:r>
      <w:r w:rsidRPr="00745C17">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RRM to set TAReport to 40ms </w:t>
      </w:r>
      <w:r w:rsidRPr="006453A1">
        <w:rPr>
          <w:rFonts w:ascii="Times New Roman" w:eastAsia="MS Gothic" w:hAnsi="Times New Roman" w:cs="Times New Roman"/>
          <w:b/>
          <w:bCs/>
          <w:sz w:val="20"/>
          <w:szCs w:val="16"/>
          <w:u w:val="single"/>
        </w:rPr>
        <w:t>in the L1-RSRP test for UE supporting LB CA via switching</w:t>
      </w:r>
      <w:r w:rsidRPr="0037047F">
        <w:rPr>
          <w:rFonts w:ascii="Times New Roman" w:eastAsia="MS Gothic" w:hAnsi="Times New Roman" w:cs="Times New Roman"/>
          <w:b/>
          <w:bCs/>
          <w:sz w:val="20"/>
          <w:szCs w:val="16"/>
          <w:u w:val="single"/>
        </w:rPr>
        <w:t>.</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257BE820" w14:textId="01E08169" w:rsidR="0059510F" w:rsidRPr="006252A9" w:rsidRDefault="00355BF3" w:rsidP="00355BF3">
      <w:pPr>
        <w:rPr>
          <w:lang w:eastAsia="ko-KR"/>
        </w:rPr>
      </w:pPr>
      <w:r w:rsidRPr="00355BF3">
        <w:rPr>
          <w:lang w:eastAsia="ko-KR"/>
        </w:rPr>
        <w:t xml:space="preserve">[1] </w:t>
      </w:r>
      <w:bookmarkStart w:id="5" w:name="_Ref204360139"/>
      <w:r w:rsidR="003648AE" w:rsidRPr="003648AE">
        <w:t>R4-2522630</w:t>
      </w:r>
      <w:r w:rsidR="00D6186B">
        <w:t>,</w:t>
      </w:r>
      <w:r w:rsidR="00D6186B">
        <w:rPr>
          <w:rFonts w:ascii="等线" w:eastAsia="等线" w:hAnsi="等线"/>
          <w:lang w:eastAsia="zh-CN"/>
        </w:rPr>
        <w:t xml:space="preserve"> </w:t>
      </w:r>
      <w:bookmarkEnd w:id="5"/>
      <w:r w:rsidR="003648AE" w:rsidRPr="003648AE">
        <w:rPr>
          <w:lang w:eastAsia="ko-KR"/>
        </w:rPr>
        <w:t>WF on NR_LBCA_Sw_RRM</w:t>
      </w:r>
    </w:p>
    <w:sectPr w:rsidR="0059510F" w:rsidRPr="006252A9"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B7454" w14:textId="77777777" w:rsidR="007D6CD4" w:rsidRDefault="007D6CD4">
      <w:r>
        <w:separator/>
      </w:r>
    </w:p>
  </w:endnote>
  <w:endnote w:type="continuationSeparator" w:id="0">
    <w:p w14:paraId="4248B30A" w14:textId="77777777" w:rsidR="007D6CD4" w:rsidRDefault="007D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20A1" w14:textId="77777777" w:rsidR="007D6CD4" w:rsidRDefault="007D6CD4">
      <w:r>
        <w:separator/>
      </w:r>
    </w:p>
  </w:footnote>
  <w:footnote w:type="continuationSeparator" w:id="0">
    <w:p w14:paraId="0BAD4CBE" w14:textId="77777777" w:rsidR="007D6CD4" w:rsidRDefault="007D6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87C25"/>
    <w:multiLevelType w:val="hybridMultilevel"/>
    <w:tmpl w:val="E4228E04"/>
    <w:lvl w:ilvl="0" w:tplc="04090019">
      <w:start w:val="408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4087C52"/>
    <w:multiLevelType w:val="hybridMultilevel"/>
    <w:tmpl w:val="5DE8E5F8"/>
    <w:lvl w:ilvl="0" w:tplc="04090019">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3345A"/>
    <w:multiLevelType w:val="hybridMultilevel"/>
    <w:tmpl w:val="99D2B9D6"/>
    <w:lvl w:ilvl="0" w:tplc="096CD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051CF"/>
    <w:multiLevelType w:val="hybridMultilevel"/>
    <w:tmpl w:val="9B5ED6C8"/>
    <w:lvl w:ilvl="0" w:tplc="BBDA1630">
      <w:start w:val="1"/>
      <w:numFmt w:val="bullet"/>
      <w:lvlText w:val="-"/>
      <w:lvlJc w:val="left"/>
      <w:pPr>
        <w:ind w:left="3936" w:hanging="420"/>
      </w:pPr>
      <w:rPr>
        <w:rFonts w:ascii="Times" w:hAnsi="Times" w:hint="default"/>
      </w:rPr>
    </w:lvl>
    <w:lvl w:ilvl="1" w:tplc="04090003">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6" w15:restartNumberingAfterBreak="0">
    <w:nsid w:val="7FF530DB"/>
    <w:multiLevelType w:val="hybridMultilevel"/>
    <w:tmpl w:val="1C1EEAA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4"/>
  </w:num>
  <w:num w:numId="3">
    <w:abstractNumId w:val="10"/>
  </w:num>
  <w:num w:numId="4">
    <w:abstractNumId w:val="15"/>
  </w:num>
  <w:num w:numId="5">
    <w:abstractNumId w:val="4"/>
  </w:num>
  <w:num w:numId="6">
    <w:abstractNumId w:val="21"/>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9"/>
  </w:num>
  <w:num w:numId="11">
    <w:abstractNumId w:val="2"/>
  </w:num>
  <w:num w:numId="12">
    <w:abstractNumId w:val="16"/>
  </w:num>
  <w:num w:numId="13">
    <w:abstractNumId w:val="22"/>
  </w:num>
  <w:num w:numId="14">
    <w:abstractNumId w:val="3"/>
  </w:num>
  <w:num w:numId="15">
    <w:abstractNumId w:val="9"/>
  </w:num>
  <w:num w:numId="16">
    <w:abstractNumId w:val="17"/>
  </w:num>
  <w:num w:numId="17">
    <w:abstractNumId w:val="5"/>
  </w:num>
  <w:num w:numId="18">
    <w:abstractNumId w:val="6"/>
  </w:num>
  <w:num w:numId="19">
    <w:abstractNumId w:val="13"/>
  </w:num>
  <w:num w:numId="20">
    <w:abstractNumId w:val="25"/>
  </w:num>
  <w:num w:numId="21">
    <w:abstractNumId w:val="18"/>
  </w:num>
  <w:num w:numId="22">
    <w:abstractNumId w:val="20"/>
  </w:num>
  <w:num w:numId="23">
    <w:abstractNumId w:val="23"/>
  </w:num>
  <w:num w:numId="24">
    <w:abstractNumId w:val="26"/>
  </w:num>
  <w:num w:numId="25">
    <w:abstractNumId w:val="8"/>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5EC"/>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4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5E7D"/>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3E9"/>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D3D"/>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80"/>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79"/>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8BD"/>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18B"/>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4DF"/>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2CE"/>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01"/>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2"/>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5FC4"/>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EF2"/>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0DC8"/>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386"/>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0EB"/>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1CA"/>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CB"/>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C80"/>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2C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A7E"/>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14A"/>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8EA"/>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6CD6"/>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888"/>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B1A"/>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4"/>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A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47F"/>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52E"/>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6F4"/>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CC8"/>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BEC"/>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9B1"/>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C99"/>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2ED"/>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C6"/>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1E8"/>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5FF0"/>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250"/>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67"/>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C95"/>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1F"/>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E5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931"/>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33D"/>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6EF0"/>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94"/>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3E"/>
    <w:rsid w:val="005F48C0"/>
    <w:rsid w:val="005F49FD"/>
    <w:rsid w:val="005F4BA4"/>
    <w:rsid w:val="005F4CAE"/>
    <w:rsid w:val="005F4DDD"/>
    <w:rsid w:val="005F4E90"/>
    <w:rsid w:val="005F4ECE"/>
    <w:rsid w:val="005F51D8"/>
    <w:rsid w:val="005F5209"/>
    <w:rsid w:val="005F525D"/>
    <w:rsid w:val="005F53C9"/>
    <w:rsid w:val="005F5537"/>
    <w:rsid w:val="005F57E0"/>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04"/>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98E"/>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72"/>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2A9"/>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BA2"/>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3A1"/>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294"/>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BCA"/>
    <w:rsid w:val="00657C1B"/>
    <w:rsid w:val="00657F18"/>
    <w:rsid w:val="00657F35"/>
    <w:rsid w:val="0066035C"/>
    <w:rsid w:val="00660787"/>
    <w:rsid w:val="00660A85"/>
    <w:rsid w:val="00660C19"/>
    <w:rsid w:val="00660DAC"/>
    <w:rsid w:val="00660ED9"/>
    <w:rsid w:val="006613BE"/>
    <w:rsid w:val="0066145D"/>
    <w:rsid w:val="00661472"/>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1C1"/>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AFA"/>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2CB"/>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CA1"/>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A4"/>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6A"/>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7"/>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BD4"/>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B95"/>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5E3"/>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AFD"/>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118"/>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1CA"/>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37D"/>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1F75"/>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CD4"/>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52B"/>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14"/>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444"/>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065"/>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15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EE5"/>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5B"/>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114"/>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2F6D"/>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8A0"/>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4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AD5"/>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E44"/>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B4"/>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4CC0"/>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4C7"/>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8FC"/>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6AB"/>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3"/>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613"/>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1F50"/>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7E8"/>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830"/>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32"/>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40E"/>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4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4F1A"/>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98"/>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5FD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25"/>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0F4"/>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86B"/>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C03"/>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92E"/>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07"/>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65"/>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2E30"/>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287"/>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AD"/>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46"/>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5AB"/>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10"/>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CAD"/>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52"/>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25"/>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6F5"/>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70"/>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2D2"/>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4F8"/>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4C3"/>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B08"/>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08C"/>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2F2C"/>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70F"/>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44D"/>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DE570F6D-573B-46B8-BDCE-CC116DCEC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6E6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목록 "/>
    <w:basedOn w:val="a"/>
    <w:link w:val="afe"/>
    <w:uiPriority w:val="99"/>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99"/>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40">
    <w:name w:val="标题 4 字符"/>
    <w:aliases w:val="Head4 字符"/>
    <w:basedOn w:val="a0"/>
    <w:link w:val="4"/>
    <w:rsid w:val="00716E6A"/>
    <w:rPr>
      <w:rFonts w:ascii="Calibri" w:eastAsiaTheme="minorEastAsia" w:hAnsi="Calibr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93324196">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035176">
      <w:bodyDiv w:val="1"/>
      <w:marLeft w:val="0"/>
      <w:marRight w:val="0"/>
      <w:marTop w:val="0"/>
      <w:marBottom w:val="0"/>
      <w:divBdr>
        <w:top w:val="none" w:sz="0" w:space="0" w:color="auto"/>
        <w:left w:val="none" w:sz="0" w:space="0" w:color="auto"/>
        <w:bottom w:val="none" w:sz="0" w:space="0" w:color="auto"/>
        <w:right w:val="none" w:sz="0" w:space="0" w:color="auto"/>
      </w:divBdr>
      <w:divsChild>
        <w:div w:id="281066">
          <w:marLeft w:val="0"/>
          <w:marRight w:val="0"/>
          <w:marTop w:val="0"/>
          <w:marBottom w:val="0"/>
          <w:divBdr>
            <w:top w:val="none" w:sz="0" w:space="0" w:color="auto"/>
            <w:left w:val="none" w:sz="0" w:space="0" w:color="auto"/>
            <w:bottom w:val="none" w:sz="0" w:space="0" w:color="auto"/>
            <w:right w:val="none" w:sz="0" w:space="0" w:color="auto"/>
          </w:divBdr>
          <w:divsChild>
            <w:div w:id="1644776660">
              <w:marLeft w:val="0"/>
              <w:marRight w:val="0"/>
              <w:marTop w:val="0"/>
              <w:marBottom w:val="0"/>
              <w:divBdr>
                <w:top w:val="none" w:sz="0" w:space="0" w:color="auto"/>
                <w:left w:val="none" w:sz="0" w:space="0" w:color="auto"/>
                <w:bottom w:val="none" w:sz="0" w:space="0" w:color="auto"/>
                <w:right w:val="none" w:sz="0" w:space="0" w:color="auto"/>
              </w:divBdr>
              <w:divsChild>
                <w:div w:id="1761639228">
                  <w:marLeft w:val="0"/>
                  <w:marRight w:val="0"/>
                  <w:marTop w:val="0"/>
                  <w:marBottom w:val="0"/>
                  <w:divBdr>
                    <w:top w:val="none" w:sz="0" w:space="0" w:color="auto"/>
                    <w:left w:val="none" w:sz="0" w:space="0" w:color="auto"/>
                    <w:bottom w:val="none" w:sz="0" w:space="0" w:color="auto"/>
                    <w:right w:val="none" w:sz="0" w:space="0" w:color="auto"/>
                  </w:divBdr>
                  <w:divsChild>
                    <w:div w:id="1256672117">
                      <w:marLeft w:val="0"/>
                      <w:marRight w:val="0"/>
                      <w:marTop w:val="0"/>
                      <w:marBottom w:val="0"/>
                      <w:divBdr>
                        <w:top w:val="none" w:sz="0" w:space="0" w:color="auto"/>
                        <w:left w:val="none" w:sz="0" w:space="0" w:color="auto"/>
                        <w:bottom w:val="none" w:sz="0" w:space="0" w:color="auto"/>
                        <w:right w:val="none" w:sz="0" w:space="0" w:color="auto"/>
                      </w:divBdr>
                      <w:divsChild>
                        <w:div w:id="901866885">
                          <w:marLeft w:val="0"/>
                          <w:marRight w:val="0"/>
                          <w:marTop w:val="0"/>
                          <w:marBottom w:val="0"/>
                          <w:divBdr>
                            <w:top w:val="none" w:sz="0" w:space="0" w:color="auto"/>
                            <w:left w:val="none" w:sz="0" w:space="0" w:color="auto"/>
                            <w:bottom w:val="none" w:sz="0" w:space="0" w:color="auto"/>
                            <w:right w:val="none" w:sz="0" w:space="0" w:color="auto"/>
                          </w:divBdr>
                          <w:divsChild>
                            <w:div w:id="996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1793215">
      <w:bodyDiv w:val="1"/>
      <w:marLeft w:val="0"/>
      <w:marRight w:val="0"/>
      <w:marTop w:val="0"/>
      <w:marBottom w:val="0"/>
      <w:divBdr>
        <w:top w:val="none" w:sz="0" w:space="0" w:color="auto"/>
        <w:left w:val="none" w:sz="0" w:space="0" w:color="auto"/>
        <w:bottom w:val="none" w:sz="0" w:space="0" w:color="auto"/>
        <w:right w:val="none" w:sz="0" w:space="0" w:color="auto"/>
      </w:divBdr>
      <w:divsChild>
        <w:div w:id="1288857340">
          <w:marLeft w:val="0"/>
          <w:marRight w:val="0"/>
          <w:marTop w:val="0"/>
          <w:marBottom w:val="0"/>
          <w:divBdr>
            <w:top w:val="none" w:sz="0" w:space="0" w:color="auto"/>
            <w:left w:val="none" w:sz="0" w:space="0" w:color="auto"/>
            <w:bottom w:val="none" w:sz="0" w:space="0" w:color="auto"/>
            <w:right w:val="none" w:sz="0" w:space="0" w:color="auto"/>
          </w:divBdr>
          <w:divsChild>
            <w:div w:id="1789354146">
              <w:marLeft w:val="0"/>
              <w:marRight w:val="0"/>
              <w:marTop w:val="0"/>
              <w:marBottom w:val="0"/>
              <w:divBdr>
                <w:top w:val="none" w:sz="0" w:space="0" w:color="auto"/>
                <w:left w:val="none" w:sz="0" w:space="0" w:color="auto"/>
                <w:bottom w:val="none" w:sz="0" w:space="0" w:color="auto"/>
                <w:right w:val="none" w:sz="0" w:space="0" w:color="auto"/>
              </w:divBdr>
              <w:divsChild>
                <w:div w:id="1354503159">
                  <w:marLeft w:val="0"/>
                  <w:marRight w:val="0"/>
                  <w:marTop w:val="0"/>
                  <w:marBottom w:val="0"/>
                  <w:divBdr>
                    <w:top w:val="none" w:sz="0" w:space="0" w:color="auto"/>
                    <w:left w:val="none" w:sz="0" w:space="0" w:color="auto"/>
                    <w:bottom w:val="none" w:sz="0" w:space="0" w:color="auto"/>
                    <w:right w:val="none" w:sz="0" w:space="0" w:color="auto"/>
                  </w:divBdr>
                  <w:divsChild>
                    <w:div w:id="1719546085">
                      <w:marLeft w:val="0"/>
                      <w:marRight w:val="0"/>
                      <w:marTop w:val="0"/>
                      <w:marBottom w:val="0"/>
                      <w:divBdr>
                        <w:top w:val="none" w:sz="0" w:space="0" w:color="auto"/>
                        <w:left w:val="none" w:sz="0" w:space="0" w:color="auto"/>
                        <w:bottom w:val="none" w:sz="0" w:space="0" w:color="auto"/>
                        <w:right w:val="none" w:sz="0" w:space="0" w:color="auto"/>
                      </w:divBdr>
                      <w:divsChild>
                        <w:div w:id="269898604">
                          <w:marLeft w:val="0"/>
                          <w:marRight w:val="0"/>
                          <w:marTop w:val="0"/>
                          <w:marBottom w:val="0"/>
                          <w:divBdr>
                            <w:top w:val="none" w:sz="0" w:space="0" w:color="auto"/>
                            <w:left w:val="none" w:sz="0" w:space="0" w:color="auto"/>
                            <w:bottom w:val="none" w:sz="0" w:space="0" w:color="auto"/>
                            <w:right w:val="none" w:sz="0" w:space="0" w:color="auto"/>
                          </w:divBdr>
                          <w:divsChild>
                            <w:div w:id="5713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TotalTime>
  <Pages>3</Pages>
  <Words>858</Words>
  <Characters>4893</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Li/NW Research&amp;Standard Lab /SRC-Beijing/Engineer/Samsung Electronics</cp:lastModifiedBy>
  <cp:revision>14</cp:revision>
  <cp:lastPrinted>2015-10-31T09:51:00Z</cp:lastPrinted>
  <dcterms:created xsi:type="dcterms:W3CDTF">2025-09-17T08:51:00Z</dcterms:created>
  <dcterms:modified xsi:type="dcterms:W3CDTF">2026-01-30T23:23:00Z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